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A8ACA" w14:textId="77777777" w:rsidR="00004B4B" w:rsidRPr="00C3180D" w:rsidRDefault="00004B4B" w:rsidP="00004B4B">
      <w:pPr>
        <w:pStyle w:val="BodyText"/>
        <w:jc w:val="both"/>
      </w:pPr>
    </w:p>
    <w:p w14:paraId="292B5142" w14:textId="77777777" w:rsidR="00004B4B" w:rsidRDefault="00004B4B" w:rsidP="00004B4B">
      <w:pPr>
        <w:pStyle w:val="BodyText"/>
        <w:jc w:val="both"/>
      </w:pPr>
    </w:p>
    <w:p w14:paraId="7B521585" w14:textId="06B7C511" w:rsidR="00146794" w:rsidRDefault="00146794" w:rsidP="00004B4B">
      <w:pPr>
        <w:pStyle w:val="BodyText"/>
        <w:jc w:val="both"/>
      </w:pPr>
    </w:p>
    <w:p w14:paraId="253F4145" w14:textId="77777777" w:rsidR="00146794" w:rsidRPr="00C3180D" w:rsidRDefault="00146794" w:rsidP="00004B4B">
      <w:pPr>
        <w:pStyle w:val="BodyText"/>
        <w:jc w:val="both"/>
      </w:pPr>
    </w:p>
    <w:p w14:paraId="0D555C3C" w14:textId="77777777" w:rsidR="00004B4B" w:rsidRPr="00C64AEC" w:rsidRDefault="00004B4B" w:rsidP="00004B4B">
      <w:pPr>
        <w:pStyle w:val="BodyText"/>
        <w:jc w:val="both"/>
      </w:pPr>
    </w:p>
    <w:p w14:paraId="1EC0152F" w14:textId="0AC72287" w:rsidR="00C64AEC" w:rsidRPr="002E5E63" w:rsidRDefault="008F6F06" w:rsidP="00004B4B">
      <w:pPr>
        <w:ind w:right="84"/>
        <w:jc w:val="center"/>
        <w:rPr>
          <w:b/>
          <w:sz w:val="44"/>
          <w:szCs w:val="44"/>
        </w:rPr>
      </w:pPr>
      <w:r>
        <w:rPr>
          <w:b/>
          <w:sz w:val="44"/>
          <w:szCs w:val="44"/>
        </w:rPr>
        <w:t>COMMISSIONER’S NOTE</w:t>
      </w:r>
    </w:p>
    <w:p w14:paraId="7FCD8AA4" w14:textId="77777777" w:rsidR="00C64AEC" w:rsidRDefault="00C64AEC" w:rsidP="00004B4B">
      <w:pPr>
        <w:jc w:val="center"/>
        <w:rPr>
          <w:b/>
          <w:sz w:val="32"/>
        </w:rPr>
      </w:pPr>
    </w:p>
    <w:p w14:paraId="6129BFA6" w14:textId="58AA8181" w:rsidR="006753B4" w:rsidRDefault="006753B4" w:rsidP="00004B4B">
      <w:pPr>
        <w:jc w:val="center"/>
        <w:rPr>
          <w:b/>
          <w:sz w:val="32"/>
        </w:rPr>
      </w:pPr>
    </w:p>
    <w:p w14:paraId="5EE50D2E" w14:textId="77777777" w:rsidR="006753B4" w:rsidRDefault="006753B4" w:rsidP="006753B4">
      <w:pPr>
        <w:rPr>
          <w:b/>
          <w:sz w:val="32"/>
        </w:rPr>
      </w:pPr>
    </w:p>
    <w:p w14:paraId="7F6334BC" w14:textId="77777777" w:rsidR="00CA4080" w:rsidRDefault="00CA4080" w:rsidP="008F6F06">
      <w:pPr>
        <w:jc w:val="center"/>
        <w:rPr>
          <w:b/>
          <w:caps/>
          <w:sz w:val="32"/>
        </w:rPr>
      </w:pPr>
    </w:p>
    <w:p w14:paraId="0B263CEB" w14:textId="578AE596" w:rsidR="00004B4B" w:rsidRPr="00DB473C" w:rsidRDefault="008F6F06" w:rsidP="008F6F06">
      <w:pPr>
        <w:jc w:val="center"/>
        <w:rPr>
          <w:b/>
          <w:sz w:val="32"/>
        </w:rPr>
      </w:pPr>
      <w:r w:rsidRPr="008F6F06">
        <w:rPr>
          <w:b/>
          <w:caps/>
          <w:sz w:val="32"/>
        </w:rPr>
        <w:t>the potential for</w:t>
      </w:r>
      <w:r w:rsidR="00CA4080">
        <w:rPr>
          <w:b/>
          <w:caps/>
          <w:sz w:val="32"/>
        </w:rPr>
        <w:t xml:space="preserve"> TRADE DIVERSION IN </w:t>
      </w:r>
      <w:r w:rsidRPr="008F6F06">
        <w:rPr>
          <w:b/>
          <w:caps/>
          <w:sz w:val="32"/>
        </w:rPr>
        <w:t xml:space="preserve">steel and aluminium, and subsequent impacts </w:t>
      </w:r>
    </w:p>
    <w:p w14:paraId="54FBB366" w14:textId="77777777" w:rsidR="00004B4B" w:rsidRPr="00DB473C" w:rsidRDefault="00004B4B" w:rsidP="00004B4B">
      <w:pPr>
        <w:ind w:right="85"/>
        <w:jc w:val="center"/>
        <w:rPr>
          <w:b/>
          <w:sz w:val="32"/>
        </w:rPr>
      </w:pPr>
    </w:p>
    <w:p w14:paraId="42C99247" w14:textId="77777777" w:rsidR="00004B4B" w:rsidRPr="00C3180D" w:rsidRDefault="00004B4B" w:rsidP="00004B4B">
      <w:pPr>
        <w:ind w:right="84"/>
        <w:rPr>
          <w:b/>
          <w:sz w:val="32"/>
        </w:rPr>
      </w:pPr>
    </w:p>
    <w:p w14:paraId="3FEDFFAC" w14:textId="22BA664D" w:rsidR="00630720" w:rsidRDefault="00630720" w:rsidP="00004B4B">
      <w:pPr>
        <w:pStyle w:val="BodyText"/>
      </w:pPr>
    </w:p>
    <w:p w14:paraId="4D169BB5" w14:textId="77777777" w:rsidR="008F6F06" w:rsidRPr="008F6F06" w:rsidRDefault="008F6F06" w:rsidP="00366FD1">
      <w:pPr>
        <w:jc w:val="center"/>
        <w:rPr>
          <w:lang w:eastAsia="en-US"/>
        </w:rPr>
      </w:pPr>
    </w:p>
    <w:p w14:paraId="42387320" w14:textId="77777777" w:rsidR="008F6F06" w:rsidRPr="008F6F06" w:rsidRDefault="008F6F06" w:rsidP="008F6F06">
      <w:pPr>
        <w:rPr>
          <w:lang w:eastAsia="en-US"/>
        </w:rPr>
      </w:pPr>
    </w:p>
    <w:p w14:paraId="2918401F" w14:textId="0D8F5114" w:rsidR="008F6F06" w:rsidRPr="008F6F06" w:rsidRDefault="00FE441D" w:rsidP="0009272F">
      <w:pPr>
        <w:tabs>
          <w:tab w:val="left" w:pos="3308"/>
        </w:tabs>
        <w:jc w:val="center"/>
        <w:rPr>
          <w:lang w:eastAsia="en-US"/>
        </w:rPr>
      </w:pPr>
      <w:r w:rsidRPr="007148A4">
        <w:rPr>
          <w:b/>
          <w:caps/>
          <w:sz w:val="32"/>
        </w:rPr>
        <w:t>27</w:t>
      </w:r>
      <w:r>
        <w:rPr>
          <w:b/>
          <w:caps/>
          <w:sz w:val="32"/>
        </w:rPr>
        <w:t xml:space="preserve"> </w:t>
      </w:r>
      <w:r w:rsidR="00831F3A">
        <w:rPr>
          <w:b/>
          <w:caps/>
          <w:sz w:val="32"/>
        </w:rPr>
        <w:t>JULY</w:t>
      </w:r>
      <w:r w:rsidR="0009272F" w:rsidRPr="0009272F">
        <w:rPr>
          <w:b/>
          <w:caps/>
          <w:sz w:val="32"/>
        </w:rPr>
        <w:t xml:space="preserve"> 2018</w:t>
      </w:r>
    </w:p>
    <w:p w14:paraId="2DF91B24" w14:textId="2260A0AF" w:rsidR="008F6F06" w:rsidRDefault="008F6F06" w:rsidP="008F6F06">
      <w:pPr>
        <w:rPr>
          <w:lang w:eastAsia="en-US"/>
        </w:rPr>
      </w:pPr>
    </w:p>
    <w:p w14:paraId="70010E9F" w14:textId="4C6A5FEA" w:rsidR="00004B4B" w:rsidRPr="008F6F06" w:rsidRDefault="008F6F06" w:rsidP="008F6F06">
      <w:pPr>
        <w:tabs>
          <w:tab w:val="left" w:pos="6529"/>
        </w:tabs>
        <w:rPr>
          <w:lang w:eastAsia="en-US"/>
        </w:rPr>
      </w:pPr>
      <w:r>
        <w:rPr>
          <w:lang w:eastAsia="en-US"/>
        </w:rPr>
        <w:tab/>
      </w:r>
    </w:p>
    <w:p w14:paraId="3DABE066" w14:textId="3DF22DBE" w:rsidR="00004B4B" w:rsidRPr="00C3180D" w:rsidRDefault="00004B4B" w:rsidP="00004B4B">
      <w:pPr>
        <w:pStyle w:val="Heading1"/>
        <w:numPr>
          <w:ilvl w:val="0"/>
          <w:numId w:val="0"/>
        </w:numPr>
        <w:shd w:val="clear" w:color="auto" w:fill="E0E0E0"/>
        <w:jc w:val="left"/>
      </w:pPr>
      <w:bookmarkStart w:id="0" w:name="_Toc178581391"/>
      <w:bookmarkStart w:id="1" w:name="_Toc230143844"/>
      <w:bookmarkStart w:id="2" w:name="_Toc231200605"/>
      <w:bookmarkStart w:id="3" w:name="_Toc257039519"/>
      <w:bookmarkStart w:id="4" w:name="_Toc517257509"/>
      <w:bookmarkStart w:id="5" w:name="_Toc520359253"/>
      <w:r w:rsidRPr="00C3180D">
        <w:lastRenderedPageBreak/>
        <w:t>CONTENTS</w:t>
      </w:r>
      <w:bookmarkEnd w:id="0"/>
      <w:bookmarkEnd w:id="1"/>
      <w:bookmarkEnd w:id="2"/>
      <w:bookmarkEnd w:id="3"/>
      <w:bookmarkEnd w:id="4"/>
      <w:bookmarkEnd w:id="5"/>
    </w:p>
    <w:bookmarkStart w:id="6" w:name="_Toc231200606"/>
    <w:bookmarkStart w:id="7" w:name="_Toc257039520"/>
    <w:p w14:paraId="55B264AD" w14:textId="77777777" w:rsidR="00FE441D" w:rsidRDefault="00691842">
      <w:pPr>
        <w:pStyle w:val="TOC1"/>
        <w:tabs>
          <w:tab w:val="right" w:leader="dot" w:pos="9531"/>
        </w:tabs>
        <w:rPr>
          <w:rFonts w:asciiTheme="minorHAnsi" w:eastAsiaTheme="minorEastAsia" w:hAnsiTheme="minorHAnsi" w:cstheme="minorBidi"/>
          <w:b w:val="0"/>
          <w:bCs w:val="0"/>
          <w:caps w:val="0"/>
          <w:noProof/>
          <w:sz w:val="22"/>
          <w:szCs w:val="22"/>
        </w:rPr>
      </w:pPr>
      <w:r w:rsidRPr="00770559">
        <w:rPr>
          <w:rFonts w:cs="Arial"/>
          <w:bCs w:val="0"/>
          <w:caps w:val="0"/>
        </w:rPr>
        <w:fldChar w:fldCharType="begin"/>
      </w:r>
      <w:r>
        <w:rPr>
          <w:rFonts w:cs="Arial"/>
          <w:bCs w:val="0"/>
          <w:caps w:val="0"/>
        </w:rPr>
        <w:instrText xml:space="preserve"> TOC \o "1-2" \h \z \u </w:instrText>
      </w:r>
      <w:r w:rsidRPr="00770559">
        <w:rPr>
          <w:rFonts w:cs="Arial"/>
          <w:bCs w:val="0"/>
          <w:caps w:val="0"/>
        </w:rPr>
        <w:fldChar w:fldCharType="separate"/>
      </w:r>
      <w:hyperlink w:anchor="_Toc520359253" w:history="1">
        <w:r w:rsidR="00FE441D" w:rsidRPr="00A419B4">
          <w:rPr>
            <w:rStyle w:val="Hyperlink"/>
            <w:noProof/>
          </w:rPr>
          <w:t>CONTENTS</w:t>
        </w:r>
        <w:r w:rsidR="00FE441D">
          <w:rPr>
            <w:noProof/>
            <w:webHidden/>
          </w:rPr>
          <w:tab/>
        </w:r>
        <w:r w:rsidR="00FE441D">
          <w:rPr>
            <w:noProof/>
            <w:webHidden/>
          </w:rPr>
          <w:fldChar w:fldCharType="begin"/>
        </w:r>
        <w:r w:rsidR="00FE441D">
          <w:rPr>
            <w:noProof/>
            <w:webHidden/>
          </w:rPr>
          <w:instrText xml:space="preserve"> PAGEREF _Toc520359253 \h </w:instrText>
        </w:r>
        <w:r w:rsidR="00FE441D">
          <w:rPr>
            <w:noProof/>
            <w:webHidden/>
          </w:rPr>
        </w:r>
        <w:r w:rsidR="00FE441D">
          <w:rPr>
            <w:noProof/>
            <w:webHidden/>
          </w:rPr>
          <w:fldChar w:fldCharType="separate"/>
        </w:r>
        <w:r w:rsidR="00FE441D">
          <w:rPr>
            <w:noProof/>
            <w:webHidden/>
          </w:rPr>
          <w:t>2</w:t>
        </w:r>
        <w:r w:rsidR="00FE441D">
          <w:rPr>
            <w:noProof/>
            <w:webHidden/>
          </w:rPr>
          <w:fldChar w:fldCharType="end"/>
        </w:r>
      </w:hyperlink>
    </w:p>
    <w:p w14:paraId="37CD2C39" w14:textId="77777777" w:rsidR="00FE441D" w:rsidRDefault="007148A4">
      <w:pPr>
        <w:pStyle w:val="TOC1"/>
        <w:tabs>
          <w:tab w:val="right" w:leader="dot" w:pos="9531"/>
        </w:tabs>
        <w:rPr>
          <w:rFonts w:asciiTheme="minorHAnsi" w:eastAsiaTheme="minorEastAsia" w:hAnsiTheme="minorHAnsi" w:cstheme="minorBidi"/>
          <w:b w:val="0"/>
          <w:bCs w:val="0"/>
          <w:caps w:val="0"/>
          <w:noProof/>
          <w:sz w:val="22"/>
          <w:szCs w:val="22"/>
        </w:rPr>
      </w:pPr>
      <w:hyperlink w:anchor="_Toc520359254" w:history="1">
        <w:r w:rsidR="00FE441D" w:rsidRPr="00A419B4">
          <w:rPr>
            <w:rStyle w:val="Hyperlink"/>
            <w:noProof/>
          </w:rPr>
          <w:t>ABBREVIATIONS</w:t>
        </w:r>
        <w:r w:rsidR="00FE441D">
          <w:rPr>
            <w:noProof/>
            <w:webHidden/>
          </w:rPr>
          <w:tab/>
        </w:r>
        <w:r w:rsidR="00FE441D">
          <w:rPr>
            <w:noProof/>
            <w:webHidden/>
          </w:rPr>
          <w:fldChar w:fldCharType="begin"/>
        </w:r>
        <w:r w:rsidR="00FE441D">
          <w:rPr>
            <w:noProof/>
            <w:webHidden/>
          </w:rPr>
          <w:instrText xml:space="preserve"> PAGEREF _Toc520359254 \h </w:instrText>
        </w:r>
        <w:r w:rsidR="00FE441D">
          <w:rPr>
            <w:noProof/>
            <w:webHidden/>
          </w:rPr>
        </w:r>
        <w:r w:rsidR="00FE441D">
          <w:rPr>
            <w:noProof/>
            <w:webHidden/>
          </w:rPr>
          <w:fldChar w:fldCharType="separate"/>
        </w:r>
        <w:r w:rsidR="00FE441D">
          <w:rPr>
            <w:noProof/>
            <w:webHidden/>
          </w:rPr>
          <w:t>3</w:t>
        </w:r>
        <w:r w:rsidR="00FE441D">
          <w:rPr>
            <w:noProof/>
            <w:webHidden/>
          </w:rPr>
          <w:fldChar w:fldCharType="end"/>
        </w:r>
      </w:hyperlink>
    </w:p>
    <w:p w14:paraId="55264559"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55" w:history="1">
        <w:r w:rsidR="00FE441D" w:rsidRPr="00A419B4">
          <w:rPr>
            <w:rStyle w:val="Hyperlink"/>
            <w:noProof/>
          </w:rPr>
          <w:t>1</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EXECUTIVE SUMMARY</w:t>
        </w:r>
        <w:r w:rsidR="00FE441D">
          <w:rPr>
            <w:noProof/>
            <w:webHidden/>
          </w:rPr>
          <w:tab/>
        </w:r>
        <w:r w:rsidR="00FE441D">
          <w:rPr>
            <w:noProof/>
            <w:webHidden/>
          </w:rPr>
          <w:fldChar w:fldCharType="begin"/>
        </w:r>
        <w:r w:rsidR="00FE441D">
          <w:rPr>
            <w:noProof/>
            <w:webHidden/>
          </w:rPr>
          <w:instrText xml:space="preserve"> PAGEREF _Toc520359255 \h </w:instrText>
        </w:r>
        <w:r w:rsidR="00FE441D">
          <w:rPr>
            <w:noProof/>
            <w:webHidden/>
          </w:rPr>
        </w:r>
        <w:r w:rsidR="00FE441D">
          <w:rPr>
            <w:noProof/>
            <w:webHidden/>
          </w:rPr>
          <w:fldChar w:fldCharType="separate"/>
        </w:r>
        <w:r w:rsidR="00FE441D">
          <w:rPr>
            <w:noProof/>
            <w:webHidden/>
          </w:rPr>
          <w:t>4</w:t>
        </w:r>
        <w:r w:rsidR="00FE441D">
          <w:rPr>
            <w:noProof/>
            <w:webHidden/>
          </w:rPr>
          <w:fldChar w:fldCharType="end"/>
        </w:r>
      </w:hyperlink>
    </w:p>
    <w:p w14:paraId="383F3B7A"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56" w:history="1">
        <w:r w:rsidR="00FE441D" w:rsidRPr="00A419B4">
          <w:rPr>
            <w:rStyle w:val="Hyperlink"/>
            <w:noProof/>
          </w:rPr>
          <w:t>2</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BACKGROUND</w:t>
        </w:r>
        <w:r w:rsidR="00FE441D">
          <w:rPr>
            <w:noProof/>
            <w:webHidden/>
          </w:rPr>
          <w:tab/>
        </w:r>
        <w:r w:rsidR="00FE441D">
          <w:rPr>
            <w:noProof/>
            <w:webHidden/>
          </w:rPr>
          <w:fldChar w:fldCharType="begin"/>
        </w:r>
        <w:r w:rsidR="00FE441D">
          <w:rPr>
            <w:noProof/>
            <w:webHidden/>
          </w:rPr>
          <w:instrText xml:space="preserve"> PAGEREF _Toc520359256 \h </w:instrText>
        </w:r>
        <w:r w:rsidR="00FE441D">
          <w:rPr>
            <w:noProof/>
            <w:webHidden/>
          </w:rPr>
        </w:r>
        <w:r w:rsidR="00FE441D">
          <w:rPr>
            <w:noProof/>
            <w:webHidden/>
          </w:rPr>
          <w:fldChar w:fldCharType="separate"/>
        </w:r>
        <w:r w:rsidR="00FE441D">
          <w:rPr>
            <w:noProof/>
            <w:webHidden/>
          </w:rPr>
          <w:t>6</w:t>
        </w:r>
        <w:r w:rsidR="00FE441D">
          <w:rPr>
            <w:noProof/>
            <w:webHidden/>
          </w:rPr>
          <w:fldChar w:fldCharType="end"/>
        </w:r>
      </w:hyperlink>
    </w:p>
    <w:p w14:paraId="6CD9907C"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57" w:history="1">
        <w:r w:rsidR="00FE441D" w:rsidRPr="00A419B4">
          <w:rPr>
            <w:rStyle w:val="Hyperlink"/>
            <w:noProof/>
          </w:rPr>
          <w:t>3</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DETAIL OF ANNOUNCED TARIFFS</w:t>
        </w:r>
        <w:r w:rsidR="00FE441D">
          <w:rPr>
            <w:noProof/>
            <w:webHidden/>
          </w:rPr>
          <w:tab/>
        </w:r>
        <w:r w:rsidR="00FE441D">
          <w:rPr>
            <w:noProof/>
            <w:webHidden/>
          </w:rPr>
          <w:fldChar w:fldCharType="begin"/>
        </w:r>
        <w:r w:rsidR="00FE441D">
          <w:rPr>
            <w:noProof/>
            <w:webHidden/>
          </w:rPr>
          <w:instrText xml:space="preserve"> PAGEREF _Toc520359257 \h </w:instrText>
        </w:r>
        <w:r w:rsidR="00FE441D">
          <w:rPr>
            <w:noProof/>
            <w:webHidden/>
          </w:rPr>
        </w:r>
        <w:r w:rsidR="00FE441D">
          <w:rPr>
            <w:noProof/>
            <w:webHidden/>
          </w:rPr>
          <w:fldChar w:fldCharType="separate"/>
        </w:r>
        <w:r w:rsidR="00FE441D">
          <w:rPr>
            <w:noProof/>
            <w:webHidden/>
          </w:rPr>
          <w:t>8</w:t>
        </w:r>
        <w:r w:rsidR="00FE441D">
          <w:rPr>
            <w:noProof/>
            <w:webHidden/>
          </w:rPr>
          <w:fldChar w:fldCharType="end"/>
        </w:r>
      </w:hyperlink>
    </w:p>
    <w:p w14:paraId="7188C4BA" w14:textId="77777777" w:rsidR="00FE441D" w:rsidRDefault="007148A4">
      <w:pPr>
        <w:pStyle w:val="TOC2"/>
        <w:rPr>
          <w:rFonts w:asciiTheme="minorHAnsi" w:eastAsiaTheme="minorEastAsia" w:hAnsiTheme="minorHAnsi" w:cstheme="minorBidi"/>
          <w:smallCaps w:val="0"/>
          <w:noProof/>
          <w:sz w:val="22"/>
          <w:szCs w:val="22"/>
        </w:rPr>
      </w:pPr>
      <w:hyperlink w:anchor="_Toc520359258" w:history="1">
        <w:r w:rsidR="00FE441D" w:rsidRPr="00A419B4">
          <w:rPr>
            <w:rStyle w:val="Hyperlink"/>
            <w:noProof/>
          </w:rPr>
          <w:t>3.1</w:t>
        </w:r>
        <w:r w:rsidR="00FE441D">
          <w:rPr>
            <w:rFonts w:asciiTheme="minorHAnsi" w:eastAsiaTheme="minorEastAsia" w:hAnsiTheme="minorHAnsi" w:cstheme="minorBidi"/>
            <w:smallCaps w:val="0"/>
            <w:noProof/>
            <w:sz w:val="22"/>
            <w:szCs w:val="22"/>
          </w:rPr>
          <w:tab/>
        </w:r>
        <w:r w:rsidR="00FE441D" w:rsidRPr="00A419B4">
          <w:rPr>
            <w:rStyle w:val="Hyperlink"/>
            <w:noProof/>
          </w:rPr>
          <w:t>Presidential Proclamations</w:t>
        </w:r>
        <w:r w:rsidR="00FE441D">
          <w:rPr>
            <w:noProof/>
            <w:webHidden/>
          </w:rPr>
          <w:tab/>
        </w:r>
        <w:r w:rsidR="00FE441D">
          <w:rPr>
            <w:noProof/>
            <w:webHidden/>
          </w:rPr>
          <w:fldChar w:fldCharType="begin"/>
        </w:r>
        <w:r w:rsidR="00FE441D">
          <w:rPr>
            <w:noProof/>
            <w:webHidden/>
          </w:rPr>
          <w:instrText xml:space="preserve"> PAGEREF _Toc520359258 \h </w:instrText>
        </w:r>
        <w:r w:rsidR="00FE441D">
          <w:rPr>
            <w:noProof/>
            <w:webHidden/>
          </w:rPr>
        </w:r>
        <w:r w:rsidR="00FE441D">
          <w:rPr>
            <w:noProof/>
            <w:webHidden/>
          </w:rPr>
          <w:fldChar w:fldCharType="separate"/>
        </w:r>
        <w:r w:rsidR="00FE441D">
          <w:rPr>
            <w:noProof/>
            <w:webHidden/>
          </w:rPr>
          <w:t>8</w:t>
        </w:r>
        <w:r w:rsidR="00FE441D">
          <w:rPr>
            <w:noProof/>
            <w:webHidden/>
          </w:rPr>
          <w:fldChar w:fldCharType="end"/>
        </w:r>
      </w:hyperlink>
    </w:p>
    <w:p w14:paraId="26F01220" w14:textId="77777777" w:rsidR="00FE441D" w:rsidRDefault="007148A4">
      <w:pPr>
        <w:pStyle w:val="TOC2"/>
        <w:rPr>
          <w:rFonts w:asciiTheme="minorHAnsi" w:eastAsiaTheme="minorEastAsia" w:hAnsiTheme="minorHAnsi" w:cstheme="minorBidi"/>
          <w:smallCaps w:val="0"/>
          <w:noProof/>
          <w:sz w:val="22"/>
          <w:szCs w:val="22"/>
        </w:rPr>
      </w:pPr>
      <w:hyperlink w:anchor="_Toc520359259" w:history="1">
        <w:r w:rsidR="00FE441D" w:rsidRPr="00A419B4">
          <w:rPr>
            <w:rStyle w:val="Hyperlink"/>
            <w:noProof/>
          </w:rPr>
          <w:t>3.2</w:t>
        </w:r>
        <w:r w:rsidR="00FE441D">
          <w:rPr>
            <w:rFonts w:asciiTheme="minorHAnsi" w:eastAsiaTheme="minorEastAsia" w:hAnsiTheme="minorHAnsi" w:cstheme="minorBidi"/>
            <w:smallCaps w:val="0"/>
            <w:noProof/>
            <w:sz w:val="22"/>
            <w:szCs w:val="22"/>
          </w:rPr>
          <w:tab/>
        </w:r>
        <w:r w:rsidR="00FE441D" w:rsidRPr="00A419B4">
          <w:rPr>
            <w:rStyle w:val="Hyperlink"/>
            <w:noProof/>
          </w:rPr>
          <w:t>Tariff coverage</w:t>
        </w:r>
        <w:r w:rsidR="00FE441D">
          <w:rPr>
            <w:noProof/>
            <w:webHidden/>
          </w:rPr>
          <w:tab/>
        </w:r>
        <w:r w:rsidR="00FE441D">
          <w:rPr>
            <w:noProof/>
            <w:webHidden/>
          </w:rPr>
          <w:fldChar w:fldCharType="begin"/>
        </w:r>
        <w:r w:rsidR="00FE441D">
          <w:rPr>
            <w:noProof/>
            <w:webHidden/>
          </w:rPr>
          <w:instrText xml:space="preserve"> PAGEREF _Toc520359259 \h </w:instrText>
        </w:r>
        <w:r w:rsidR="00FE441D">
          <w:rPr>
            <w:noProof/>
            <w:webHidden/>
          </w:rPr>
        </w:r>
        <w:r w:rsidR="00FE441D">
          <w:rPr>
            <w:noProof/>
            <w:webHidden/>
          </w:rPr>
          <w:fldChar w:fldCharType="separate"/>
        </w:r>
        <w:r w:rsidR="00FE441D">
          <w:rPr>
            <w:noProof/>
            <w:webHidden/>
          </w:rPr>
          <w:t>8</w:t>
        </w:r>
        <w:r w:rsidR="00FE441D">
          <w:rPr>
            <w:noProof/>
            <w:webHidden/>
          </w:rPr>
          <w:fldChar w:fldCharType="end"/>
        </w:r>
      </w:hyperlink>
    </w:p>
    <w:p w14:paraId="62F42785"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60" w:history="1">
        <w:r w:rsidR="00FE441D" w:rsidRPr="00A419B4">
          <w:rPr>
            <w:rStyle w:val="Hyperlink"/>
            <w:noProof/>
          </w:rPr>
          <w:t>4</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GLOBAL STEEL AND ALUMINIUM INDUSTRIES</w:t>
        </w:r>
        <w:r w:rsidR="00FE441D">
          <w:rPr>
            <w:noProof/>
            <w:webHidden/>
          </w:rPr>
          <w:tab/>
        </w:r>
        <w:r w:rsidR="00FE441D">
          <w:rPr>
            <w:noProof/>
            <w:webHidden/>
          </w:rPr>
          <w:fldChar w:fldCharType="begin"/>
        </w:r>
        <w:r w:rsidR="00FE441D">
          <w:rPr>
            <w:noProof/>
            <w:webHidden/>
          </w:rPr>
          <w:instrText xml:space="preserve"> PAGEREF _Toc520359260 \h </w:instrText>
        </w:r>
        <w:r w:rsidR="00FE441D">
          <w:rPr>
            <w:noProof/>
            <w:webHidden/>
          </w:rPr>
        </w:r>
        <w:r w:rsidR="00FE441D">
          <w:rPr>
            <w:noProof/>
            <w:webHidden/>
          </w:rPr>
          <w:fldChar w:fldCharType="separate"/>
        </w:r>
        <w:r w:rsidR="00FE441D">
          <w:rPr>
            <w:noProof/>
            <w:webHidden/>
          </w:rPr>
          <w:t>10</w:t>
        </w:r>
        <w:r w:rsidR="00FE441D">
          <w:rPr>
            <w:noProof/>
            <w:webHidden/>
          </w:rPr>
          <w:fldChar w:fldCharType="end"/>
        </w:r>
      </w:hyperlink>
    </w:p>
    <w:p w14:paraId="4B9D079C"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61" w:history="1">
        <w:r w:rsidR="00FE441D" w:rsidRPr="00A419B4">
          <w:rPr>
            <w:rStyle w:val="Hyperlink"/>
            <w:noProof/>
          </w:rPr>
          <w:t>5</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CONSULTANT’S ADVICE – TRADE FLOWS AND IMPACTS</w:t>
        </w:r>
        <w:r w:rsidR="00FE441D">
          <w:rPr>
            <w:noProof/>
            <w:webHidden/>
          </w:rPr>
          <w:tab/>
        </w:r>
        <w:r w:rsidR="00FE441D">
          <w:rPr>
            <w:noProof/>
            <w:webHidden/>
          </w:rPr>
          <w:fldChar w:fldCharType="begin"/>
        </w:r>
        <w:r w:rsidR="00FE441D">
          <w:rPr>
            <w:noProof/>
            <w:webHidden/>
          </w:rPr>
          <w:instrText xml:space="preserve"> PAGEREF _Toc520359261 \h </w:instrText>
        </w:r>
        <w:r w:rsidR="00FE441D">
          <w:rPr>
            <w:noProof/>
            <w:webHidden/>
          </w:rPr>
        </w:r>
        <w:r w:rsidR="00FE441D">
          <w:rPr>
            <w:noProof/>
            <w:webHidden/>
          </w:rPr>
          <w:fldChar w:fldCharType="separate"/>
        </w:r>
        <w:r w:rsidR="00FE441D">
          <w:rPr>
            <w:noProof/>
            <w:webHidden/>
          </w:rPr>
          <w:t>12</w:t>
        </w:r>
        <w:r w:rsidR="00FE441D">
          <w:rPr>
            <w:noProof/>
            <w:webHidden/>
          </w:rPr>
          <w:fldChar w:fldCharType="end"/>
        </w:r>
      </w:hyperlink>
    </w:p>
    <w:p w14:paraId="6239D3E5" w14:textId="77777777" w:rsidR="00FE441D" w:rsidRDefault="007148A4">
      <w:pPr>
        <w:pStyle w:val="TOC2"/>
        <w:rPr>
          <w:rFonts w:asciiTheme="minorHAnsi" w:eastAsiaTheme="minorEastAsia" w:hAnsiTheme="minorHAnsi" w:cstheme="minorBidi"/>
          <w:smallCaps w:val="0"/>
          <w:noProof/>
          <w:sz w:val="22"/>
          <w:szCs w:val="22"/>
        </w:rPr>
      </w:pPr>
      <w:hyperlink w:anchor="_Toc520359262" w:history="1">
        <w:r w:rsidR="00FE441D" w:rsidRPr="00A419B4">
          <w:rPr>
            <w:rStyle w:val="Hyperlink"/>
            <w:noProof/>
          </w:rPr>
          <w:t>5.1</w:t>
        </w:r>
        <w:r w:rsidR="00FE441D">
          <w:rPr>
            <w:rFonts w:asciiTheme="minorHAnsi" w:eastAsiaTheme="minorEastAsia" w:hAnsiTheme="minorHAnsi" w:cstheme="minorBidi"/>
            <w:smallCaps w:val="0"/>
            <w:noProof/>
            <w:sz w:val="22"/>
            <w:szCs w:val="22"/>
          </w:rPr>
          <w:tab/>
        </w:r>
        <w:r w:rsidR="00FE441D" w:rsidRPr="00A419B4">
          <w:rPr>
            <w:rStyle w:val="Hyperlink"/>
            <w:noProof/>
          </w:rPr>
          <w:t>Background</w:t>
        </w:r>
        <w:r w:rsidR="00FE441D">
          <w:rPr>
            <w:noProof/>
            <w:webHidden/>
          </w:rPr>
          <w:tab/>
        </w:r>
        <w:r w:rsidR="00FE441D">
          <w:rPr>
            <w:noProof/>
            <w:webHidden/>
          </w:rPr>
          <w:fldChar w:fldCharType="begin"/>
        </w:r>
        <w:r w:rsidR="00FE441D">
          <w:rPr>
            <w:noProof/>
            <w:webHidden/>
          </w:rPr>
          <w:instrText xml:space="preserve"> PAGEREF _Toc520359262 \h </w:instrText>
        </w:r>
        <w:r w:rsidR="00FE441D">
          <w:rPr>
            <w:noProof/>
            <w:webHidden/>
          </w:rPr>
        </w:r>
        <w:r w:rsidR="00FE441D">
          <w:rPr>
            <w:noProof/>
            <w:webHidden/>
          </w:rPr>
          <w:fldChar w:fldCharType="separate"/>
        </w:r>
        <w:r w:rsidR="00FE441D">
          <w:rPr>
            <w:noProof/>
            <w:webHidden/>
          </w:rPr>
          <w:t>12</w:t>
        </w:r>
        <w:r w:rsidR="00FE441D">
          <w:rPr>
            <w:noProof/>
            <w:webHidden/>
          </w:rPr>
          <w:fldChar w:fldCharType="end"/>
        </w:r>
      </w:hyperlink>
    </w:p>
    <w:p w14:paraId="5F82EB6E" w14:textId="77777777" w:rsidR="00FE441D" w:rsidRDefault="007148A4">
      <w:pPr>
        <w:pStyle w:val="TOC2"/>
        <w:rPr>
          <w:rFonts w:asciiTheme="minorHAnsi" w:eastAsiaTheme="minorEastAsia" w:hAnsiTheme="minorHAnsi" w:cstheme="minorBidi"/>
          <w:smallCaps w:val="0"/>
          <w:noProof/>
          <w:sz w:val="22"/>
          <w:szCs w:val="22"/>
        </w:rPr>
      </w:pPr>
      <w:hyperlink w:anchor="_Toc520359263" w:history="1">
        <w:r w:rsidR="00FE441D" w:rsidRPr="00A419B4">
          <w:rPr>
            <w:rStyle w:val="Hyperlink"/>
            <w:noProof/>
          </w:rPr>
          <w:t>5.2</w:t>
        </w:r>
        <w:r w:rsidR="00FE441D">
          <w:rPr>
            <w:rFonts w:asciiTheme="minorHAnsi" w:eastAsiaTheme="minorEastAsia" w:hAnsiTheme="minorHAnsi" w:cstheme="minorBidi"/>
            <w:smallCaps w:val="0"/>
            <w:noProof/>
            <w:sz w:val="22"/>
            <w:szCs w:val="22"/>
          </w:rPr>
          <w:tab/>
        </w:r>
        <w:r w:rsidR="00FE441D" w:rsidRPr="00A419B4">
          <w:rPr>
            <w:rStyle w:val="Hyperlink"/>
            <w:noProof/>
          </w:rPr>
          <w:t>Findings</w:t>
        </w:r>
        <w:r w:rsidR="00FE441D">
          <w:rPr>
            <w:noProof/>
            <w:webHidden/>
          </w:rPr>
          <w:tab/>
        </w:r>
        <w:r w:rsidR="00FE441D">
          <w:rPr>
            <w:noProof/>
            <w:webHidden/>
          </w:rPr>
          <w:fldChar w:fldCharType="begin"/>
        </w:r>
        <w:r w:rsidR="00FE441D">
          <w:rPr>
            <w:noProof/>
            <w:webHidden/>
          </w:rPr>
          <w:instrText xml:space="preserve"> PAGEREF _Toc520359263 \h </w:instrText>
        </w:r>
        <w:r w:rsidR="00FE441D">
          <w:rPr>
            <w:noProof/>
            <w:webHidden/>
          </w:rPr>
        </w:r>
        <w:r w:rsidR="00FE441D">
          <w:rPr>
            <w:noProof/>
            <w:webHidden/>
          </w:rPr>
          <w:fldChar w:fldCharType="separate"/>
        </w:r>
        <w:r w:rsidR="00FE441D">
          <w:rPr>
            <w:noProof/>
            <w:webHidden/>
          </w:rPr>
          <w:t>13</w:t>
        </w:r>
        <w:r w:rsidR="00FE441D">
          <w:rPr>
            <w:noProof/>
            <w:webHidden/>
          </w:rPr>
          <w:fldChar w:fldCharType="end"/>
        </w:r>
      </w:hyperlink>
    </w:p>
    <w:p w14:paraId="3C8EC2BD" w14:textId="77777777" w:rsidR="00FE441D" w:rsidRDefault="007148A4">
      <w:pPr>
        <w:pStyle w:val="TOC2"/>
        <w:rPr>
          <w:rFonts w:asciiTheme="minorHAnsi" w:eastAsiaTheme="minorEastAsia" w:hAnsiTheme="minorHAnsi" w:cstheme="minorBidi"/>
          <w:smallCaps w:val="0"/>
          <w:noProof/>
          <w:sz w:val="22"/>
          <w:szCs w:val="22"/>
        </w:rPr>
      </w:pPr>
      <w:hyperlink w:anchor="_Toc520359264" w:history="1">
        <w:r w:rsidR="00FE441D" w:rsidRPr="00A419B4">
          <w:rPr>
            <w:rStyle w:val="Hyperlink"/>
            <w:noProof/>
          </w:rPr>
          <w:t>5.3</w:t>
        </w:r>
        <w:r w:rsidR="00FE441D">
          <w:rPr>
            <w:rFonts w:asciiTheme="minorHAnsi" w:eastAsiaTheme="minorEastAsia" w:hAnsiTheme="minorHAnsi" w:cstheme="minorBidi"/>
            <w:smallCaps w:val="0"/>
            <w:noProof/>
            <w:sz w:val="22"/>
            <w:szCs w:val="22"/>
          </w:rPr>
          <w:tab/>
        </w:r>
        <w:r w:rsidR="00FE441D" w:rsidRPr="00A419B4">
          <w:rPr>
            <w:rStyle w:val="Hyperlink"/>
            <w:noProof/>
          </w:rPr>
          <w:t>Limitations</w:t>
        </w:r>
        <w:r w:rsidR="00FE441D">
          <w:rPr>
            <w:noProof/>
            <w:webHidden/>
          </w:rPr>
          <w:tab/>
        </w:r>
        <w:r w:rsidR="00FE441D">
          <w:rPr>
            <w:noProof/>
            <w:webHidden/>
          </w:rPr>
          <w:fldChar w:fldCharType="begin"/>
        </w:r>
        <w:r w:rsidR="00FE441D">
          <w:rPr>
            <w:noProof/>
            <w:webHidden/>
          </w:rPr>
          <w:instrText xml:space="preserve"> PAGEREF _Toc520359264 \h </w:instrText>
        </w:r>
        <w:r w:rsidR="00FE441D">
          <w:rPr>
            <w:noProof/>
            <w:webHidden/>
          </w:rPr>
        </w:r>
        <w:r w:rsidR="00FE441D">
          <w:rPr>
            <w:noProof/>
            <w:webHidden/>
          </w:rPr>
          <w:fldChar w:fldCharType="separate"/>
        </w:r>
        <w:r w:rsidR="00FE441D">
          <w:rPr>
            <w:noProof/>
            <w:webHidden/>
          </w:rPr>
          <w:t>15</w:t>
        </w:r>
        <w:r w:rsidR="00FE441D">
          <w:rPr>
            <w:noProof/>
            <w:webHidden/>
          </w:rPr>
          <w:fldChar w:fldCharType="end"/>
        </w:r>
      </w:hyperlink>
    </w:p>
    <w:p w14:paraId="4BD19617"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65" w:history="1">
        <w:r w:rsidR="00FE441D" w:rsidRPr="00A419B4">
          <w:rPr>
            <w:rStyle w:val="Hyperlink"/>
            <w:noProof/>
          </w:rPr>
          <w:t>6</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EXISTING MECHANISMS</w:t>
        </w:r>
        <w:r w:rsidR="00FE441D">
          <w:rPr>
            <w:noProof/>
            <w:webHidden/>
          </w:rPr>
          <w:tab/>
        </w:r>
        <w:r w:rsidR="00FE441D">
          <w:rPr>
            <w:noProof/>
            <w:webHidden/>
          </w:rPr>
          <w:fldChar w:fldCharType="begin"/>
        </w:r>
        <w:r w:rsidR="00FE441D">
          <w:rPr>
            <w:noProof/>
            <w:webHidden/>
          </w:rPr>
          <w:instrText xml:space="preserve"> PAGEREF _Toc520359265 \h </w:instrText>
        </w:r>
        <w:r w:rsidR="00FE441D">
          <w:rPr>
            <w:noProof/>
            <w:webHidden/>
          </w:rPr>
        </w:r>
        <w:r w:rsidR="00FE441D">
          <w:rPr>
            <w:noProof/>
            <w:webHidden/>
          </w:rPr>
          <w:fldChar w:fldCharType="separate"/>
        </w:r>
        <w:r w:rsidR="00FE441D">
          <w:rPr>
            <w:noProof/>
            <w:webHidden/>
          </w:rPr>
          <w:t>16</w:t>
        </w:r>
        <w:r w:rsidR="00FE441D">
          <w:rPr>
            <w:noProof/>
            <w:webHidden/>
          </w:rPr>
          <w:fldChar w:fldCharType="end"/>
        </w:r>
      </w:hyperlink>
    </w:p>
    <w:p w14:paraId="4277CA7F" w14:textId="77777777" w:rsidR="00FE441D" w:rsidRDefault="007148A4">
      <w:pPr>
        <w:pStyle w:val="TOC2"/>
        <w:rPr>
          <w:rFonts w:asciiTheme="minorHAnsi" w:eastAsiaTheme="minorEastAsia" w:hAnsiTheme="minorHAnsi" w:cstheme="minorBidi"/>
          <w:smallCaps w:val="0"/>
          <w:noProof/>
          <w:sz w:val="22"/>
          <w:szCs w:val="22"/>
        </w:rPr>
      </w:pPr>
      <w:hyperlink w:anchor="_Toc520359266" w:history="1">
        <w:r w:rsidR="00FE441D" w:rsidRPr="00A419B4">
          <w:rPr>
            <w:rStyle w:val="Hyperlink"/>
            <w:noProof/>
          </w:rPr>
          <w:t>6.1</w:t>
        </w:r>
        <w:r w:rsidR="00FE441D">
          <w:rPr>
            <w:rFonts w:asciiTheme="minorHAnsi" w:eastAsiaTheme="minorEastAsia" w:hAnsiTheme="minorHAnsi" w:cstheme="minorBidi"/>
            <w:smallCaps w:val="0"/>
            <w:noProof/>
            <w:sz w:val="22"/>
            <w:szCs w:val="22"/>
          </w:rPr>
          <w:tab/>
        </w:r>
        <w:r w:rsidR="00FE441D" w:rsidRPr="00A419B4">
          <w:rPr>
            <w:rStyle w:val="Hyperlink"/>
            <w:noProof/>
          </w:rPr>
          <w:t>Anti-dumping and countervailing</w:t>
        </w:r>
        <w:r w:rsidR="00FE441D">
          <w:rPr>
            <w:noProof/>
            <w:webHidden/>
          </w:rPr>
          <w:tab/>
        </w:r>
        <w:r w:rsidR="00FE441D">
          <w:rPr>
            <w:noProof/>
            <w:webHidden/>
          </w:rPr>
          <w:fldChar w:fldCharType="begin"/>
        </w:r>
        <w:r w:rsidR="00FE441D">
          <w:rPr>
            <w:noProof/>
            <w:webHidden/>
          </w:rPr>
          <w:instrText xml:space="preserve"> PAGEREF _Toc520359266 \h </w:instrText>
        </w:r>
        <w:r w:rsidR="00FE441D">
          <w:rPr>
            <w:noProof/>
            <w:webHidden/>
          </w:rPr>
        </w:r>
        <w:r w:rsidR="00FE441D">
          <w:rPr>
            <w:noProof/>
            <w:webHidden/>
          </w:rPr>
          <w:fldChar w:fldCharType="separate"/>
        </w:r>
        <w:r w:rsidR="00FE441D">
          <w:rPr>
            <w:noProof/>
            <w:webHidden/>
          </w:rPr>
          <w:t>16</w:t>
        </w:r>
        <w:r w:rsidR="00FE441D">
          <w:rPr>
            <w:noProof/>
            <w:webHidden/>
          </w:rPr>
          <w:fldChar w:fldCharType="end"/>
        </w:r>
      </w:hyperlink>
    </w:p>
    <w:p w14:paraId="08A03153"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67" w:history="1">
        <w:r w:rsidR="00FE441D" w:rsidRPr="00A419B4">
          <w:rPr>
            <w:rStyle w:val="Hyperlink"/>
            <w:noProof/>
          </w:rPr>
          <w:t>7</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CONSULTATION</w:t>
        </w:r>
        <w:r w:rsidR="00FE441D">
          <w:rPr>
            <w:noProof/>
            <w:webHidden/>
          </w:rPr>
          <w:tab/>
        </w:r>
        <w:r w:rsidR="00FE441D">
          <w:rPr>
            <w:noProof/>
            <w:webHidden/>
          </w:rPr>
          <w:fldChar w:fldCharType="begin"/>
        </w:r>
        <w:r w:rsidR="00FE441D">
          <w:rPr>
            <w:noProof/>
            <w:webHidden/>
          </w:rPr>
          <w:instrText xml:space="preserve"> PAGEREF _Toc520359267 \h </w:instrText>
        </w:r>
        <w:r w:rsidR="00FE441D">
          <w:rPr>
            <w:noProof/>
            <w:webHidden/>
          </w:rPr>
        </w:r>
        <w:r w:rsidR="00FE441D">
          <w:rPr>
            <w:noProof/>
            <w:webHidden/>
          </w:rPr>
          <w:fldChar w:fldCharType="separate"/>
        </w:r>
        <w:r w:rsidR="00FE441D">
          <w:rPr>
            <w:noProof/>
            <w:webHidden/>
          </w:rPr>
          <w:t>19</w:t>
        </w:r>
        <w:r w:rsidR="00FE441D">
          <w:rPr>
            <w:noProof/>
            <w:webHidden/>
          </w:rPr>
          <w:fldChar w:fldCharType="end"/>
        </w:r>
      </w:hyperlink>
    </w:p>
    <w:p w14:paraId="0490DFB3" w14:textId="77777777" w:rsidR="00FE441D" w:rsidRDefault="007148A4">
      <w:pPr>
        <w:pStyle w:val="TOC2"/>
        <w:rPr>
          <w:rFonts w:asciiTheme="minorHAnsi" w:eastAsiaTheme="minorEastAsia" w:hAnsiTheme="minorHAnsi" w:cstheme="minorBidi"/>
          <w:smallCaps w:val="0"/>
          <w:noProof/>
          <w:sz w:val="22"/>
          <w:szCs w:val="22"/>
        </w:rPr>
      </w:pPr>
      <w:hyperlink w:anchor="_Toc520359268" w:history="1">
        <w:r w:rsidR="00FE441D" w:rsidRPr="00A419B4">
          <w:rPr>
            <w:rStyle w:val="Hyperlink"/>
            <w:noProof/>
          </w:rPr>
          <w:t>7.1</w:t>
        </w:r>
        <w:r w:rsidR="00FE441D">
          <w:rPr>
            <w:rFonts w:asciiTheme="minorHAnsi" w:eastAsiaTheme="minorEastAsia" w:hAnsiTheme="minorHAnsi" w:cstheme="minorBidi"/>
            <w:smallCaps w:val="0"/>
            <w:noProof/>
            <w:sz w:val="22"/>
            <w:szCs w:val="22"/>
          </w:rPr>
          <w:tab/>
        </w:r>
        <w:r w:rsidR="00FE441D" w:rsidRPr="00A419B4">
          <w:rPr>
            <w:rStyle w:val="Hyperlink"/>
            <w:noProof/>
          </w:rPr>
          <w:t>Query on employment impacts at the ITRF meeting</w:t>
        </w:r>
        <w:r w:rsidR="00FE441D">
          <w:rPr>
            <w:noProof/>
            <w:webHidden/>
          </w:rPr>
          <w:tab/>
        </w:r>
        <w:r w:rsidR="00FE441D">
          <w:rPr>
            <w:noProof/>
            <w:webHidden/>
          </w:rPr>
          <w:fldChar w:fldCharType="begin"/>
        </w:r>
        <w:r w:rsidR="00FE441D">
          <w:rPr>
            <w:noProof/>
            <w:webHidden/>
          </w:rPr>
          <w:instrText xml:space="preserve"> PAGEREF _Toc520359268 \h </w:instrText>
        </w:r>
        <w:r w:rsidR="00FE441D">
          <w:rPr>
            <w:noProof/>
            <w:webHidden/>
          </w:rPr>
        </w:r>
        <w:r w:rsidR="00FE441D">
          <w:rPr>
            <w:noProof/>
            <w:webHidden/>
          </w:rPr>
          <w:fldChar w:fldCharType="separate"/>
        </w:r>
        <w:r w:rsidR="00FE441D">
          <w:rPr>
            <w:noProof/>
            <w:webHidden/>
          </w:rPr>
          <w:t>19</w:t>
        </w:r>
        <w:r w:rsidR="00FE441D">
          <w:rPr>
            <w:noProof/>
            <w:webHidden/>
          </w:rPr>
          <w:fldChar w:fldCharType="end"/>
        </w:r>
      </w:hyperlink>
    </w:p>
    <w:p w14:paraId="44E27F63" w14:textId="77777777" w:rsidR="00FE441D" w:rsidRDefault="007148A4">
      <w:pPr>
        <w:pStyle w:val="TOC2"/>
        <w:rPr>
          <w:rFonts w:asciiTheme="minorHAnsi" w:eastAsiaTheme="minorEastAsia" w:hAnsiTheme="minorHAnsi" w:cstheme="minorBidi"/>
          <w:smallCaps w:val="0"/>
          <w:noProof/>
          <w:sz w:val="22"/>
          <w:szCs w:val="22"/>
        </w:rPr>
      </w:pPr>
      <w:hyperlink w:anchor="_Toc520359269" w:history="1">
        <w:r w:rsidR="00FE441D" w:rsidRPr="00A419B4">
          <w:rPr>
            <w:rStyle w:val="Hyperlink"/>
            <w:noProof/>
          </w:rPr>
          <w:t>7.2</w:t>
        </w:r>
        <w:r w:rsidR="00FE441D">
          <w:rPr>
            <w:rFonts w:asciiTheme="minorHAnsi" w:eastAsiaTheme="minorEastAsia" w:hAnsiTheme="minorHAnsi" w:cstheme="minorBidi"/>
            <w:smallCaps w:val="0"/>
            <w:noProof/>
            <w:sz w:val="22"/>
            <w:szCs w:val="22"/>
          </w:rPr>
          <w:tab/>
        </w:r>
        <w:r w:rsidR="00FE441D" w:rsidRPr="00A419B4">
          <w:rPr>
            <w:rStyle w:val="Hyperlink"/>
            <w:noProof/>
          </w:rPr>
          <w:t>Submission by Australian Steel Association</w:t>
        </w:r>
        <w:r w:rsidR="00FE441D">
          <w:rPr>
            <w:noProof/>
            <w:webHidden/>
          </w:rPr>
          <w:tab/>
        </w:r>
        <w:r w:rsidR="00FE441D">
          <w:rPr>
            <w:noProof/>
            <w:webHidden/>
          </w:rPr>
          <w:fldChar w:fldCharType="begin"/>
        </w:r>
        <w:r w:rsidR="00FE441D">
          <w:rPr>
            <w:noProof/>
            <w:webHidden/>
          </w:rPr>
          <w:instrText xml:space="preserve"> PAGEREF _Toc520359269 \h </w:instrText>
        </w:r>
        <w:r w:rsidR="00FE441D">
          <w:rPr>
            <w:noProof/>
            <w:webHidden/>
          </w:rPr>
        </w:r>
        <w:r w:rsidR="00FE441D">
          <w:rPr>
            <w:noProof/>
            <w:webHidden/>
          </w:rPr>
          <w:fldChar w:fldCharType="separate"/>
        </w:r>
        <w:r w:rsidR="00FE441D">
          <w:rPr>
            <w:noProof/>
            <w:webHidden/>
          </w:rPr>
          <w:t>19</w:t>
        </w:r>
        <w:r w:rsidR="00FE441D">
          <w:rPr>
            <w:noProof/>
            <w:webHidden/>
          </w:rPr>
          <w:fldChar w:fldCharType="end"/>
        </w:r>
      </w:hyperlink>
    </w:p>
    <w:p w14:paraId="403DDCFF" w14:textId="77777777" w:rsidR="00FE441D" w:rsidRDefault="007148A4">
      <w:pPr>
        <w:pStyle w:val="TOC2"/>
        <w:rPr>
          <w:rFonts w:asciiTheme="minorHAnsi" w:eastAsiaTheme="minorEastAsia" w:hAnsiTheme="minorHAnsi" w:cstheme="minorBidi"/>
          <w:smallCaps w:val="0"/>
          <w:noProof/>
          <w:sz w:val="22"/>
          <w:szCs w:val="22"/>
        </w:rPr>
      </w:pPr>
      <w:hyperlink w:anchor="_Toc520359270" w:history="1">
        <w:r w:rsidR="00FE441D" w:rsidRPr="00A419B4">
          <w:rPr>
            <w:rStyle w:val="Hyperlink"/>
            <w:noProof/>
          </w:rPr>
          <w:t>7.3</w:t>
        </w:r>
        <w:r w:rsidR="00FE441D">
          <w:rPr>
            <w:rFonts w:asciiTheme="minorHAnsi" w:eastAsiaTheme="minorEastAsia" w:hAnsiTheme="minorHAnsi" w:cstheme="minorBidi"/>
            <w:smallCaps w:val="0"/>
            <w:noProof/>
            <w:sz w:val="22"/>
            <w:szCs w:val="22"/>
          </w:rPr>
          <w:tab/>
        </w:r>
        <w:r w:rsidR="00FE441D" w:rsidRPr="00A419B4">
          <w:rPr>
            <w:rStyle w:val="Hyperlink"/>
            <w:noProof/>
          </w:rPr>
          <w:t>Submission by BlueScope Steel</w:t>
        </w:r>
        <w:r w:rsidR="00FE441D">
          <w:rPr>
            <w:noProof/>
            <w:webHidden/>
          </w:rPr>
          <w:tab/>
        </w:r>
        <w:r w:rsidR="00FE441D">
          <w:rPr>
            <w:noProof/>
            <w:webHidden/>
          </w:rPr>
          <w:fldChar w:fldCharType="begin"/>
        </w:r>
        <w:r w:rsidR="00FE441D">
          <w:rPr>
            <w:noProof/>
            <w:webHidden/>
          </w:rPr>
          <w:instrText xml:space="preserve"> PAGEREF _Toc520359270 \h </w:instrText>
        </w:r>
        <w:r w:rsidR="00FE441D">
          <w:rPr>
            <w:noProof/>
            <w:webHidden/>
          </w:rPr>
        </w:r>
        <w:r w:rsidR="00FE441D">
          <w:rPr>
            <w:noProof/>
            <w:webHidden/>
          </w:rPr>
          <w:fldChar w:fldCharType="separate"/>
        </w:r>
        <w:r w:rsidR="00FE441D">
          <w:rPr>
            <w:noProof/>
            <w:webHidden/>
          </w:rPr>
          <w:t>19</w:t>
        </w:r>
        <w:r w:rsidR="00FE441D">
          <w:rPr>
            <w:noProof/>
            <w:webHidden/>
          </w:rPr>
          <w:fldChar w:fldCharType="end"/>
        </w:r>
      </w:hyperlink>
    </w:p>
    <w:p w14:paraId="2053E8EC" w14:textId="77777777" w:rsidR="00FE441D" w:rsidRDefault="007148A4">
      <w:pPr>
        <w:pStyle w:val="TOC2"/>
        <w:rPr>
          <w:rFonts w:asciiTheme="minorHAnsi" w:eastAsiaTheme="minorEastAsia" w:hAnsiTheme="minorHAnsi" w:cstheme="minorBidi"/>
          <w:smallCaps w:val="0"/>
          <w:noProof/>
          <w:sz w:val="22"/>
          <w:szCs w:val="22"/>
        </w:rPr>
      </w:pPr>
      <w:hyperlink w:anchor="_Toc520359271" w:history="1">
        <w:r w:rsidR="00FE441D" w:rsidRPr="00A419B4">
          <w:rPr>
            <w:rStyle w:val="Hyperlink"/>
            <w:noProof/>
          </w:rPr>
          <w:t>7.4</w:t>
        </w:r>
        <w:r w:rsidR="00FE441D">
          <w:rPr>
            <w:rFonts w:asciiTheme="minorHAnsi" w:eastAsiaTheme="minorEastAsia" w:hAnsiTheme="minorHAnsi" w:cstheme="minorBidi"/>
            <w:smallCaps w:val="0"/>
            <w:noProof/>
            <w:sz w:val="22"/>
            <w:szCs w:val="22"/>
          </w:rPr>
          <w:tab/>
        </w:r>
        <w:r w:rsidR="00FE441D" w:rsidRPr="00A419B4">
          <w:rPr>
            <w:rStyle w:val="Hyperlink"/>
            <w:noProof/>
          </w:rPr>
          <w:t>Submission by Capral Limited</w:t>
        </w:r>
        <w:r w:rsidR="00FE441D">
          <w:rPr>
            <w:noProof/>
            <w:webHidden/>
          </w:rPr>
          <w:tab/>
        </w:r>
        <w:r w:rsidR="00FE441D">
          <w:rPr>
            <w:noProof/>
            <w:webHidden/>
          </w:rPr>
          <w:fldChar w:fldCharType="begin"/>
        </w:r>
        <w:r w:rsidR="00FE441D">
          <w:rPr>
            <w:noProof/>
            <w:webHidden/>
          </w:rPr>
          <w:instrText xml:space="preserve"> PAGEREF _Toc520359271 \h </w:instrText>
        </w:r>
        <w:r w:rsidR="00FE441D">
          <w:rPr>
            <w:noProof/>
            <w:webHidden/>
          </w:rPr>
        </w:r>
        <w:r w:rsidR="00FE441D">
          <w:rPr>
            <w:noProof/>
            <w:webHidden/>
          </w:rPr>
          <w:fldChar w:fldCharType="separate"/>
        </w:r>
        <w:r w:rsidR="00FE441D">
          <w:rPr>
            <w:noProof/>
            <w:webHidden/>
          </w:rPr>
          <w:t>20</w:t>
        </w:r>
        <w:r w:rsidR="00FE441D">
          <w:rPr>
            <w:noProof/>
            <w:webHidden/>
          </w:rPr>
          <w:fldChar w:fldCharType="end"/>
        </w:r>
      </w:hyperlink>
    </w:p>
    <w:p w14:paraId="4E1B67BF" w14:textId="77777777" w:rsidR="00FE441D" w:rsidRDefault="007148A4">
      <w:pPr>
        <w:pStyle w:val="TOC2"/>
        <w:rPr>
          <w:rFonts w:asciiTheme="minorHAnsi" w:eastAsiaTheme="minorEastAsia" w:hAnsiTheme="minorHAnsi" w:cstheme="minorBidi"/>
          <w:smallCaps w:val="0"/>
          <w:noProof/>
          <w:sz w:val="22"/>
          <w:szCs w:val="22"/>
        </w:rPr>
      </w:pPr>
      <w:hyperlink w:anchor="_Toc520359272" w:history="1">
        <w:r w:rsidR="00FE441D" w:rsidRPr="00A419B4">
          <w:rPr>
            <w:rStyle w:val="Hyperlink"/>
            <w:noProof/>
          </w:rPr>
          <w:t>7.5</w:t>
        </w:r>
        <w:r w:rsidR="00FE441D">
          <w:rPr>
            <w:rFonts w:asciiTheme="minorHAnsi" w:eastAsiaTheme="minorEastAsia" w:hAnsiTheme="minorHAnsi" w:cstheme="minorBidi"/>
            <w:smallCaps w:val="0"/>
            <w:noProof/>
            <w:sz w:val="22"/>
            <w:szCs w:val="22"/>
          </w:rPr>
          <w:tab/>
        </w:r>
        <w:r w:rsidR="00FE441D" w:rsidRPr="00A419B4">
          <w:rPr>
            <w:rStyle w:val="Hyperlink"/>
            <w:noProof/>
          </w:rPr>
          <w:t>Submission by the Constructions, Forestry, Maritime, Mining and Energy Union (CFMEU), the Australian Manufacturing Workers’ Union (AMWU) and the Australian Workers Union</w:t>
        </w:r>
        <w:r w:rsidR="00FE441D">
          <w:rPr>
            <w:noProof/>
            <w:webHidden/>
          </w:rPr>
          <w:tab/>
        </w:r>
        <w:r w:rsidR="00FE441D">
          <w:rPr>
            <w:noProof/>
            <w:webHidden/>
          </w:rPr>
          <w:fldChar w:fldCharType="begin"/>
        </w:r>
        <w:r w:rsidR="00FE441D">
          <w:rPr>
            <w:noProof/>
            <w:webHidden/>
          </w:rPr>
          <w:instrText xml:space="preserve"> PAGEREF _Toc520359272 \h </w:instrText>
        </w:r>
        <w:r w:rsidR="00FE441D">
          <w:rPr>
            <w:noProof/>
            <w:webHidden/>
          </w:rPr>
        </w:r>
        <w:r w:rsidR="00FE441D">
          <w:rPr>
            <w:noProof/>
            <w:webHidden/>
          </w:rPr>
          <w:fldChar w:fldCharType="separate"/>
        </w:r>
        <w:r w:rsidR="00FE441D">
          <w:rPr>
            <w:noProof/>
            <w:webHidden/>
          </w:rPr>
          <w:t>20</w:t>
        </w:r>
        <w:r w:rsidR="00FE441D">
          <w:rPr>
            <w:noProof/>
            <w:webHidden/>
          </w:rPr>
          <w:fldChar w:fldCharType="end"/>
        </w:r>
      </w:hyperlink>
    </w:p>
    <w:p w14:paraId="0C67E534" w14:textId="77777777" w:rsidR="00FE441D" w:rsidRDefault="007148A4">
      <w:pPr>
        <w:pStyle w:val="TOC2"/>
        <w:rPr>
          <w:rFonts w:asciiTheme="minorHAnsi" w:eastAsiaTheme="minorEastAsia" w:hAnsiTheme="minorHAnsi" w:cstheme="minorBidi"/>
          <w:smallCaps w:val="0"/>
          <w:noProof/>
          <w:sz w:val="22"/>
          <w:szCs w:val="22"/>
        </w:rPr>
      </w:pPr>
      <w:hyperlink w:anchor="_Toc520359273" w:history="1">
        <w:r w:rsidR="00FE441D" w:rsidRPr="00A419B4">
          <w:rPr>
            <w:rStyle w:val="Hyperlink"/>
            <w:noProof/>
          </w:rPr>
          <w:t>7.6</w:t>
        </w:r>
        <w:r w:rsidR="00FE441D">
          <w:rPr>
            <w:rFonts w:asciiTheme="minorHAnsi" w:eastAsiaTheme="minorEastAsia" w:hAnsiTheme="minorHAnsi" w:cstheme="minorBidi"/>
            <w:smallCaps w:val="0"/>
            <w:noProof/>
            <w:sz w:val="22"/>
            <w:szCs w:val="22"/>
          </w:rPr>
          <w:tab/>
        </w:r>
        <w:r w:rsidR="00FE441D" w:rsidRPr="00A419B4">
          <w:rPr>
            <w:rStyle w:val="Hyperlink"/>
            <w:noProof/>
          </w:rPr>
          <w:t>Submission by Liberty Onesteel</w:t>
        </w:r>
        <w:r w:rsidR="00FE441D">
          <w:rPr>
            <w:noProof/>
            <w:webHidden/>
          </w:rPr>
          <w:tab/>
        </w:r>
        <w:r w:rsidR="00FE441D">
          <w:rPr>
            <w:noProof/>
            <w:webHidden/>
          </w:rPr>
          <w:fldChar w:fldCharType="begin"/>
        </w:r>
        <w:r w:rsidR="00FE441D">
          <w:rPr>
            <w:noProof/>
            <w:webHidden/>
          </w:rPr>
          <w:instrText xml:space="preserve"> PAGEREF _Toc520359273 \h </w:instrText>
        </w:r>
        <w:r w:rsidR="00FE441D">
          <w:rPr>
            <w:noProof/>
            <w:webHidden/>
          </w:rPr>
        </w:r>
        <w:r w:rsidR="00FE441D">
          <w:rPr>
            <w:noProof/>
            <w:webHidden/>
          </w:rPr>
          <w:fldChar w:fldCharType="separate"/>
        </w:r>
        <w:r w:rsidR="00FE441D">
          <w:rPr>
            <w:noProof/>
            <w:webHidden/>
          </w:rPr>
          <w:t>21</w:t>
        </w:r>
        <w:r w:rsidR="00FE441D">
          <w:rPr>
            <w:noProof/>
            <w:webHidden/>
          </w:rPr>
          <w:fldChar w:fldCharType="end"/>
        </w:r>
      </w:hyperlink>
    </w:p>
    <w:p w14:paraId="08D0B511" w14:textId="77777777" w:rsidR="00FE441D" w:rsidRDefault="007148A4">
      <w:pPr>
        <w:pStyle w:val="TOC2"/>
        <w:rPr>
          <w:rFonts w:asciiTheme="minorHAnsi" w:eastAsiaTheme="minorEastAsia" w:hAnsiTheme="minorHAnsi" w:cstheme="minorBidi"/>
          <w:smallCaps w:val="0"/>
          <w:noProof/>
          <w:sz w:val="22"/>
          <w:szCs w:val="22"/>
        </w:rPr>
      </w:pPr>
      <w:hyperlink w:anchor="_Toc520359274" w:history="1">
        <w:r w:rsidR="00FE441D" w:rsidRPr="00A419B4">
          <w:rPr>
            <w:rStyle w:val="Hyperlink"/>
            <w:noProof/>
          </w:rPr>
          <w:t>7.7</w:t>
        </w:r>
        <w:r w:rsidR="00FE441D">
          <w:rPr>
            <w:rFonts w:asciiTheme="minorHAnsi" w:eastAsiaTheme="minorEastAsia" w:hAnsiTheme="minorHAnsi" w:cstheme="minorBidi"/>
            <w:smallCaps w:val="0"/>
            <w:noProof/>
            <w:sz w:val="22"/>
            <w:szCs w:val="22"/>
          </w:rPr>
          <w:tab/>
        </w:r>
        <w:r w:rsidR="00FE441D" w:rsidRPr="00A419B4">
          <w:rPr>
            <w:rStyle w:val="Hyperlink"/>
            <w:noProof/>
          </w:rPr>
          <w:t>Commissioner’s observations</w:t>
        </w:r>
        <w:r w:rsidR="00FE441D">
          <w:rPr>
            <w:noProof/>
            <w:webHidden/>
          </w:rPr>
          <w:tab/>
        </w:r>
        <w:r w:rsidR="00FE441D">
          <w:rPr>
            <w:noProof/>
            <w:webHidden/>
          </w:rPr>
          <w:fldChar w:fldCharType="begin"/>
        </w:r>
        <w:r w:rsidR="00FE441D">
          <w:rPr>
            <w:noProof/>
            <w:webHidden/>
          </w:rPr>
          <w:instrText xml:space="preserve"> PAGEREF _Toc520359274 \h </w:instrText>
        </w:r>
        <w:r w:rsidR="00FE441D">
          <w:rPr>
            <w:noProof/>
            <w:webHidden/>
          </w:rPr>
        </w:r>
        <w:r w:rsidR="00FE441D">
          <w:rPr>
            <w:noProof/>
            <w:webHidden/>
          </w:rPr>
          <w:fldChar w:fldCharType="separate"/>
        </w:r>
        <w:r w:rsidR="00FE441D">
          <w:rPr>
            <w:noProof/>
            <w:webHidden/>
          </w:rPr>
          <w:t>21</w:t>
        </w:r>
        <w:r w:rsidR="00FE441D">
          <w:rPr>
            <w:noProof/>
            <w:webHidden/>
          </w:rPr>
          <w:fldChar w:fldCharType="end"/>
        </w:r>
      </w:hyperlink>
    </w:p>
    <w:p w14:paraId="49BEF0FE" w14:textId="77777777" w:rsidR="00FE441D" w:rsidRDefault="007148A4">
      <w:pPr>
        <w:pStyle w:val="TOC2"/>
        <w:rPr>
          <w:rFonts w:asciiTheme="minorHAnsi" w:eastAsiaTheme="minorEastAsia" w:hAnsiTheme="minorHAnsi" w:cstheme="minorBidi"/>
          <w:smallCaps w:val="0"/>
          <w:noProof/>
          <w:sz w:val="22"/>
          <w:szCs w:val="22"/>
        </w:rPr>
      </w:pPr>
      <w:hyperlink w:anchor="_Toc520359275" w:history="1">
        <w:r w:rsidR="00FE441D" w:rsidRPr="00A419B4">
          <w:rPr>
            <w:rStyle w:val="Hyperlink"/>
            <w:noProof/>
          </w:rPr>
          <w:t>7.8</w:t>
        </w:r>
        <w:r w:rsidR="00FE441D">
          <w:rPr>
            <w:rFonts w:asciiTheme="minorHAnsi" w:eastAsiaTheme="minorEastAsia" w:hAnsiTheme="minorHAnsi" w:cstheme="minorBidi"/>
            <w:smallCaps w:val="0"/>
            <w:noProof/>
            <w:sz w:val="22"/>
            <w:szCs w:val="22"/>
          </w:rPr>
          <w:tab/>
        </w:r>
        <w:r w:rsidR="00FE441D" w:rsidRPr="00A419B4">
          <w:rPr>
            <w:rStyle w:val="Hyperlink"/>
            <w:noProof/>
          </w:rPr>
          <w:t>Consultation draft</w:t>
        </w:r>
        <w:r w:rsidR="00FE441D">
          <w:rPr>
            <w:noProof/>
            <w:webHidden/>
          </w:rPr>
          <w:tab/>
        </w:r>
        <w:r w:rsidR="00FE441D">
          <w:rPr>
            <w:noProof/>
            <w:webHidden/>
          </w:rPr>
          <w:fldChar w:fldCharType="begin"/>
        </w:r>
        <w:r w:rsidR="00FE441D">
          <w:rPr>
            <w:noProof/>
            <w:webHidden/>
          </w:rPr>
          <w:instrText xml:space="preserve"> PAGEREF _Toc520359275 \h </w:instrText>
        </w:r>
        <w:r w:rsidR="00FE441D">
          <w:rPr>
            <w:noProof/>
            <w:webHidden/>
          </w:rPr>
        </w:r>
        <w:r w:rsidR="00FE441D">
          <w:rPr>
            <w:noProof/>
            <w:webHidden/>
          </w:rPr>
          <w:fldChar w:fldCharType="separate"/>
        </w:r>
        <w:r w:rsidR="00FE441D">
          <w:rPr>
            <w:noProof/>
            <w:webHidden/>
          </w:rPr>
          <w:t>22</w:t>
        </w:r>
        <w:r w:rsidR="00FE441D">
          <w:rPr>
            <w:noProof/>
            <w:webHidden/>
          </w:rPr>
          <w:fldChar w:fldCharType="end"/>
        </w:r>
      </w:hyperlink>
    </w:p>
    <w:p w14:paraId="3D30135F"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76" w:history="1">
        <w:r w:rsidR="00FE441D" w:rsidRPr="00A419B4">
          <w:rPr>
            <w:rStyle w:val="Hyperlink"/>
            <w:noProof/>
          </w:rPr>
          <w:t>8</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FUTURE ACTIONS PROPOSED</w:t>
        </w:r>
        <w:r w:rsidR="00FE441D">
          <w:rPr>
            <w:noProof/>
            <w:webHidden/>
          </w:rPr>
          <w:tab/>
        </w:r>
        <w:r w:rsidR="00FE441D">
          <w:rPr>
            <w:noProof/>
            <w:webHidden/>
          </w:rPr>
          <w:fldChar w:fldCharType="begin"/>
        </w:r>
        <w:r w:rsidR="00FE441D">
          <w:rPr>
            <w:noProof/>
            <w:webHidden/>
          </w:rPr>
          <w:instrText xml:space="preserve"> PAGEREF _Toc520359276 \h </w:instrText>
        </w:r>
        <w:r w:rsidR="00FE441D">
          <w:rPr>
            <w:noProof/>
            <w:webHidden/>
          </w:rPr>
        </w:r>
        <w:r w:rsidR="00FE441D">
          <w:rPr>
            <w:noProof/>
            <w:webHidden/>
          </w:rPr>
          <w:fldChar w:fldCharType="separate"/>
        </w:r>
        <w:r w:rsidR="00FE441D">
          <w:rPr>
            <w:noProof/>
            <w:webHidden/>
          </w:rPr>
          <w:t>23</w:t>
        </w:r>
        <w:r w:rsidR="00FE441D">
          <w:rPr>
            <w:noProof/>
            <w:webHidden/>
          </w:rPr>
          <w:fldChar w:fldCharType="end"/>
        </w:r>
      </w:hyperlink>
    </w:p>
    <w:p w14:paraId="7863E7D8" w14:textId="77777777" w:rsidR="00FE441D" w:rsidRDefault="007148A4">
      <w:pPr>
        <w:pStyle w:val="TOC2"/>
        <w:rPr>
          <w:rFonts w:asciiTheme="minorHAnsi" w:eastAsiaTheme="minorEastAsia" w:hAnsiTheme="minorHAnsi" w:cstheme="minorBidi"/>
          <w:smallCaps w:val="0"/>
          <w:noProof/>
          <w:sz w:val="22"/>
          <w:szCs w:val="22"/>
        </w:rPr>
      </w:pPr>
      <w:hyperlink w:anchor="_Toc520359277" w:history="1">
        <w:r w:rsidR="00FE441D" w:rsidRPr="00A419B4">
          <w:rPr>
            <w:rStyle w:val="Hyperlink"/>
            <w:noProof/>
          </w:rPr>
          <w:t>8.1</w:t>
        </w:r>
        <w:r w:rsidR="00FE441D">
          <w:rPr>
            <w:rFonts w:asciiTheme="minorHAnsi" w:eastAsiaTheme="minorEastAsia" w:hAnsiTheme="minorHAnsi" w:cstheme="minorBidi"/>
            <w:smallCaps w:val="0"/>
            <w:noProof/>
            <w:sz w:val="22"/>
            <w:szCs w:val="22"/>
          </w:rPr>
          <w:tab/>
        </w:r>
        <w:r w:rsidR="00FE441D" w:rsidRPr="00A419B4">
          <w:rPr>
            <w:rStyle w:val="Hyperlink"/>
            <w:noProof/>
          </w:rPr>
          <w:t>Reflections on modelled impacts</w:t>
        </w:r>
        <w:r w:rsidR="00FE441D">
          <w:rPr>
            <w:noProof/>
            <w:webHidden/>
          </w:rPr>
          <w:tab/>
        </w:r>
        <w:r w:rsidR="00FE441D">
          <w:rPr>
            <w:noProof/>
            <w:webHidden/>
          </w:rPr>
          <w:fldChar w:fldCharType="begin"/>
        </w:r>
        <w:r w:rsidR="00FE441D">
          <w:rPr>
            <w:noProof/>
            <w:webHidden/>
          </w:rPr>
          <w:instrText xml:space="preserve"> PAGEREF _Toc520359277 \h </w:instrText>
        </w:r>
        <w:r w:rsidR="00FE441D">
          <w:rPr>
            <w:noProof/>
            <w:webHidden/>
          </w:rPr>
        </w:r>
        <w:r w:rsidR="00FE441D">
          <w:rPr>
            <w:noProof/>
            <w:webHidden/>
          </w:rPr>
          <w:fldChar w:fldCharType="separate"/>
        </w:r>
        <w:r w:rsidR="00FE441D">
          <w:rPr>
            <w:noProof/>
            <w:webHidden/>
          </w:rPr>
          <w:t>23</w:t>
        </w:r>
        <w:r w:rsidR="00FE441D">
          <w:rPr>
            <w:noProof/>
            <w:webHidden/>
          </w:rPr>
          <w:fldChar w:fldCharType="end"/>
        </w:r>
      </w:hyperlink>
    </w:p>
    <w:p w14:paraId="2BC23C7C" w14:textId="77777777" w:rsidR="00FE441D" w:rsidRDefault="007148A4">
      <w:pPr>
        <w:pStyle w:val="TOC2"/>
        <w:rPr>
          <w:rFonts w:asciiTheme="minorHAnsi" w:eastAsiaTheme="minorEastAsia" w:hAnsiTheme="minorHAnsi" w:cstheme="minorBidi"/>
          <w:smallCaps w:val="0"/>
          <w:noProof/>
          <w:sz w:val="22"/>
          <w:szCs w:val="22"/>
        </w:rPr>
      </w:pPr>
      <w:hyperlink w:anchor="_Toc520359278" w:history="1">
        <w:r w:rsidR="00FE441D" w:rsidRPr="00A419B4">
          <w:rPr>
            <w:rStyle w:val="Hyperlink"/>
            <w:noProof/>
          </w:rPr>
          <w:t>8.2</w:t>
        </w:r>
        <w:r w:rsidR="00FE441D">
          <w:rPr>
            <w:rFonts w:asciiTheme="minorHAnsi" w:eastAsiaTheme="minorEastAsia" w:hAnsiTheme="minorHAnsi" w:cstheme="minorBidi"/>
            <w:smallCaps w:val="0"/>
            <w:noProof/>
            <w:sz w:val="22"/>
            <w:szCs w:val="22"/>
          </w:rPr>
          <w:tab/>
        </w:r>
        <w:r w:rsidR="00FE441D" w:rsidRPr="00A419B4">
          <w:rPr>
            <w:rStyle w:val="Hyperlink"/>
            <w:noProof/>
          </w:rPr>
          <w:t>Trade Remedy Index</w:t>
        </w:r>
        <w:r w:rsidR="00FE441D">
          <w:rPr>
            <w:noProof/>
            <w:webHidden/>
          </w:rPr>
          <w:tab/>
        </w:r>
        <w:r w:rsidR="00FE441D">
          <w:rPr>
            <w:noProof/>
            <w:webHidden/>
          </w:rPr>
          <w:fldChar w:fldCharType="begin"/>
        </w:r>
        <w:r w:rsidR="00FE441D">
          <w:rPr>
            <w:noProof/>
            <w:webHidden/>
          </w:rPr>
          <w:instrText xml:space="preserve"> PAGEREF _Toc520359278 \h </w:instrText>
        </w:r>
        <w:r w:rsidR="00FE441D">
          <w:rPr>
            <w:noProof/>
            <w:webHidden/>
          </w:rPr>
        </w:r>
        <w:r w:rsidR="00FE441D">
          <w:rPr>
            <w:noProof/>
            <w:webHidden/>
          </w:rPr>
          <w:fldChar w:fldCharType="separate"/>
        </w:r>
        <w:r w:rsidR="00FE441D">
          <w:rPr>
            <w:noProof/>
            <w:webHidden/>
          </w:rPr>
          <w:t>23</w:t>
        </w:r>
        <w:r w:rsidR="00FE441D">
          <w:rPr>
            <w:noProof/>
            <w:webHidden/>
          </w:rPr>
          <w:fldChar w:fldCharType="end"/>
        </w:r>
      </w:hyperlink>
    </w:p>
    <w:p w14:paraId="559733FE" w14:textId="77777777" w:rsidR="00FE441D" w:rsidRDefault="007148A4">
      <w:pPr>
        <w:pStyle w:val="TOC1"/>
        <w:tabs>
          <w:tab w:val="left" w:pos="480"/>
          <w:tab w:val="right" w:leader="dot" w:pos="9531"/>
        </w:tabs>
        <w:rPr>
          <w:rFonts w:asciiTheme="minorHAnsi" w:eastAsiaTheme="minorEastAsia" w:hAnsiTheme="minorHAnsi" w:cstheme="minorBidi"/>
          <w:b w:val="0"/>
          <w:bCs w:val="0"/>
          <w:caps w:val="0"/>
          <w:noProof/>
          <w:sz w:val="22"/>
          <w:szCs w:val="22"/>
        </w:rPr>
      </w:pPr>
      <w:hyperlink w:anchor="_Toc520359279" w:history="1">
        <w:r w:rsidR="00FE441D" w:rsidRPr="00A419B4">
          <w:rPr>
            <w:rStyle w:val="Hyperlink"/>
            <w:noProof/>
          </w:rPr>
          <w:t>9</w:t>
        </w:r>
        <w:r w:rsidR="00FE441D">
          <w:rPr>
            <w:rFonts w:asciiTheme="minorHAnsi" w:eastAsiaTheme="minorEastAsia" w:hAnsiTheme="minorHAnsi" w:cstheme="minorBidi"/>
            <w:b w:val="0"/>
            <w:bCs w:val="0"/>
            <w:caps w:val="0"/>
            <w:noProof/>
            <w:sz w:val="22"/>
            <w:szCs w:val="22"/>
          </w:rPr>
          <w:tab/>
        </w:r>
        <w:r w:rsidR="00FE441D" w:rsidRPr="00A419B4">
          <w:rPr>
            <w:rStyle w:val="Hyperlink"/>
            <w:noProof/>
          </w:rPr>
          <w:t>Appendices and attachments</w:t>
        </w:r>
        <w:r w:rsidR="00FE441D">
          <w:rPr>
            <w:noProof/>
            <w:webHidden/>
          </w:rPr>
          <w:tab/>
        </w:r>
        <w:r w:rsidR="00FE441D">
          <w:rPr>
            <w:noProof/>
            <w:webHidden/>
          </w:rPr>
          <w:fldChar w:fldCharType="begin"/>
        </w:r>
        <w:r w:rsidR="00FE441D">
          <w:rPr>
            <w:noProof/>
            <w:webHidden/>
          </w:rPr>
          <w:instrText xml:space="preserve"> PAGEREF _Toc520359279 \h </w:instrText>
        </w:r>
        <w:r w:rsidR="00FE441D">
          <w:rPr>
            <w:noProof/>
            <w:webHidden/>
          </w:rPr>
        </w:r>
        <w:r w:rsidR="00FE441D">
          <w:rPr>
            <w:noProof/>
            <w:webHidden/>
          </w:rPr>
          <w:fldChar w:fldCharType="separate"/>
        </w:r>
        <w:r w:rsidR="00FE441D">
          <w:rPr>
            <w:noProof/>
            <w:webHidden/>
          </w:rPr>
          <w:t>24</w:t>
        </w:r>
        <w:r w:rsidR="00FE441D">
          <w:rPr>
            <w:noProof/>
            <w:webHidden/>
          </w:rPr>
          <w:fldChar w:fldCharType="end"/>
        </w:r>
      </w:hyperlink>
    </w:p>
    <w:p w14:paraId="4D750882" w14:textId="77777777" w:rsidR="00004B4B" w:rsidRPr="00C3180D" w:rsidRDefault="00691842" w:rsidP="00004B4B">
      <w:pPr>
        <w:pStyle w:val="Heading1"/>
        <w:numPr>
          <w:ilvl w:val="0"/>
          <w:numId w:val="0"/>
        </w:numPr>
        <w:shd w:val="clear" w:color="auto" w:fill="E0E0E0"/>
        <w:jc w:val="left"/>
      </w:pPr>
      <w:r w:rsidRPr="00770559">
        <w:rPr>
          <w:rFonts w:ascii="Calibri" w:hAnsi="Calibri"/>
          <w:bCs/>
          <w:caps/>
          <w:spacing w:val="0"/>
          <w:sz w:val="20"/>
          <w:lang w:eastAsia="en-AU"/>
        </w:rPr>
        <w:lastRenderedPageBreak/>
        <w:fldChar w:fldCharType="end"/>
      </w:r>
      <w:r w:rsidR="00004B4B" w:rsidRPr="00C3180D">
        <w:rPr>
          <w:b w:val="0"/>
          <w:szCs w:val="24"/>
          <w:lang w:eastAsia="en-AU"/>
        </w:rPr>
        <w:t xml:space="preserve"> </w:t>
      </w:r>
      <w:bookmarkStart w:id="8" w:name="_Toc517257510"/>
      <w:bookmarkStart w:id="9" w:name="_Toc520359254"/>
      <w:r w:rsidR="00004B4B" w:rsidRPr="00C3180D">
        <w:t>A</w:t>
      </w:r>
      <w:bookmarkEnd w:id="6"/>
      <w:bookmarkEnd w:id="7"/>
      <w:r w:rsidR="00004B4B" w:rsidRPr="00C3180D">
        <w:t>BBREVIATIONS</w:t>
      </w:r>
      <w:bookmarkEnd w:id="8"/>
      <w:bookmarkEnd w:id="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6325"/>
      </w:tblGrid>
      <w:tr w:rsidR="00385F71" w:rsidRPr="00C3180D" w14:paraId="60DFB938" w14:textId="77777777" w:rsidTr="00004B4B">
        <w:trPr>
          <w:jc w:val="center"/>
        </w:trPr>
        <w:tc>
          <w:tcPr>
            <w:tcW w:w="3035" w:type="dxa"/>
          </w:tcPr>
          <w:p w14:paraId="22B41699" w14:textId="77777777" w:rsidR="00385F71" w:rsidRPr="00C3180D" w:rsidRDefault="00385F71" w:rsidP="00004B4B">
            <w:pPr>
              <w:pStyle w:val="List"/>
              <w:spacing w:before="60" w:after="60"/>
              <w:rPr>
                <w:lang w:val="en-GB"/>
              </w:rPr>
            </w:pPr>
            <w:r w:rsidRPr="00C3180D">
              <w:rPr>
                <w:lang w:val="en-GB"/>
              </w:rPr>
              <w:t>$</w:t>
            </w:r>
          </w:p>
        </w:tc>
        <w:tc>
          <w:tcPr>
            <w:tcW w:w="6325" w:type="dxa"/>
          </w:tcPr>
          <w:p w14:paraId="71D3AEA4" w14:textId="77777777" w:rsidR="00385F71" w:rsidRPr="00C3180D" w:rsidRDefault="00385F71" w:rsidP="00004B4B">
            <w:pPr>
              <w:pStyle w:val="List"/>
            </w:pPr>
            <w:r w:rsidRPr="00C3180D">
              <w:t>Australian dollars</w:t>
            </w:r>
          </w:p>
        </w:tc>
      </w:tr>
      <w:tr w:rsidR="00385F71" w:rsidRPr="00C3180D" w14:paraId="43B4037B" w14:textId="77777777" w:rsidTr="00004B4B">
        <w:trPr>
          <w:jc w:val="center"/>
        </w:trPr>
        <w:tc>
          <w:tcPr>
            <w:tcW w:w="3035" w:type="dxa"/>
          </w:tcPr>
          <w:p w14:paraId="01D18C10" w14:textId="77777777" w:rsidR="00385F71" w:rsidRDefault="00385F71" w:rsidP="00004B4B">
            <w:pPr>
              <w:pStyle w:val="List"/>
              <w:spacing w:before="60" w:after="60"/>
              <w:rPr>
                <w:lang w:val="en-GB"/>
              </w:rPr>
            </w:pPr>
            <w:r>
              <w:rPr>
                <w:lang w:val="en-GB"/>
              </w:rPr>
              <w:t>ABF</w:t>
            </w:r>
          </w:p>
        </w:tc>
        <w:tc>
          <w:tcPr>
            <w:tcW w:w="6325" w:type="dxa"/>
          </w:tcPr>
          <w:p w14:paraId="5EF6F8CF" w14:textId="77777777" w:rsidR="00385F71" w:rsidRDefault="00385F71" w:rsidP="00004B4B">
            <w:pPr>
              <w:pStyle w:val="List"/>
              <w:rPr>
                <w:szCs w:val="24"/>
                <w:lang w:val="en-US"/>
              </w:rPr>
            </w:pPr>
            <w:r>
              <w:rPr>
                <w:szCs w:val="24"/>
                <w:lang w:val="en-US"/>
              </w:rPr>
              <w:t>Australian Border Force</w:t>
            </w:r>
          </w:p>
        </w:tc>
      </w:tr>
      <w:tr w:rsidR="00385F71" w:rsidRPr="00C3180D" w14:paraId="5BBAB4E6" w14:textId="77777777" w:rsidTr="00BE39BF">
        <w:trPr>
          <w:jc w:val="center"/>
        </w:trPr>
        <w:tc>
          <w:tcPr>
            <w:tcW w:w="3035" w:type="dxa"/>
          </w:tcPr>
          <w:p w14:paraId="6390FE0C" w14:textId="5E7C2B17" w:rsidR="00385F71" w:rsidRPr="00C3180D" w:rsidRDefault="00385F71" w:rsidP="00BE39BF">
            <w:pPr>
              <w:pStyle w:val="List"/>
              <w:spacing w:before="60" w:after="60"/>
            </w:pPr>
            <w:r w:rsidRPr="00C3180D">
              <w:t>The</w:t>
            </w:r>
            <w:r w:rsidR="00895F9C">
              <w:t xml:space="preserve"> Customs</w:t>
            </w:r>
            <w:r w:rsidRPr="00C3180D">
              <w:t xml:space="preserve"> Act</w:t>
            </w:r>
          </w:p>
        </w:tc>
        <w:tc>
          <w:tcPr>
            <w:tcW w:w="6325" w:type="dxa"/>
          </w:tcPr>
          <w:p w14:paraId="4C6F0FB7" w14:textId="77777777" w:rsidR="00385F71" w:rsidRPr="00C3180D" w:rsidRDefault="00385F71" w:rsidP="00BE39BF">
            <w:pPr>
              <w:pStyle w:val="List"/>
              <w:rPr>
                <w:i/>
              </w:rPr>
            </w:pPr>
            <w:r w:rsidRPr="00C3180D">
              <w:rPr>
                <w:i/>
              </w:rPr>
              <w:t>Customs Act 1901</w:t>
            </w:r>
          </w:p>
        </w:tc>
      </w:tr>
      <w:tr w:rsidR="00385F71" w:rsidRPr="00C3180D" w14:paraId="38DBDD0A" w14:textId="77777777" w:rsidTr="00004B4B">
        <w:trPr>
          <w:jc w:val="center"/>
        </w:trPr>
        <w:tc>
          <w:tcPr>
            <w:tcW w:w="3035" w:type="dxa"/>
          </w:tcPr>
          <w:p w14:paraId="6BF64DD6" w14:textId="77777777" w:rsidR="00385F71" w:rsidRPr="00C3180D" w:rsidRDefault="00385F71" w:rsidP="00004B4B">
            <w:pPr>
              <w:pStyle w:val="List"/>
              <w:spacing w:before="60" w:after="60"/>
            </w:pPr>
            <w:r>
              <w:t>ADC</w:t>
            </w:r>
          </w:p>
        </w:tc>
        <w:tc>
          <w:tcPr>
            <w:tcW w:w="6325" w:type="dxa"/>
          </w:tcPr>
          <w:p w14:paraId="631507DF" w14:textId="77777777" w:rsidR="00385F71" w:rsidRPr="00C3180D" w:rsidRDefault="00385F71" w:rsidP="00004B4B">
            <w:pPr>
              <w:pStyle w:val="List"/>
            </w:pPr>
            <w:r>
              <w:t>Anti-Dumping Commission</w:t>
            </w:r>
          </w:p>
        </w:tc>
      </w:tr>
      <w:tr w:rsidR="00385F71" w:rsidRPr="00C3180D" w14:paraId="79FFBE8B" w14:textId="77777777" w:rsidTr="00004B4B">
        <w:trPr>
          <w:jc w:val="center"/>
        </w:trPr>
        <w:tc>
          <w:tcPr>
            <w:tcW w:w="3035" w:type="dxa"/>
          </w:tcPr>
          <w:p w14:paraId="65BB991B" w14:textId="77777777" w:rsidR="00385F71" w:rsidRDefault="00385F71" w:rsidP="00004B4B">
            <w:pPr>
              <w:pStyle w:val="List"/>
              <w:spacing w:before="60" w:after="60"/>
            </w:pPr>
            <w:r>
              <w:t>ADIS</w:t>
            </w:r>
          </w:p>
        </w:tc>
        <w:tc>
          <w:tcPr>
            <w:tcW w:w="6325" w:type="dxa"/>
          </w:tcPr>
          <w:p w14:paraId="68ED7DCB" w14:textId="77777777" w:rsidR="00385F71" w:rsidRDefault="00385F71" w:rsidP="00004B4B">
            <w:pPr>
              <w:pStyle w:val="List"/>
            </w:pPr>
            <w:r>
              <w:t>Anti-Dumping Information Service</w:t>
            </w:r>
          </w:p>
        </w:tc>
      </w:tr>
      <w:tr w:rsidR="00385F71" w:rsidRPr="00C3180D" w14:paraId="24B46F97" w14:textId="77777777" w:rsidTr="00004B4B">
        <w:trPr>
          <w:jc w:val="center"/>
        </w:trPr>
        <w:tc>
          <w:tcPr>
            <w:tcW w:w="3035" w:type="dxa"/>
          </w:tcPr>
          <w:p w14:paraId="633DC69E" w14:textId="77777777" w:rsidR="00385F71" w:rsidRDefault="00385F71" w:rsidP="00CA4080">
            <w:pPr>
              <w:pStyle w:val="List"/>
              <w:spacing w:before="60" w:after="60"/>
            </w:pPr>
            <w:r>
              <w:t>Cadence Report</w:t>
            </w:r>
          </w:p>
        </w:tc>
        <w:tc>
          <w:tcPr>
            <w:tcW w:w="6325" w:type="dxa"/>
          </w:tcPr>
          <w:p w14:paraId="53F9796F" w14:textId="77777777" w:rsidR="00385F71" w:rsidRDefault="00385F71" w:rsidP="00004B4B">
            <w:pPr>
              <w:pStyle w:val="List"/>
            </w:pPr>
            <w:r>
              <w:t xml:space="preserve">Cadence Economics, </w:t>
            </w:r>
            <w:r w:rsidRPr="001A49DF">
              <w:rPr>
                <w:i/>
              </w:rPr>
              <w:t>The potential for trade diversion in steel and aluminium</w:t>
            </w:r>
            <w:r>
              <w:t>, April 2018</w:t>
            </w:r>
          </w:p>
        </w:tc>
      </w:tr>
      <w:tr w:rsidR="00385F71" w:rsidRPr="00C3180D" w14:paraId="7E77AD29" w14:textId="77777777" w:rsidTr="00004B4B">
        <w:trPr>
          <w:jc w:val="center"/>
        </w:trPr>
        <w:tc>
          <w:tcPr>
            <w:tcW w:w="3035" w:type="dxa"/>
          </w:tcPr>
          <w:p w14:paraId="3929CCA5" w14:textId="77777777" w:rsidR="00385F71" w:rsidRDefault="00385F71" w:rsidP="00CA4080">
            <w:pPr>
              <w:pStyle w:val="List"/>
              <w:spacing w:before="60" w:after="60"/>
            </w:pPr>
            <w:r>
              <w:t>Cadence/Cadence Economics</w:t>
            </w:r>
          </w:p>
        </w:tc>
        <w:tc>
          <w:tcPr>
            <w:tcW w:w="6325" w:type="dxa"/>
          </w:tcPr>
          <w:p w14:paraId="139CB926" w14:textId="77777777" w:rsidR="00385F71" w:rsidRDefault="00385F71" w:rsidP="00004B4B">
            <w:pPr>
              <w:pStyle w:val="List"/>
            </w:pPr>
            <w:r>
              <w:t>Cadence Economics Pty Limited</w:t>
            </w:r>
          </w:p>
        </w:tc>
      </w:tr>
      <w:tr w:rsidR="00385F71" w:rsidRPr="00C3180D" w14:paraId="078831D9" w14:textId="77777777" w:rsidTr="00004B4B">
        <w:trPr>
          <w:jc w:val="center"/>
        </w:trPr>
        <w:tc>
          <w:tcPr>
            <w:tcW w:w="3035" w:type="dxa"/>
          </w:tcPr>
          <w:p w14:paraId="503AED3D" w14:textId="77777777" w:rsidR="00385F71" w:rsidRDefault="00385F71" w:rsidP="00CA4080">
            <w:pPr>
              <w:pStyle w:val="List"/>
              <w:spacing w:before="60" w:after="60"/>
            </w:pPr>
            <w:r>
              <w:t>CGE</w:t>
            </w:r>
          </w:p>
        </w:tc>
        <w:tc>
          <w:tcPr>
            <w:tcW w:w="6325" w:type="dxa"/>
          </w:tcPr>
          <w:p w14:paraId="7FAC1400" w14:textId="77777777" w:rsidR="00385F71" w:rsidRDefault="00385F71" w:rsidP="00004B4B">
            <w:pPr>
              <w:pStyle w:val="List"/>
            </w:pPr>
            <w:r>
              <w:rPr>
                <w:szCs w:val="22"/>
              </w:rPr>
              <w:t>Computable General Equilibrium</w:t>
            </w:r>
          </w:p>
        </w:tc>
      </w:tr>
      <w:tr w:rsidR="00385F71" w:rsidRPr="00C3180D" w14:paraId="79FDD081" w14:textId="77777777" w:rsidTr="00BE39BF">
        <w:trPr>
          <w:jc w:val="center"/>
        </w:trPr>
        <w:tc>
          <w:tcPr>
            <w:tcW w:w="3035" w:type="dxa"/>
          </w:tcPr>
          <w:p w14:paraId="770777C2" w14:textId="77777777" w:rsidR="00385F71" w:rsidRPr="00C3180D" w:rsidRDefault="00385F71" w:rsidP="00BE39BF">
            <w:pPr>
              <w:pStyle w:val="List"/>
              <w:spacing w:before="60" w:after="60"/>
            </w:pPr>
            <w:r>
              <w:t>The Commissioner</w:t>
            </w:r>
          </w:p>
        </w:tc>
        <w:tc>
          <w:tcPr>
            <w:tcW w:w="6325" w:type="dxa"/>
          </w:tcPr>
          <w:p w14:paraId="748A5578" w14:textId="77777777" w:rsidR="00385F71" w:rsidRPr="00C3180D" w:rsidRDefault="00385F71" w:rsidP="00BE39BF">
            <w:pPr>
              <w:pStyle w:val="List"/>
            </w:pPr>
            <w:r>
              <w:t>The Anti-Dumping Commissioner</w:t>
            </w:r>
          </w:p>
        </w:tc>
      </w:tr>
      <w:tr w:rsidR="00385F71" w:rsidRPr="00C3180D" w14:paraId="4C7F42B8" w14:textId="77777777" w:rsidTr="00004B4B">
        <w:trPr>
          <w:jc w:val="center"/>
        </w:trPr>
        <w:tc>
          <w:tcPr>
            <w:tcW w:w="3035" w:type="dxa"/>
          </w:tcPr>
          <w:p w14:paraId="0EED1067" w14:textId="77777777" w:rsidR="00385F71" w:rsidRDefault="00385F71" w:rsidP="00004B4B">
            <w:pPr>
              <w:pStyle w:val="List"/>
              <w:spacing w:before="60" w:after="60"/>
            </w:pPr>
            <w:r>
              <w:t>GDP</w:t>
            </w:r>
          </w:p>
        </w:tc>
        <w:tc>
          <w:tcPr>
            <w:tcW w:w="6325" w:type="dxa"/>
          </w:tcPr>
          <w:p w14:paraId="379AE63B" w14:textId="77777777" w:rsidR="00385F71" w:rsidRDefault="00385F71" w:rsidP="00004B4B">
            <w:pPr>
              <w:pStyle w:val="List"/>
            </w:pPr>
            <w:r>
              <w:t>Gross Domestic Product</w:t>
            </w:r>
          </w:p>
        </w:tc>
      </w:tr>
      <w:tr w:rsidR="00385F71" w:rsidRPr="00C3180D" w14:paraId="4480914B" w14:textId="77777777" w:rsidTr="00004B4B">
        <w:trPr>
          <w:jc w:val="center"/>
        </w:trPr>
        <w:tc>
          <w:tcPr>
            <w:tcW w:w="3035" w:type="dxa"/>
          </w:tcPr>
          <w:p w14:paraId="492F6C27" w14:textId="77777777" w:rsidR="00385F71" w:rsidRDefault="00385F71" w:rsidP="00004B4B">
            <w:pPr>
              <w:pStyle w:val="List"/>
              <w:spacing w:before="60" w:after="60"/>
            </w:pPr>
            <w:r>
              <w:t>Home Affairs</w:t>
            </w:r>
          </w:p>
        </w:tc>
        <w:tc>
          <w:tcPr>
            <w:tcW w:w="6325" w:type="dxa"/>
          </w:tcPr>
          <w:p w14:paraId="3B54EFCE" w14:textId="77777777" w:rsidR="00385F71" w:rsidRDefault="00385F71" w:rsidP="00004B4B">
            <w:pPr>
              <w:pStyle w:val="List"/>
            </w:pPr>
            <w:r>
              <w:t>The Department of Home Affairs</w:t>
            </w:r>
          </w:p>
        </w:tc>
      </w:tr>
      <w:tr w:rsidR="00385F71" w:rsidRPr="00C3180D" w14:paraId="4CC19D30" w14:textId="77777777" w:rsidTr="00004B4B">
        <w:trPr>
          <w:jc w:val="center"/>
        </w:trPr>
        <w:tc>
          <w:tcPr>
            <w:tcW w:w="3035" w:type="dxa"/>
          </w:tcPr>
          <w:p w14:paraId="1352D3D3" w14:textId="77777777" w:rsidR="00385F71" w:rsidRDefault="00385F71" w:rsidP="00004B4B">
            <w:pPr>
              <w:pStyle w:val="List"/>
              <w:spacing w:before="60" w:after="60"/>
            </w:pPr>
            <w:r>
              <w:t>HTS</w:t>
            </w:r>
          </w:p>
        </w:tc>
        <w:tc>
          <w:tcPr>
            <w:tcW w:w="6325" w:type="dxa"/>
          </w:tcPr>
          <w:p w14:paraId="6B94F681" w14:textId="77777777" w:rsidR="00385F71" w:rsidRDefault="00385F71" w:rsidP="00004B4B">
            <w:pPr>
              <w:pStyle w:val="List"/>
            </w:pPr>
            <w:r>
              <w:rPr>
                <w:szCs w:val="24"/>
                <w:lang w:val="en-US"/>
              </w:rPr>
              <w:t>Harmonized Tariff Schedule</w:t>
            </w:r>
          </w:p>
        </w:tc>
      </w:tr>
      <w:tr w:rsidR="00385F71" w:rsidRPr="00C3180D" w14:paraId="3818F19E" w14:textId="77777777" w:rsidTr="00004B4B">
        <w:trPr>
          <w:jc w:val="center"/>
        </w:trPr>
        <w:tc>
          <w:tcPr>
            <w:tcW w:w="3035" w:type="dxa"/>
          </w:tcPr>
          <w:p w14:paraId="3AB80AB0" w14:textId="77777777" w:rsidR="00385F71" w:rsidRDefault="00385F71" w:rsidP="00004B4B">
            <w:pPr>
              <w:pStyle w:val="List"/>
              <w:spacing w:before="60" w:after="60"/>
            </w:pPr>
            <w:r>
              <w:t>ITRF</w:t>
            </w:r>
          </w:p>
        </w:tc>
        <w:tc>
          <w:tcPr>
            <w:tcW w:w="6325" w:type="dxa"/>
          </w:tcPr>
          <w:p w14:paraId="417ECA05" w14:textId="77777777" w:rsidR="00385F71" w:rsidRDefault="00385F71" w:rsidP="00004B4B">
            <w:pPr>
              <w:pStyle w:val="List"/>
            </w:pPr>
            <w:r>
              <w:t>International Trade Remedies Forum</w:t>
            </w:r>
          </w:p>
        </w:tc>
      </w:tr>
      <w:tr w:rsidR="007036D5" w:rsidRPr="00C3180D" w14:paraId="730F97FA" w14:textId="77777777" w:rsidTr="00004B4B">
        <w:trPr>
          <w:jc w:val="center"/>
        </w:trPr>
        <w:tc>
          <w:tcPr>
            <w:tcW w:w="3035" w:type="dxa"/>
          </w:tcPr>
          <w:p w14:paraId="51C64A93" w14:textId="10D985AA" w:rsidR="007036D5" w:rsidRDefault="007036D5" w:rsidP="00004B4B">
            <w:pPr>
              <w:pStyle w:val="List"/>
              <w:spacing w:before="60" w:after="60"/>
            </w:pPr>
            <w:r>
              <w:t>LME</w:t>
            </w:r>
          </w:p>
        </w:tc>
        <w:tc>
          <w:tcPr>
            <w:tcW w:w="6325" w:type="dxa"/>
          </w:tcPr>
          <w:p w14:paraId="3F27C078" w14:textId="03E99205" w:rsidR="007036D5" w:rsidRDefault="007036D5" w:rsidP="00004B4B">
            <w:pPr>
              <w:pStyle w:val="List"/>
            </w:pPr>
            <w:r>
              <w:t>London Metal Exchange</w:t>
            </w:r>
          </w:p>
        </w:tc>
      </w:tr>
      <w:tr w:rsidR="00385F71" w:rsidRPr="00C3180D" w14:paraId="04CB6AB7" w14:textId="77777777" w:rsidTr="00004B4B">
        <w:trPr>
          <w:jc w:val="center"/>
        </w:trPr>
        <w:tc>
          <w:tcPr>
            <w:tcW w:w="3035" w:type="dxa"/>
          </w:tcPr>
          <w:p w14:paraId="2FF9FF09" w14:textId="77777777" w:rsidR="00385F71" w:rsidRDefault="00385F71" w:rsidP="00004B4B">
            <w:pPr>
              <w:pStyle w:val="List"/>
              <w:spacing w:before="60" w:after="60"/>
            </w:pPr>
            <w:r>
              <w:t>OECD</w:t>
            </w:r>
          </w:p>
        </w:tc>
        <w:tc>
          <w:tcPr>
            <w:tcW w:w="6325" w:type="dxa"/>
          </w:tcPr>
          <w:p w14:paraId="24B9BE6F" w14:textId="77777777" w:rsidR="00385F71" w:rsidRDefault="00385F71" w:rsidP="00004B4B">
            <w:pPr>
              <w:pStyle w:val="List"/>
            </w:pPr>
            <w:r w:rsidRPr="0096657F">
              <w:rPr>
                <w:color w:val="000000"/>
                <w:szCs w:val="22"/>
              </w:rPr>
              <w:t>Organisation for Economic Development and Co-operation</w:t>
            </w:r>
          </w:p>
        </w:tc>
      </w:tr>
      <w:tr w:rsidR="005055A2" w:rsidRPr="00C3180D" w14:paraId="634DC928" w14:textId="77777777" w:rsidTr="00004B4B">
        <w:trPr>
          <w:jc w:val="center"/>
        </w:trPr>
        <w:tc>
          <w:tcPr>
            <w:tcW w:w="3035" w:type="dxa"/>
          </w:tcPr>
          <w:p w14:paraId="6E768A25" w14:textId="42FC878D" w:rsidR="005055A2" w:rsidRDefault="005055A2" w:rsidP="00004B4B">
            <w:pPr>
              <w:pStyle w:val="List"/>
              <w:spacing w:before="60" w:after="60"/>
            </w:pPr>
            <w:r>
              <w:t>PAD</w:t>
            </w:r>
          </w:p>
        </w:tc>
        <w:tc>
          <w:tcPr>
            <w:tcW w:w="6325" w:type="dxa"/>
          </w:tcPr>
          <w:p w14:paraId="549E9883" w14:textId="6CE90682" w:rsidR="005055A2" w:rsidRPr="0096657F" w:rsidRDefault="005055A2" w:rsidP="00004B4B">
            <w:pPr>
              <w:pStyle w:val="List"/>
              <w:rPr>
                <w:color w:val="000000"/>
                <w:szCs w:val="22"/>
              </w:rPr>
            </w:pPr>
            <w:r>
              <w:rPr>
                <w:color w:val="000000"/>
                <w:szCs w:val="22"/>
              </w:rPr>
              <w:t>Preliminary Affirmative Determination</w:t>
            </w:r>
          </w:p>
        </w:tc>
      </w:tr>
      <w:tr w:rsidR="00385F71" w:rsidRPr="00C3180D" w14:paraId="072E57E6" w14:textId="77777777" w:rsidTr="00385F71">
        <w:trPr>
          <w:trHeight w:val="533"/>
          <w:jc w:val="center"/>
        </w:trPr>
        <w:tc>
          <w:tcPr>
            <w:tcW w:w="3035" w:type="dxa"/>
          </w:tcPr>
          <w:p w14:paraId="1B712692" w14:textId="77777777" w:rsidR="00385F71" w:rsidRPr="00C3180D" w:rsidRDefault="00385F71" w:rsidP="00004B4B">
            <w:pPr>
              <w:pStyle w:val="List"/>
              <w:spacing w:before="60" w:after="60"/>
            </w:pPr>
            <w:r>
              <w:t>Section 232 investigation</w:t>
            </w:r>
          </w:p>
        </w:tc>
        <w:tc>
          <w:tcPr>
            <w:tcW w:w="6325" w:type="dxa"/>
          </w:tcPr>
          <w:p w14:paraId="5EE1600A" w14:textId="77777777" w:rsidR="00385F71" w:rsidRPr="00C3180D" w:rsidRDefault="00385F71" w:rsidP="00385F71">
            <w:pPr>
              <w:pStyle w:val="List"/>
              <w:spacing w:before="60" w:after="60"/>
            </w:pPr>
            <w:r>
              <w:t xml:space="preserve">Investigation under Section 232 of United States </w:t>
            </w:r>
            <w:r w:rsidRPr="00385F71">
              <w:t>Trade Expansion Act 1962</w:t>
            </w:r>
          </w:p>
        </w:tc>
      </w:tr>
      <w:tr w:rsidR="00A75EC2" w:rsidRPr="00C3180D" w14:paraId="68F68FC9" w14:textId="77777777" w:rsidTr="00831F3A">
        <w:trPr>
          <w:trHeight w:val="432"/>
          <w:jc w:val="center"/>
        </w:trPr>
        <w:tc>
          <w:tcPr>
            <w:tcW w:w="3035" w:type="dxa"/>
          </w:tcPr>
          <w:p w14:paraId="436A31BA" w14:textId="048686BE" w:rsidR="00A75EC2" w:rsidRDefault="00A75EC2" w:rsidP="00004B4B">
            <w:pPr>
              <w:pStyle w:val="List"/>
              <w:spacing w:before="60" w:after="60"/>
            </w:pPr>
            <w:r>
              <w:t>US</w:t>
            </w:r>
          </w:p>
        </w:tc>
        <w:tc>
          <w:tcPr>
            <w:tcW w:w="6325" w:type="dxa"/>
          </w:tcPr>
          <w:p w14:paraId="5C028D60" w14:textId="37EBCE84" w:rsidR="00A75EC2" w:rsidRDefault="00A75EC2" w:rsidP="00385F71">
            <w:pPr>
              <w:pStyle w:val="List"/>
              <w:spacing w:before="60" w:after="60"/>
            </w:pPr>
            <w:r>
              <w:t>United States</w:t>
            </w:r>
          </w:p>
        </w:tc>
      </w:tr>
      <w:tr w:rsidR="00385F71" w:rsidRPr="00385F71" w14:paraId="045985C7" w14:textId="77777777" w:rsidTr="00385F71">
        <w:trPr>
          <w:trHeight w:val="405"/>
          <w:jc w:val="center"/>
        </w:trPr>
        <w:tc>
          <w:tcPr>
            <w:tcW w:w="3035" w:type="dxa"/>
          </w:tcPr>
          <w:p w14:paraId="5CD37A1C" w14:textId="7D658C3B" w:rsidR="00385F71" w:rsidRDefault="00385F71" w:rsidP="00831F3A">
            <w:pPr>
              <w:pStyle w:val="List"/>
              <w:spacing w:before="60" w:after="60"/>
            </w:pPr>
            <w:r>
              <w:t>WTO</w:t>
            </w:r>
            <w:r>
              <w:tab/>
            </w:r>
          </w:p>
        </w:tc>
        <w:tc>
          <w:tcPr>
            <w:tcW w:w="6325" w:type="dxa"/>
          </w:tcPr>
          <w:p w14:paraId="38007371" w14:textId="77777777" w:rsidR="00385F71" w:rsidRDefault="00385F71" w:rsidP="00385F71">
            <w:pPr>
              <w:pStyle w:val="List"/>
              <w:spacing w:before="60" w:after="60"/>
            </w:pPr>
            <w:r>
              <w:t>World Trade Organization</w:t>
            </w:r>
          </w:p>
        </w:tc>
      </w:tr>
    </w:tbl>
    <w:p w14:paraId="39A9450C" w14:textId="5FDEE823" w:rsidR="00C64AEC" w:rsidRDefault="008F6F06" w:rsidP="00004B4B">
      <w:pPr>
        <w:pStyle w:val="Heading1"/>
        <w:shd w:val="clear" w:color="auto" w:fill="E0E0E0"/>
        <w:tabs>
          <w:tab w:val="num" w:pos="540"/>
        </w:tabs>
        <w:ind w:left="540" w:hanging="540"/>
        <w:jc w:val="left"/>
      </w:pPr>
      <w:bookmarkStart w:id="10" w:name="_Toc517257511"/>
      <w:bookmarkStart w:id="11" w:name="_Toc520359255"/>
      <w:r>
        <w:lastRenderedPageBreak/>
        <w:t>EXECUTIVE SUMMARY</w:t>
      </w:r>
      <w:bookmarkEnd w:id="10"/>
      <w:bookmarkEnd w:id="11"/>
    </w:p>
    <w:p w14:paraId="4EB65755" w14:textId="7A3C7630" w:rsidR="00831F3A" w:rsidRDefault="00B04FD0" w:rsidP="008F6F06">
      <w:pPr>
        <w:spacing w:after="0"/>
      </w:pPr>
      <w:r w:rsidRPr="00B04FD0">
        <w:t>On 19 April 2017, the United States</w:t>
      </w:r>
      <w:r w:rsidR="00A75EC2">
        <w:t xml:space="preserve"> (US)</w:t>
      </w:r>
      <w:r w:rsidRPr="00B04FD0">
        <w:t xml:space="preserve"> Department of Commerce in</w:t>
      </w:r>
      <w:r w:rsidR="00146794">
        <w:t xml:space="preserve">itiated an investigation under Section </w:t>
      </w:r>
      <w:r w:rsidRPr="00B04FD0">
        <w:t xml:space="preserve">232 of the </w:t>
      </w:r>
      <w:r w:rsidRPr="00B04FD0">
        <w:rPr>
          <w:i/>
        </w:rPr>
        <w:t>Trade Expansion Act of 1962</w:t>
      </w:r>
      <w:r w:rsidRPr="00B04FD0">
        <w:t xml:space="preserve"> into whether steel imports impair US national security. A subsequent investigation into aluminium was initiated on 27 April 2017.  The reports were provided to the President in January 2018 and released publicly on 16 February 2018.</w:t>
      </w:r>
      <w:r w:rsidRPr="00B04FD0">
        <w:rPr>
          <w:rFonts w:ascii="Bookman Old Style" w:hAnsi="Bookman Old Style"/>
          <w:color w:val="000000"/>
          <w:sz w:val="22"/>
          <w:szCs w:val="22"/>
        </w:rPr>
        <w:t xml:space="preserve"> </w:t>
      </w:r>
      <w:r w:rsidRPr="00B04FD0">
        <w:t>On 8 March</w:t>
      </w:r>
      <w:r w:rsidR="00235B6A">
        <w:t xml:space="preserve"> 2018</w:t>
      </w:r>
      <w:r w:rsidRPr="00B04FD0">
        <w:t>, the US announced tariffs of 25 per cent for steel and 10 per cent for aluminium for all countries except Canada and Mexico, scheduled to come in</w:t>
      </w:r>
      <w:r w:rsidR="00A75EC2">
        <w:t>to</w:t>
      </w:r>
      <w:r w:rsidRPr="00B04FD0">
        <w:t xml:space="preserve"> effect on 22 March</w:t>
      </w:r>
      <w:r w:rsidR="00235B6A">
        <w:t xml:space="preserve"> 2018</w:t>
      </w:r>
      <w:r w:rsidRPr="00B04FD0">
        <w:t xml:space="preserve">. </w:t>
      </w:r>
    </w:p>
    <w:p w14:paraId="5C5B7DF6" w14:textId="77777777" w:rsidR="00831F3A" w:rsidRDefault="00831F3A" w:rsidP="008F6F06">
      <w:pPr>
        <w:spacing w:after="0"/>
      </w:pPr>
    </w:p>
    <w:p w14:paraId="77BDD6A6" w14:textId="44414127" w:rsidR="00B04FD0" w:rsidRDefault="00A75EC2" w:rsidP="008F6F06">
      <w:pPr>
        <w:spacing w:after="0"/>
      </w:pPr>
      <w:r>
        <w:t xml:space="preserve">That day the President signed proclamations providing temporary exemptions from US steel and aluminium tariffs for Australia, </w:t>
      </w:r>
      <w:r w:rsidRPr="00ED4A7F">
        <w:t>Argentina, Brazil, Canada, Mexico, the European Union and</w:t>
      </w:r>
      <w:r>
        <w:t xml:space="preserve"> South</w:t>
      </w:r>
      <w:r w:rsidRPr="00ED4A7F">
        <w:t xml:space="preserve"> Korea</w:t>
      </w:r>
      <w:r>
        <w:t xml:space="preserve">. </w:t>
      </w:r>
      <w:r w:rsidR="00B04FD0">
        <w:t xml:space="preserve">Between then and now, there have been a range of changes to the application of the tariffs as outlined in chapter </w:t>
      </w:r>
      <w:r w:rsidR="00B04FD0">
        <w:fldChar w:fldCharType="begin"/>
      </w:r>
      <w:r w:rsidR="00B04FD0">
        <w:instrText xml:space="preserve"> REF _Ref517174949 \r \h </w:instrText>
      </w:r>
      <w:r w:rsidR="00B04FD0">
        <w:fldChar w:fldCharType="separate"/>
      </w:r>
      <w:r w:rsidR="009C606D">
        <w:t>3</w:t>
      </w:r>
      <w:r w:rsidR="00B04FD0">
        <w:fldChar w:fldCharType="end"/>
      </w:r>
      <w:r w:rsidR="00B04FD0">
        <w:t xml:space="preserve">, and there is a possibility of further changes.  </w:t>
      </w:r>
    </w:p>
    <w:p w14:paraId="6336EDF6" w14:textId="77777777" w:rsidR="00B04FD0" w:rsidRDefault="00B04FD0" w:rsidP="008F6F06">
      <w:pPr>
        <w:spacing w:after="0"/>
      </w:pPr>
    </w:p>
    <w:p w14:paraId="0CF1C31F" w14:textId="4E85C971" w:rsidR="000B1A00" w:rsidRDefault="00B04FD0" w:rsidP="008F6F06">
      <w:pPr>
        <w:spacing w:after="0"/>
      </w:pPr>
      <w:r>
        <w:t>In response to the announcement of these tariffs, t</w:t>
      </w:r>
      <w:r w:rsidR="00244B5D" w:rsidRPr="00CA4080">
        <w:t xml:space="preserve">he Anti-Dumping Commission (ADC) </w:t>
      </w:r>
      <w:r w:rsidR="00CA4080" w:rsidRPr="00CA4080">
        <w:t>led</w:t>
      </w:r>
      <w:r w:rsidR="00244B5D" w:rsidRPr="00CA4080">
        <w:t xml:space="preserve"> an analysis of the potential impacts on Australia</w:t>
      </w:r>
      <w:r>
        <w:t xml:space="preserve">. </w:t>
      </w:r>
      <w:r w:rsidR="00244B5D" w:rsidRPr="00CA4080">
        <w:t xml:space="preserve"> A concern is that there is a potential for steel and aluminiu</w:t>
      </w:r>
      <w:r w:rsidR="00CA4080">
        <w:t>m products originally bound for</w:t>
      </w:r>
      <w:r w:rsidR="00816976">
        <w:t xml:space="preserve"> </w:t>
      </w:r>
      <w:r w:rsidR="000B1A00">
        <w:t xml:space="preserve">the United States </w:t>
      </w:r>
      <w:r w:rsidR="00753264">
        <w:t xml:space="preserve">to </w:t>
      </w:r>
      <w:r w:rsidR="00AD4F9A">
        <w:t>be diverted to Australia</w:t>
      </w:r>
      <w:r w:rsidR="008236EC">
        <w:t>. My concern is if any diverted product arrives in Australia at</w:t>
      </w:r>
      <w:r w:rsidR="00C4597D">
        <w:t xml:space="preserve"> </w:t>
      </w:r>
      <w:r w:rsidR="00AD4F9A">
        <w:t xml:space="preserve">dumped or subsidised prices. </w:t>
      </w:r>
      <w:r w:rsidR="000B1A00">
        <w:t xml:space="preserve"> </w:t>
      </w:r>
    </w:p>
    <w:p w14:paraId="63954F02" w14:textId="77777777" w:rsidR="000B1A00" w:rsidRDefault="000B1A00" w:rsidP="008F6F06">
      <w:pPr>
        <w:spacing w:after="0"/>
      </w:pPr>
    </w:p>
    <w:p w14:paraId="569E3827" w14:textId="0B7B186D" w:rsidR="00CA4080" w:rsidRPr="00CA4080" w:rsidRDefault="000B1A00" w:rsidP="008F6F06">
      <w:pPr>
        <w:spacing w:after="0"/>
      </w:pPr>
      <w:r>
        <w:t xml:space="preserve">The </w:t>
      </w:r>
      <w:r w:rsidR="00554148">
        <w:t>ADC</w:t>
      </w:r>
      <w:r>
        <w:t xml:space="preserve"> engaged Cadence Economics to </w:t>
      </w:r>
      <w:r w:rsidR="00244B5D" w:rsidRPr="00CA4080">
        <w:t>conduct economic modelling on the likely</w:t>
      </w:r>
      <w:r w:rsidR="00CA4080" w:rsidRPr="00CA4080">
        <w:t xml:space="preserve"> trade diversion and subsequent</w:t>
      </w:r>
      <w:r w:rsidR="00244B5D" w:rsidRPr="00CA4080">
        <w:t xml:space="preserve"> impacts. </w:t>
      </w:r>
      <w:r w:rsidR="00AD4F9A">
        <w:t>Cadence’s</w:t>
      </w:r>
      <w:r w:rsidR="00244B5D" w:rsidRPr="00CA4080">
        <w:t xml:space="preserve"> modelling </w:t>
      </w:r>
      <w:r w:rsidR="00C4597D">
        <w:t>suggests</w:t>
      </w:r>
      <w:r w:rsidR="00244B5D" w:rsidRPr="00CA4080">
        <w:t xml:space="preserve"> that the overall impact on</w:t>
      </w:r>
      <w:r w:rsidR="00CA4080" w:rsidRPr="00CA4080">
        <w:t xml:space="preserve"> the level of imports of steel and aluminium</w:t>
      </w:r>
      <w:r w:rsidR="00E939B9">
        <w:t xml:space="preserve"> are essentially immaterial. The analysis also showed minimal economy-wide impacts.</w:t>
      </w:r>
    </w:p>
    <w:p w14:paraId="5311C6A9" w14:textId="77777777" w:rsidR="00CA4080" w:rsidRDefault="00CA4080" w:rsidP="008F6F06">
      <w:pPr>
        <w:spacing w:after="0"/>
        <w:rPr>
          <w:highlight w:val="yellow"/>
        </w:rPr>
      </w:pPr>
    </w:p>
    <w:p w14:paraId="6BFF32AF" w14:textId="091B106C" w:rsidR="00CA4080" w:rsidRPr="00CA4080" w:rsidRDefault="00CA4080" w:rsidP="008F6F06">
      <w:pPr>
        <w:spacing w:after="0"/>
      </w:pPr>
      <w:r w:rsidRPr="00CA4080">
        <w:t>Two scenarios were modelled</w:t>
      </w:r>
      <w:r w:rsidR="00C4597D">
        <w:t xml:space="preserve"> at </w:t>
      </w:r>
      <w:r w:rsidR="0018275C">
        <w:t>both ends</w:t>
      </w:r>
      <w:r w:rsidR="00C4597D">
        <w:t xml:space="preserve"> of the spectrum of possibilities</w:t>
      </w:r>
      <w:r w:rsidRPr="00CA4080">
        <w:t>:</w:t>
      </w:r>
    </w:p>
    <w:p w14:paraId="2A8E5C2D" w14:textId="3DAA7E8C" w:rsidR="00CA4080" w:rsidRPr="00CA4080" w:rsidRDefault="00146794" w:rsidP="00CA4080">
      <w:pPr>
        <w:pStyle w:val="ListParagraph"/>
        <w:numPr>
          <w:ilvl w:val="0"/>
          <w:numId w:val="26"/>
        </w:numPr>
        <w:spacing w:after="0"/>
      </w:pPr>
      <w:r>
        <w:t>e</w:t>
      </w:r>
      <w:r w:rsidR="00CA4080" w:rsidRPr="00CA4080">
        <w:t>xemptions</w:t>
      </w:r>
      <w:r w:rsidR="009E3AA9">
        <w:t xml:space="preserve"> i</w:t>
      </w:r>
      <w:r w:rsidR="00CA4080" w:rsidRPr="00CA4080">
        <w:t xml:space="preserve">n the </w:t>
      </w:r>
      <w:r w:rsidR="00587C16">
        <w:t xml:space="preserve">22 March 2018 </w:t>
      </w:r>
      <w:r w:rsidR="00CA4080" w:rsidRPr="00CA4080">
        <w:t>US tariff declarations</w:t>
      </w:r>
      <w:r w:rsidR="009E3AA9">
        <w:rPr>
          <w:rStyle w:val="FootnoteReference"/>
        </w:rPr>
        <w:footnoteReference w:id="2"/>
      </w:r>
      <w:r w:rsidR="009E3AA9" w:rsidRPr="00CA4080">
        <w:t xml:space="preserve"> </w:t>
      </w:r>
      <w:r w:rsidR="00CA4080" w:rsidRPr="00CA4080">
        <w:t>remain</w:t>
      </w:r>
    </w:p>
    <w:p w14:paraId="01DED254" w14:textId="47D9D978" w:rsidR="00CA4080" w:rsidRPr="00CA4080" w:rsidRDefault="00146794" w:rsidP="00CA4080">
      <w:pPr>
        <w:pStyle w:val="ListParagraph"/>
        <w:numPr>
          <w:ilvl w:val="0"/>
          <w:numId w:val="26"/>
        </w:numPr>
        <w:spacing w:after="0"/>
      </w:pPr>
      <w:r>
        <w:t>n</w:t>
      </w:r>
      <w:r w:rsidR="00CA4080" w:rsidRPr="00CA4080">
        <w:t>o exemptions from the US tariffs</w:t>
      </w:r>
      <w:r w:rsidR="00C21F96">
        <w:t>.</w:t>
      </w:r>
    </w:p>
    <w:p w14:paraId="70E8636A" w14:textId="77777777" w:rsidR="00CA4080" w:rsidRDefault="00CA4080" w:rsidP="00CA4080">
      <w:pPr>
        <w:spacing w:after="0"/>
        <w:rPr>
          <w:highlight w:val="yellow"/>
        </w:rPr>
      </w:pPr>
    </w:p>
    <w:p w14:paraId="1E3AC0FC" w14:textId="3CB8A757" w:rsidR="00CA4080" w:rsidRPr="00CA4080" w:rsidRDefault="00CA4080" w:rsidP="00CA4080">
      <w:pPr>
        <w:spacing w:after="0"/>
      </w:pPr>
      <w:r w:rsidRPr="00CA4080">
        <w:t>A summary of Cadence’s findings</w:t>
      </w:r>
      <w:r w:rsidR="00816976">
        <w:t xml:space="preserve"> of impacts</w:t>
      </w:r>
      <w:r w:rsidR="00A976D8">
        <w:t xml:space="preserve"> for 2020</w:t>
      </w:r>
      <w:r w:rsidR="008236EC">
        <w:t xml:space="preserve"> off a reference case</w:t>
      </w:r>
      <w:r w:rsidRPr="00CA4080">
        <w:t xml:space="preserve"> is contained below. </w:t>
      </w:r>
    </w:p>
    <w:p w14:paraId="206634EA" w14:textId="77777777" w:rsidR="00CA4080" w:rsidRDefault="00CA4080" w:rsidP="00CA4080">
      <w:pPr>
        <w:spacing w:after="0"/>
        <w:rPr>
          <w:highlight w:val="yellow"/>
        </w:rPr>
      </w:pPr>
    </w:p>
    <w:tbl>
      <w:tblPr>
        <w:tblStyle w:val="TableGrid"/>
        <w:tblW w:w="0" w:type="auto"/>
        <w:tblLook w:val="04A0" w:firstRow="1" w:lastRow="0" w:firstColumn="1" w:lastColumn="0" w:noHBand="0" w:noVBand="1"/>
      </w:tblPr>
      <w:tblGrid>
        <w:gridCol w:w="1858"/>
        <w:gridCol w:w="1545"/>
        <w:gridCol w:w="1601"/>
        <w:gridCol w:w="1297"/>
        <w:gridCol w:w="1774"/>
        <w:gridCol w:w="1456"/>
      </w:tblGrid>
      <w:tr w:rsidR="00816976" w:rsidRPr="00816976" w14:paraId="5474BFF5" w14:textId="304EE112" w:rsidTr="00816976">
        <w:tc>
          <w:tcPr>
            <w:tcW w:w="1881" w:type="dxa"/>
          </w:tcPr>
          <w:p w14:paraId="15B045CA" w14:textId="66A72992" w:rsidR="00816976" w:rsidRPr="00816976" w:rsidRDefault="00816976" w:rsidP="00816976">
            <w:pPr>
              <w:spacing w:after="0"/>
              <w:jc w:val="center"/>
              <w:rPr>
                <w:b/>
              </w:rPr>
            </w:pPr>
            <w:r w:rsidRPr="00816976">
              <w:rPr>
                <w:b/>
              </w:rPr>
              <w:t>Scenario</w:t>
            </w:r>
          </w:p>
        </w:tc>
        <w:tc>
          <w:tcPr>
            <w:tcW w:w="1588" w:type="dxa"/>
          </w:tcPr>
          <w:p w14:paraId="615E1D42" w14:textId="77777777" w:rsidR="00816976" w:rsidRDefault="00816976" w:rsidP="00816976">
            <w:pPr>
              <w:spacing w:after="0"/>
              <w:jc w:val="center"/>
              <w:rPr>
                <w:b/>
              </w:rPr>
            </w:pPr>
            <w:r w:rsidRPr="00816976">
              <w:rPr>
                <w:b/>
              </w:rPr>
              <w:t xml:space="preserve">GDP </w:t>
            </w:r>
          </w:p>
          <w:p w14:paraId="267210E7" w14:textId="72954DEE" w:rsidR="00816976" w:rsidRPr="00816976" w:rsidRDefault="00816976" w:rsidP="00816976">
            <w:pPr>
              <w:spacing w:after="0"/>
              <w:jc w:val="center"/>
              <w:rPr>
                <w:b/>
              </w:rPr>
            </w:pPr>
            <w:r w:rsidRPr="00816976">
              <w:rPr>
                <w:b/>
              </w:rPr>
              <w:t>(%)</w:t>
            </w:r>
          </w:p>
        </w:tc>
        <w:tc>
          <w:tcPr>
            <w:tcW w:w="1624" w:type="dxa"/>
          </w:tcPr>
          <w:p w14:paraId="64DBA54F" w14:textId="326A616B" w:rsidR="00816976" w:rsidRDefault="00816976" w:rsidP="00816976">
            <w:pPr>
              <w:spacing w:after="0"/>
              <w:jc w:val="center"/>
              <w:rPr>
                <w:b/>
              </w:rPr>
            </w:pPr>
            <w:r>
              <w:rPr>
                <w:b/>
              </w:rPr>
              <w:t>S</w:t>
            </w:r>
            <w:r w:rsidRPr="00816976">
              <w:rPr>
                <w:b/>
              </w:rPr>
              <w:t xml:space="preserve">teel imports </w:t>
            </w:r>
            <w:r w:rsidR="001C4157">
              <w:rPr>
                <w:b/>
              </w:rPr>
              <w:t>(volume)</w:t>
            </w:r>
          </w:p>
          <w:p w14:paraId="00FF4271" w14:textId="5961BFA8" w:rsidR="00816976" w:rsidRPr="00816976" w:rsidRDefault="00816976" w:rsidP="00816976">
            <w:pPr>
              <w:spacing w:after="0"/>
              <w:jc w:val="center"/>
              <w:rPr>
                <w:b/>
              </w:rPr>
            </w:pPr>
            <w:r w:rsidRPr="00816976">
              <w:rPr>
                <w:b/>
              </w:rPr>
              <w:t>(%)</w:t>
            </w:r>
          </w:p>
        </w:tc>
        <w:tc>
          <w:tcPr>
            <w:tcW w:w="1195" w:type="dxa"/>
          </w:tcPr>
          <w:p w14:paraId="160288D2" w14:textId="77777777" w:rsidR="00816976" w:rsidRDefault="00816976" w:rsidP="00816976">
            <w:pPr>
              <w:spacing w:after="0"/>
              <w:jc w:val="center"/>
              <w:rPr>
                <w:b/>
              </w:rPr>
            </w:pPr>
            <w:r>
              <w:rPr>
                <w:b/>
              </w:rPr>
              <w:t>D</w:t>
            </w:r>
            <w:r w:rsidRPr="00816976">
              <w:rPr>
                <w:b/>
              </w:rPr>
              <w:t xml:space="preserve">omestic steel price </w:t>
            </w:r>
          </w:p>
          <w:p w14:paraId="1F5B4A08" w14:textId="7A478C45" w:rsidR="00816976" w:rsidRPr="00816976" w:rsidRDefault="00816976" w:rsidP="00816976">
            <w:pPr>
              <w:spacing w:after="0"/>
              <w:jc w:val="center"/>
              <w:rPr>
                <w:b/>
              </w:rPr>
            </w:pPr>
            <w:r w:rsidRPr="00816976">
              <w:rPr>
                <w:b/>
              </w:rPr>
              <w:t>(%)</w:t>
            </w:r>
          </w:p>
        </w:tc>
        <w:tc>
          <w:tcPr>
            <w:tcW w:w="1793" w:type="dxa"/>
          </w:tcPr>
          <w:p w14:paraId="25DD24CF" w14:textId="51D7081D" w:rsidR="00816976" w:rsidRDefault="00816976" w:rsidP="00816976">
            <w:pPr>
              <w:spacing w:after="0"/>
              <w:jc w:val="center"/>
              <w:rPr>
                <w:b/>
              </w:rPr>
            </w:pPr>
            <w:r>
              <w:rPr>
                <w:b/>
              </w:rPr>
              <w:t>A</w:t>
            </w:r>
            <w:r w:rsidRPr="00816976">
              <w:rPr>
                <w:b/>
              </w:rPr>
              <w:t xml:space="preserve">luminium imports </w:t>
            </w:r>
            <w:r w:rsidR="001C4157">
              <w:rPr>
                <w:b/>
              </w:rPr>
              <w:t>(volume)</w:t>
            </w:r>
          </w:p>
          <w:p w14:paraId="5BA49854" w14:textId="2FD9E8D9" w:rsidR="00816976" w:rsidRPr="00816976" w:rsidRDefault="00816976" w:rsidP="00816976">
            <w:pPr>
              <w:spacing w:after="0"/>
              <w:jc w:val="center"/>
              <w:rPr>
                <w:b/>
              </w:rPr>
            </w:pPr>
            <w:r w:rsidRPr="00816976">
              <w:rPr>
                <w:b/>
              </w:rPr>
              <w:t>(%)</w:t>
            </w:r>
          </w:p>
        </w:tc>
        <w:tc>
          <w:tcPr>
            <w:tcW w:w="1449" w:type="dxa"/>
          </w:tcPr>
          <w:p w14:paraId="55C6A9E4" w14:textId="14022F39" w:rsidR="00816976" w:rsidRDefault="00816976" w:rsidP="00816976">
            <w:pPr>
              <w:spacing w:after="0"/>
              <w:jc w:val="center"/>
              <w:rPr>
                <w:b/>
              </w:rPr>
            </w:pPr>
            <w:r>
              <w:rPr>
                <w:b/>
              </w:rPr>
              <w:t>Domestic A</w:t>
            </w:r>
            <w:r w:rsidRPr="00816976">
              <w:rPr>
                <w:b/>
              </w:rPr>
              <w:t xml:space="preserve">luminium price </w:t>
            </w:r>
          </w:p>
          <w:p w14:paraId="5D1D3080" w14:textId="41708098" w:rsidR="00816976" w:rsidRPr="00816976" w:rsidRDefault="00816976" w:rsidP="00816976">
            <w:pPr>
              <w:spacing w:after="0"/>
              <w:jc w:val="center"/>
              <w:rPr>
                <w:b/>
              </w:rPr>
            </w:pPr>
            <w:r w:rsidRPr="00816976">
              <w:rPr>
                <w:b/>
              </w:rPr>
              <w:t>(%)</w:t>
            </w:r>
          </w:p>
        </w:tc>
      </w:tr>
      <w:tr w:rsidR="00816976" w:rsidRPr="00816976" w14:paraId="4DCDB03C" w14:textId="43DA8AD9" w:rsidTr="00816976">
        <w:tc>
          <w:tcPr>
            <w:tcW w:w="1881" w:type="dxa"/>
          </w:tcPr>
          <w:p w14:paraId="1DF4FF76" w14:textId="35F2B54F" w:rsidR="00816976" w:rsidRPr="00816976" w:rsidRDefault="00816976" w:rsidP="00CA4080">
            <w:pPr>
              <w:spacing w:after="0"/>
            </w:pPr>
            <w:r w:rsidRPr="00816976">
              <w:t>Exemptions</w:t>
            </w:r>
          </w:p>
        </w:tc>
        <w:tc>
          <w:tcPr>
            <w:tcW w:w="1588" w:type="dxa"/>
          </w:tcPr>
          <w:p w14:paraId="5AF90318" w14:textId="2F3A36E3" w:rsidR="00816976" w:rsidRPr="00816976" w:rsidRDefault="001C4157" w:rsidP="00816976">
            <w:pPr>
              <w:spacing w:after="0"/>
              <w:jc w:val="center"/>
            </w:pPr>
            <w:r>
              <w:t>+</w:t>
            </w:r>
            <w:r w:rsidR="00816976" w:rsidRPr="00816976">
              <w:t>0.00</w:t>
            </w:r>
          </w:p>
        </w:tc>
        <w:tc>
          <w:tcPr>
            <w:tcW w:w="1624" w:type="dxa"/>
          </w:tcPr>
          <w:p w14:paraId="1DF89686" w14:textId="36280AF5" w:rsidR="00816976" w:rsidRPr="00816976" w:rsidRDefault="001C4157" w:rsidP="00816976">
            <w:pPr>
              <w:spacing w:after="0"/>
              <w:jc w:val="center"/>
            </w:pPr>
            <w:r>
              <w:t>+</w:t>
            </w:r>
            <w:r w:rsidR="00816976" w:rsidRPr="00816976">
              <w:t>0.4</w:t>
            </w:r>
          </w:p>
        </w:tc>
        <w:tc>
          <w:tcPr>
            <w:tcW w:w="1195" w:type="dxa"/>
          </w:tcPr>
          <w:p w14:paraId="3987212F" w14:textId="572B41FD" w:rsidR="00816976" w:rsidRPr="00816976" w:rsidRDefault="001C4157" w:rsidP="00816976">
            <w:pPr>
              <w:spacing w:after="0"/>
              <w:jc w:val="center"/>
            </w:pPr>
            <w:r>
              <w:t>+</w:t>
            </w:r>
            <w:r w:rsidR="00816976" w:rsidRPr="00816976">
              <w:t>0.08</w:t>
            </w:r>
          </w:p>
        </w:tc>
        <w:tc>
          <w:tcPr>
            <w:tcW w:w="1793" w:type="dxa"/>
          </w:tcPr>
          <w:p w14:paraId="64B34E3F" w14:textId="639C163C" w:rsidR="00816976" w:rsidRPr="00816976" w:rsidRDefault="001C4157" w:rsidP="00816976">
            <w:pPr>
              <w:spacing w:after="0"/>
              <w:jc w:val="center"/>
            </w:pPr>
            <w:r>
              <w:t>+</w:t>
            </w:r>
            <w:r w:rsidR="00816976" w:rsidRPr="00816976">
              <w:t>0.1</w:t>
            </w:r>
          </w:p>
        </w:tc>
        <w:tc>
          <w:tcPr>
            <w:tcW w:w="1449" w:type="dxa"/>
          </w:tcPr>
          <w:p w14:paraId="320D7356" w14:textId="5107A101" w:rsidR="00816976" w:rsidRPr="00816976" w:rsidRDefault="001C4157" w:rsidP="00816976">
            <w:pPr>
              <w:spacing w:after="0"/>
              <w:jc w:val="center"/>
            </w:pPr>
            <w:r>
              <w:t>+</w:t>
            </w:r>
            <w:r w:rsidR="00816976" w:rsidRPr="00816976">
              <w:t>0.01</w:t>
            </w:r>
          </w:p>
        </w:tc>
      </w:tr>
      <w:tr w:rsidR="00816976" w:rsidRPr="00816976" w14:paraId="69E152B4" w14:textId="490E6F2D" w:rsidTr="00816976">
        <w:tc>
          <w:tcPr>
            <w:tcW w:w="1881" w:type="dxa"/>
          </w:tcPr>
          <w:p w14:paraId="66EED678" w14:textId="3B22676C" w:rsidR="00816976" w:rsidRPr="00816976" w:rsidRDefault="00816976" w:rsidP="00CA4080">
            <w:pPr>
              <w:spacing w:after="0"/>
            </w:pPr>
            <w:r w:rsidRPr="00816976">
              <w:t>No exemptions</w:t>
            </w:r>
          </w:p>
        </w:tc>
        <w:tc>
          <w:tcPr>
            <w:tcW w:w="1588" w:type="dxa"/>
          </w:tcPr>
          <w:p w14:paraId="73A6B047" w14:textId="517965BC" w:rsidR="00816976" w:rsidRPr="00816976" w:rsidRDefault="00816976" w:rsidP="00816976">
            <w:pPr>
              <w:spacing w:after="0"/>
              <w:jc w:val="center"/>
            </w:pPr>
            <w:r w:rsidRPr="00816976">
              <w:t>-0.01</w:t>
            </w:r>
          </w:p>
        </w:tc>
        <w:tc>
          <w:tcPr>
            <w:tcW w:w="1624" w:type="dxa"/>
          </w:tcPr>
          <w:p w14:paraId="5CC58934" w14:textId="756A8B04" w:rsidR="00816976" w:rsidRPr="00816976" w:rsidRDefault="00816976" w:rsidP="00816976">
            <w:pPr>
              <w:spacing w:after="0"/>
              <w:jc w:val="center"/>
            </w:pPr>
            <w:r w:rsidRPr="00816976">
              <w:t>-0.4</w:t>
            </w:r>
          </w:p>
        </w:tc>
        <w:tc>
          <w:tcPr>
            <w:tcW w:w="1195" w:type="dxa"/>
          </w:tcPr>
          <w:p w14:paraId="6FDD8087" w14:textId="7E91DF20" w:rsidR="00816976" w:rsidRPr="00816976" w:rsidRDefault="00816976" w:rsidP="00816976">
            <w:pPr>
              <w:spacing w:after="0"/>
              <w:jc w:val="center"/>
            </w:pPr>
            <w:r w:rsidRPr="00816976">
              <w:t>-0.10</w:t>
            </w:r>
          </w:p>
        </w:tc>
        <w:tc>
          <w:tcPr>
            <w:tcW w:w="1793" w:type="dxa"/>
          </w:tcPr>
          <w:p w14:paraId="212D8202" w14:textId="24F90DEB" w:rsidR="00816976" w:rsidRPr="00816976" w:rsidRDefault="00816976" w:rsidP="00816976">
            <w:pPr>
              <w:spacing w:after="0"/>
              <w:jc w:val="center"/>
            </w:pPr>
            <w:r w:rsidRPr="00816976">
              <w:t>-0.</w:t>
            </w:r>
            <w:r w:rsidR="004979A9">
              <w:t>4</w:t>
            </w:r>
          </w:p>
        </w:tc>
        <w:tc>
          <w:tcPr>
            <w:tcW w:w="1449" w:type="dxa"/>
          </w:tcPr>
          <w:p w14:paraId="49CBEF62" w14:textId="63DE48E0" w:rsidR="00816976" w:rsidRPr="00816976" w:rsidRDefault="00816976" w:rsidP="00816976">
            <w:pPr>
              <w:spacing w:after="0"/>
              <w:jc w:val="center"/>
            </w:pPr>
            <w:r w:rsidRPr="00816976">
              <w:t>-0.03</w:t>
            </w:r>
          </w:p>
        </w:tc>
      </w:tr>
    </w:tbl>
    <w:p w14:paraId="464D6A48" w14:textId="7BBA213A" w:rsidR="00034233" w:rsidRPr="00034233" w:rsidRDefault="00034233" w:rsidP="00034233">
      <w:pPr>
        <w:pStyle w:val="BodyText"/>
        <w:spacing w:before="120" w:after="120"/>
        <w:rPr>
          <w:rFonts w:asciiTheme="minorHAnsi" w:hAnsiTheme="minorHAnsi" w:cs="Segoe UI"/>
          <w:b/>
          <w:sz w:val="20"/>
        </w:rPr>
      </w:pPr>
      <w:r w:rsidRPr="00034233">
        <w:rPr>
          <w:rFonts w:asciiTheme="minorHAnsi" w:hAnsiTheme="minorHAnsi" w:cs="Segoe UI"/>
          <w:b/>
          <w:sz w:val="20"/>
        </w:rPr>
        <w:t>Table 1: Summary of findings</w:t>
      </w:r>
    </w:p>
    <w:p w14:paraId="10FDC2F7" w14:textId="6C652A9B" w:rsidR="00C4597D" w:rsidRDefault="00C4597D" w:rsidP="00A748B1">
      <w:pPr>
        <w:spacing w:after="0"/>
      </w:pPr>
      <w:r>
        <w:t xml:space="preserve">As at </w:t>
      </w:r>
      <w:r w:rsidR="002C72AC">
        <w:t>30 June 2018</w:t>
      </w:r>
      <w:r>
        <w:t>, the tariffs apply to imports from all countries except:</w:t>
      </w:r>
    </w:p>
    <w:p w14:paraId="722D3F4A" w14:textId="1BA098E2" w:rsidR="00C4597D" w:rsidRDefault="00C4597D" w:rsidP="00A748B1">
      <w:pPr>
        <w:pStyle w:val="ListParagraph"/>
        <w:numPr>
          <w:ilvl w:val="0"/>
          <w:numId w:val="49"/>
        </w:numPr>
        <w:spacing w:after="0"/>
        <w:ind w:left="714" w:hanging="357"/>
        <w:contextualSpacing w:val="0"/>
      </w:pPr>
      <w:r>
        <w:t xml:space="preserve">Australia, Argentina, </w:t>
      </w:r>
      <w:r w:rsidR="00A75EC2">
        <w:t xml:space="preserve">South </w:t>
      </w:r>
      <w:r>
        <w:t>Korea and Brazil in relation to steel. Argentina,</w:t>
      </w:r>
      <w:r w:rsidR="00A75EC2">
        <w:t xml:space="preserve"> South</w:t>
      </w:r>
      <w:r>
        <w:t xml:space="preserve"> Korea and Brazil are subject to quota arrangements</w:t>
      </w:r>
    </w:p>
    <w:p w14:paraId="4CE1F79D" w14:textId="77777777" w:rsidR="00C4597D" w:rsidRDefault="00C4597D" w:rsidP="00A748B1">
      <w:pPr>
        <w:pStyle w:val="ListParagraph"/>
        <w:numPr>
          <w:ilvl w:val="0"/>
          <w:numId w:val="49"/>
        </w:numPr>
        <w:spacing w:after="0"/>
      </w:pPr>
      <w:r>
        <w:t>Australia and Argentina in relation to aluminium. Argentina is subject to a quota arrangement.</w:t>
      </w:r>
    </w:p>
    <w:p w14:paraId="09D253F0" w14:textId="77777777" w:rsidR="00C4597D" w:rsidRDefault="00C4597D" w:rsidP="00A748B1">
      <w:pPr>
        <w:spacing w:after="0"/>
      </w:pPr>
    </w:p>
    <w:p w14:paraId="1B665B6A" w14:textId="57CB08B1" w:rsidR="00C4597D" w:rsidRPr="00A748B1" w:rsidRDefault="00C4597D" w:rsidP="00A748B1">
      <w:pPr>
        <w:spacing w:after="0"/>
        <w:rPr>
          <w:szCs w:val="22"/>
        </w:rPr>
      </w:pPr>
      <w:r w:rsidRPr="00383086">
        <w:t>Given the conclusion reached by Cadence on the two scenarios modelled</w:t>
      </w:r>
      <w:r w:rsidRPr="00C21769">
        <w:t xml:space="preserve"> at both ends of the spectrum, Cadence </w:t>
      </w:r>
      <w:r w:rsidRPr="00C4597D">
        <w:t>has</w:t>
      </w:r>
      <w:r w:rsidRPr="00A748B1">
        <w:rPr>
          <w:szCs w:val="22"/>
        </w:rPr>
        <w:t xml:space="preserve"> no reason to believe that their conclusion would be changed in light of current state of affairs. </w:t>
      </w:r>
    </w:p>
    <w:p w14:paraId="5F2A3D49" w14:textId="77777777" w:rsidR="00C4597D" w:rsidRDefault="00C4597D" w:rsidP="008E3DA9">
      <w:pPr>
        <w:spacing w:after="0"/>
      </w:pPr>
    </w:p>
    <w:p w14:paraId="7B15E646" w14:textId="1E2806C3" w:rsidR="00A75EC2" w:rsidRDefault="00A75EC2" w:rsidP="008E3DA9">
      <w:pPr>
        <w:spacing w:after="0"/>
      </w:pPr>
      <w:r>
        <w:t>I note that</w:t>
      </w:r>
      <w:r w:rsidR="001C74C2">
        <w:t>, subsequent to Ca</w:t>
      </w:r>
      <w:r w:rsidR="00CE5585">
        <w:t>de</w:t>
      </w:r>
      <w:r w:rsidR="001C74C2">
        <w:t>n</w:t>
      </w:r>
      <w:r w:rsidR="00CE5585">
        <w:t>ce completing its analysis,</w:t>
      </w:r>
      <w:r>
        <w:t xml:space="preserve"> a range of countries have introduced retaliatory measures against the US tariffs. </w:t>
      </w:r>
      <w:r w:rsidR="00CE5585">
        <w:t>As a result t</w:t>
      </w:r>
      <w:r>
        <w:t>hese have not been included in the analysis.</w:t>
      </w:r>
    </w:p>
    <w:p w14:paraId="74B438F2" w14:textId="77777777" w:rsidR="00A75EC2" w:rsidRDefault="00A75EC2" w:rsidP="008E3DA9">
      <w:pPr>
        <w:spacing w:after="0"/>
      </w:pPr>
    </w:p>
    <w:p w14:paraId="15EBD941" w14:textId="5D1C6CCD" w:rsidR="00C253CB" w:rsidRDefault="00C253CB" w:rsidP="008E3DA9">
      <w:pPr>
        <w:spacing w:after="0"/>
      </w:pPr>
      <w:r>
        <w:t xml:space="preserve">As Commissioner I am committed to complying with my domestic legislative obligations and acting consistently with </w:t>
      </w:r>
      <w:r w:rsidR="00146794">
        <w:t>Australia’s</w:t>
      </w:r>
      <w:r>
        <w:t xml:space="preserve"> World Trade Organization (WTO) obligations under the global rules-based trading system.</w:t>
      </w:r>
    </w:p>
    <w:p w14:paraId="06AFABE1" w14:textId="77777777" w:rsidR="00C253CB" w:rsidRDefault="00C253CB" w:rsidP="008E3DA9">
      <w:pPr>
        <w:spacing w:after="0"/>
      </w:pPr>
    </w:p>
    <w:p w14:paraId="57FDAFA7" w14:textId="271BF283" w:rsidR="008E3DA9" w:rsidRDefault="008E3DA9" w:rsidP="008E3DA9">
      <w:pPr>
        <w:spacing w:after="0"/>
      </w:pPr>
      <w:r w:rsidRPr="008E3DA9">
        <w:t>For any product that is imported into Australia</w:t>
      </w:r>
      <w:r w:rsidR="00187FAD">
        <w:t xml:space="preserve"> that is potentially dumped or subsidised</w:t>
      </w:r>
      <w:r w:rsidRPr="008E3DA9">
        <w:t xml:space="preserve">, </w:t>
      </w:r>
      <w:r w:rsidR="00C21F96" w:rsidRPr="00816976">
        <w:t>the ADC stands ready to investigate any allegations</w:t>
      </w:r>
      <w:r w:rsidR="00C21F96" w:rsidRPr="008E3DA9">
        <w:t xml:space="preserve"> </w:t>
      </w:r>
      <w:r w:rsidR="00C21F96">
        <w:t>under</w:t>
      </w:r>
      <w:r w:rsidRPr="008E3DA9">
        <w:t xml:space="preserve"> </w:t>
      </w:r>
      <w:r w:rsidR="00C253CB">
        <w:t>our</w:t>
      </w:r>
      <w:r w:rsidR="00C253CB" w:rsidRPr="008E3DA9">
        <w:t xml:space="preserve"> </w:t>
      </w:r>
      <w:r w:rsidR="00244B5D" w:rsidRPr="00816976">
        <w:t>trade remedies system</w:t>
      </w:r>
      <w:r w:rsidR="001B244B">
        <w:t>, which</w:t>
      </w:r>
      <w:r w:rsidR="009E3AA9">
        <w:t xml:space="preserve"> </w:t>
      </w:r>
      <w:r w:rsidR="00244B5D" w:rsidRPr="00816976">
        <w:t xml:space="preserve">is strong and robust. Steel and aluminium products make up </w:t>
      </w:r>
      <w:r w:rsidR="00E04F83">
        <w:t>84</w:t>
      </w:r>
      <w:r w:rsidR="00244B5D" w:rsidRPr="00816976">
        <w:t xml:space="preserve"> per cent of the ADC</w:t>
      </w:r>
      <w:r w:rsidR="00816976">
        <w:t>’s</w:t>
      </w:r>
      <w:r w:rsidR="00244B5D" w:rsidRPr="00816976">
        <w:t xml:space="preserve"> current caseload, and comprise 73 percent of existing anti-dumping or countervailing measures in place. There is also a strong anti-circumvention </w:t>
      </w:r>
      <w:r w:rsidR="0019432C">
        <w:t xml:space="preserve">and compliance </w:t>
      </w:r>
      <w:r w:rsidR="00244B5D" w:rsidRPr="00816976">
        <w:t>regime to deal with matters such as trans-shipment.</w:t>
      </w:r>
    </w:p>
    <w:p w14:paraId="3F602C0F" w14:textId="3A48863D" w:rsidR="009A692F" w:rsidRPr="00816976" w:rsidRDefault="00244B5D" w:rsidP="008E3DA9">
      <w:pPr>
        <w:spacing w:after="0"/>
      </w:pPr>
      <w:r w:rsidRPr="00816976">
        <w:t xml:space="preserve"> </w:t>
      </w:r>
    </w:p>
    <w:p w14:paraId="1FF6F894" w14:textId="1A14632E" w:rsidR="00517E6E" w:rsidRDefault="002C72AC" w:rsidP="009A692F">
      <w:pPr>
        <w:overflowPunct w:val="0"/>
        <w:autoSpaceDE w:val="0"/>
        <w:autoSpaceDN w:val="0"/>
        <w:adjustRightInd w:val="0"/>
        <w:spacing w:after="160"/>
        <w:textAlignment w:val="baseline"/>
      </w:pPr>
      <w:r>
        <w:t xml:space="preserve">Consistent </w:t>
      </w:r>
      <w:r w:rsidR="001E41B2">
        <w:t xml:space="preserve">with </w:t>
      </w:r>
      <w:r>
        <w:t>my responsibilities as Commissioner, t</w:t>
      </w:r>
      <w:r w:rsidR="00517E6E">
        <w:t xml:space="preserve">he </w:t>
      </w:r>
      <w:r w:rsidR="00554148">
        <w:t>ADC</w:t>
      </w:r>
      <w:r w:rsidR="00517E6E">
        <w:t xml:space="preserve"> is also actively tracking the trade flows of products subject to </w:t>
      </w:r>
      <w:r w:rsidR="00D80092">
        <w:t xml:space="preserve">anti-dumping or </w:t>
      </w:r>
      <w:r w:rsidR="001B244B">
        <w:t xml:space="preserve">countervailing </w:t>
      </w:r>
      <w:r w:rsidR="00517E6E">
        <w:t xml:space="preserve">measures examining shifts in volumes and pricing. </w:t>
      </w:r>
      <w:r w:rsidR="00234A8E" w:rsidRPr="00234A8E">
        <w:t xml:space="preserve"> </w:t>
      </w:r>
      <w:r w:rsidR="00234A8E">
        <w:t xml:space="preserve">As part of this, </w:t>
      </w:r>
      <w:r w:rsidR="009E3AA9">
        <w:t>the ADC</w:t>
      </w:r>
      <w:r w:rsidR="00234A8E">
        <w:t xml:space="preserve"> track</w:t>
      </w:r>
      <w:r w:rsidR="009E3AA9">
        <w:t>s</w:t>
      </w:r>
      <w:r w:rsidR="00234A8E">
        <w:t xml:space="preserve"> a selected group of steel and aluminium products that are of most interest to the ADC and industry, on a monthly basis.  </w:t>
      </w:r>
    </w:p>
    <w:p w14:paraId="262889D0" w14:textId="77777777" w:rsidR="009A692F" w:rsidRDefault="009A692F" w:rsidP="009A692F">
      <w:pPr>
        <w:overflowPunct w:val="0"/>
        <w:autoSpaceDE w:val="0"/>
        <w:autoSpaceDN w:val="0"/>
        <w:adjustRightInd w:val="0"/>
        <w:spacing w:after="160"/>
        <w:textAlignment w:val="baseline"/>
      </w:pPr>
    </w:p>
    <w:p w14:paraId="613BE344" w14:textId="77777777" w:rsidR="008F6F06" w:rsidRDefault="008F6F06" w:rsidP="008F6F06">
      <w:pPr>
        <w:spacing w:after="0"/>
      </w:pPr>
    </w:p>
    <w:p w14:paraId="166F4434" w14:textId="342E41B9" w:rsidR="008F6F06" w:rsidRDefault="00554148" w:rsidP="008F6F06">
      <w:pPr>
        <w:pStyle w:val="Heading1"/>
        <w:shd w:val="clear" w:color="auto" w:fill="E0E0E0"/>
        <w:tabs>
          <w:tab w:val="num" w:pos="540"/>
        </w:tabs>
        <w:ind w:left="540" w:hanging="540"/>
        <w:jc w:val="left"/>
      </w:pPr>
      <w:bookmarkStart w:id="12" w:name="_Toc517257512"/>
      <w:bookmarkStart w:id="13" w:name="_Toc520359256"/>
      <w:bookmarkStart w:id="14" w:name="_Toc355879976"/>
      <w:r>
        <w:lastRenderedPageBreak/>
        <w:t>BACKGROUND</w:t>
      </w:r>
      <w:bookmarkEnd w:id="12"/>
      <w:bookmarkEnd w:id="13"/>
    </w:p>
    <w:p w14:paraId="038C1834" w14:textId="6B18BF06" w:rsidR="001E3E19" w:rsidRDefault="001E0767" w:rsidP="008F6F06">
      <w:r>
        <w:t xml:space="preserve">In April 2017, the </w:t>
      </w:r>
      <w:r w:rsidR="00B3429C">
        <w:t xml:space="preserve">United States initiated </w:t>
      </w:r>
      <w:r>
        <w:t xml:space="preserve">separate </w:t>
      </w:r>
      <w:r w:rsidR="00B3429C">
        <w:t xml:space="preserve">investigations under Section 232 of its </w:t>
      </w:r>
      <w:r w:rsidR="00B3429C" w:rsidRPr="00B3429C">
        <w:rPr>
          <w:i/>
        </w:rPr>
        <w:t>Trade Expansion Act 1962</w:t>
      </w:r>
      <w:r>
        <w:rPr>
          <w:i/>
        </w:rPr>
        <w:t xml:space="preserve"> </w:t>
      </w:r>
      <w:r w:rsidRPr="001E0767">
        <w:t>into steel and aluminium</w:t>
      </w:r>
      <w:r>
        <w:t xml:space="preserve"> to determine the effect of imported steel and aluminium on its national security. The U</w:t>
      </w:r>
      <w:r w:rsidR="001B244B">
        <w:t>S</w:t>
      </w:r>
      <w:r w:rsidR="00500A32">
        <w:t xml:space="preserve"> </w:t>
      </w:r>
      <w:r>
        <w:t>Secretary of Commerce made a range of recommendations to the U</w:t>
      </w:r>
      <w:r w:rsidR="001B244B">
        <w:t>S</w:t>
      </w:r>
      <w:r w:rsidR="00500A32">
        <w:t xml:space="preserve"> </w:t>
      </w:r>
      <w:r>
        <w:t xml:space="preserve">President, which ultimately led to the imposition of tariffs of 25 per cent on </w:t>
      </w:r>
      <w:r w:rsidR="007A6016">
        <w:t xml:space="preserve">certain </w:t>
      </w:r>
      <w:r>
        <w:t xml:space="preserve">steel </w:t>
      </w:r>
      <w:r w:rsidR="007A6016">
        <w:t xml:space="preserve">products </w:t>
      </w:r>
      <w:r>
        <w:t xml:space="preserve">and 10 per cent on </w:t>
      </w:r>
      <w:r w:rsidR="007A6016">
        <w:t xml:space="preserve">certain </w:t>
      </w:r>
      <w:r>
        <w:t>aluminium products</w:t>
      </w:r>
      <w:r w:rsidR="00813D99">
        <w:t xml:space="preserve"> </w:t>
      </w:r>
      <w:r w:rsidR="00B04FD0">
        <w:t>from</w:t>
      </w:r>
      <w:r w:rsidR="00813D99">
        <w:t xml:space="preserve"> certain countries</w:t>
      </w:r>
      <w:r>
        <w:t xml:space="preserve">. </w:t>
      </w:r>
    </w:p>
    <w:p w14:paraId="4069F4A7" w14:textId="3DE6CE51" w:rsidR="00813D99" w:rsidRDefault="00813D99" w:rsidP="00554148">
      <w:r>
        <w:t xml:space="preserve">Consistent with </w:t>
      </w:r>
      <w:r w:rsidR="008D2AA1">
        <w:t>Australia’s</w:t>
      </w:r>
      <w:r>
        <w:t xml:space="preserve"> WTO obligations and my </w:t>
      </w:r>
      <w:r w:rsidR="004F5D81">
        <w:t xml:space="preserve">statutory </w:t>
      </w:r>
      <w:r>
        <w:t>obligations and powers as Commissioner, I must take an evidence-based approach to my work. Therefore, in considering the potential impacts of the measures described above, I have taken an evidence</w:t>
      </w:r>
      <w:r w:rsidR="00134C1B">
        <w:t>-</w:t>
      </w:r>
      <w:r>
        <w:t xml:space="preserve"> and fact-based approach. </w:t>
      </w:r>
      <w:r w:rsidR="00C4597D">
        <w:t>I considered there was a need for evidence that examine</w:t>
      </w:r>
      <w:r>
        <w:t>d</w:t>
      </w:r>
      <w:r w:rsidR="00C4597D">
        <w:t xml:space="preserve"> industry concerns about the</w:t>
      </w:r>
      <w:r w:rsidR="001E3E19">
        <w:t xml:space="preserve"> potential diversion </w:t>
      </w:r>
      <w:r w:rsidR="00B6176B">
        <w:t xml:space="preserve">to Australia </w:t>
      </w:r>
      <w:r w:rsidR="001E3E19">
        <w:t>of steel</w:t>
      </w:r>
      <w:r w:rsidR="00B6176B">
        <w:t xml:space="preserve"> and aluminium</w:t>
      </w:r>
      <w:r w:rsidR="001E3E19">
        <w:t xml:space="preserve"> previou</w:t>
      </w:r>
      <w:r w:rsidR="00B6176B">
        <w:t xml:space="preserve">sly bound for the United States. </w:t>
      </w:r>
    </w:p>
    <w:p w14:paraId="1C2F7230" w14:textId="3BDB7C0A" w:rsidR="00554148" w:rsidRDefault="00B6176B" w:rsidP="00554148">
      <w:r>
        <w:t>Diverted product may be considered dumped or not</w:t>
      </w:r>
      <w:r w:rsidR="00234A8E">
        <w:t xml:space="preserve"> under the </w:t>
      </w:r>
      <w:r w:rsidR="00813D99">
        <w:t xml:space="preserve">WTO </w:t>
      </w:r>
      <w:r w:rsidR="00234A8E">
        <w:t xml:space="preserve">Anti-Dumping Agreement framework. </w:t>
      </w:r>
      <w:r>
        <w:t xml:space="preserve"> </w:t>
      </w:r>
    </w:p>
    <w:p w14:paraId="46B3EBCD" w14:textId="77777777" w:rsidR="00C4597D" w:rsidRDefault="001E07BD" w:rsidP="008F6F06">
      <w:r>
        <w:t>Steel and aluminium products make up 84 per cent of the ADC’s current caseload, and comprise 73 percent of existing anti-dumping or countervailing measures in place</w:t>
      </w:r>
      <w:r>
        <w:rPr>
          <w:rStyle w:val="FootnoteReference"/>
        </w:rPr>
        <w:footnoteReference w:id="3"/>
      </w:r>
      <w:r>
        <w:t xml:space="preserve">. </w:t>
      </w:r>
      <w:r w:rsidR="00554148">
        <w:t>This Note is intended to</w:t>
      </w:r>
      <w:r w:rsidR="0019432C">
        <w:t>:</w:t>
      </w:r>
    </w:p>
    <w:p w14:paraId="33564411" w14:textId="59539092" w:rsidR="00C4597D" w:rsidRDefault="00554148" w:rsidP="00A748B1">
      <w:pPr>
        <w:pStyle w:val="ListParagraph"/>
        <w:numPr>
          <w:ilvl w:val="0"/>
          <w:numId w:val="51"/>
        </w:numPr>
      </w:pPr>
      <w:r>
        <w:t>bring evidence to the discussion about what we could reasonably expect impacts to</w:t>
      </w:r>
      <w:r w:rsidR="00C4597D">
        <w:t xml:space="preserve"> </w:t>
      </w:r>
      <w:r>
        <w:t>be</w:t>
      </w:r>
      <w:r w:rsidR="00C4597D">
        <w:t xml:space="preserve"> </w:t>
      </w:r>
    </w:p>
    <w:p w14:paraId="22F4BF86" w14:textId="12E810F7" w:rsidR="00C4597D" w:rsidRDefault="00554148" w:rsidP="00A748B1">
      <w:pPr>
        <w:pStyle w:val="ListParagraph"/>
        <w:numPr>
          <w:ilvl w:val="0"/>
          <w:numId w:val="51"/>
        </w:numPr>
      </w:pPr>
      <w:r>
        <w:t xml:space="preserve">outline what existing mechanisms are in place for industry to access </w:t>
      </w:r>
    </w:p>
    <w:p w14:paraId="22386F60" w14:textId="2264301A" w:rsidR="00554148" w:rsidRDefault="0019432C" w:rsidP="00A748B1">
      <w:pPr>
        <w:pStyle w:val="ListParagraph"/>
        <w:numPr>
          <w:ilvl w:val="0"/>
          <w:numId w:val="51"/>
        </w:numPr>
      </w:pPr>
      <w:r>
        <w:t xml:space="preserve">explain </w:t>
      </w:r>
      <w:r w:rsidR="00554148">
        <w:t xml:space="preserve">proactive steps the ADC is taking in the wake of the US tariffs. </w:t>
      </w:r>
    </w:p>
    <w:p w14:paraId="3919F40E" w14:textId="1174D246" w:rsidR="000D3778" w:rsidRPr="002C67F8" w:rsidRDefault="006A1366" w:rsidP="00F0225C">
      <w:r>
        <w:t xml:space="preserve">In consultation with my colleagues from across Australian Government agencies, I instructed the </w:t>
      </w:r>
      <w:r w:rsidR="00B132E2">
        <w:t>ADC</w:t>
      </w:r>
      <w:r>
        <w:t xml:space="preserve"> to consider potential impacts on Australia. </w:t>
      </w:r>
      <w:r w:rsidR="000D3778" w:rsidRPr="002C67F8">
        <w:t>Th</w:t>
      </w:r>
      <w:r w:rsidR="00D117AC" w:rsidRPr="002C67F8">
        <w:t>e</w:t>
      </w:r>
      <w:r w:rsidR="000D3778" w:rsidRPr="002C67F8">
        <w:t xml:space="preserve"> analysis </w:t>
      </w:r>
      <w:r w:rsidR="00D117AC" w:rsidRPr="002C67F8">
        <w:t xml:space="preserve">which forms the basis of </w:t>
      </w:r>
      <w:r w:rsidR="006A6683">
        <w:t>this</w:t>
      </w:r>
      <w:r w:rsidR="006A6683" w:rsidRPr="002C67F8">
        <w:t xml:space="preserve"> </w:t>
      </w:r>
      <w:r w:rsidR="00E84EDA">
        <w:t>Note</w:t>
      </w:r>
      <w:r w:rsidR="00D117AC" w:rsidRPr="002C67F8">
        <w:t xml:space="preserve"> </w:t>
      </w:r>
      <w:r w:rsidR="000D3778" w:rsidRPr="002C67F8">
        <w:t>was led by the</w:t>
      </w:r>
      <w:r w:rsidR="00AD4F9A">
        <w:t xml:space="preserve"> ADC’s</w:t>
      </w:r>
      <w:r w:rsidR="000D3778" w:rsidRPr="002C67F8">
        <w:t xml:space="preserve"> Anti-Dumping Information Service (ADIS)</w:t>
      </w:r>
      <w:r w:rsidR="00D117AC" w:rsidRPr="002C67F8">
        <w:t>. The ADIS</w:t>
      </w:r>
      <w:r w:rsidR="00B6176B">
        <w:t xml:space="preserve"> is tasked with providing</w:t>
      </w:r>
      <w:r w:rsidR="000D3778" w:rsidRPr="002C67F8">
        <w:t xml:space="preserve"> targeted economic analysis of trends and trading behaviours across markets</w:t>
      </w:r>
      <w:r w:rsidR="00B6176B">
        <w:t xml:space="preserve"> to </w:t>
      </w:r>
      <w:r w:rsidR="000D3778" w:rsidRPr="002C67F8">
        <w:t xml:space="preserve">strengthen the evidence base for </w:t>
      </w:r>
      <w:r w:rsidR="00F4419A" w:rsidRPr="002C67F8">
        <w:t>my</w:t>
      </w:r>
      <w:r w:rsidR="000D3778" w:rsidRPr="002C67F8">
        <w:t xml:space="preserve"> decisions and recommendations. </w:t>
      </w:r>
    </w:p>
    <w:p w14:paraId="16E90865" w14:textId="1B6E52A9" w:rsidR="009B6BD5" w:rsidRPr="002C67F8" w:rsidRDefault="00554148" w:rsidP="009B6BD5">
      <w:pPr>
        <w:spacing w:after="0"/>
      </w:pPr>
      <w:r>
        <w:t xml:space="preserve">In </w:t>
      </w:r>
      <w:r w:rsidR="006A6683">
        <w:t>c</w:t>
      </w:r>
      <w:r>
        <w:t>ommissioning the analysis and in preparing this Note, t</w:t>
      </w:r>
      <w:r w:rsidR="000D3778" w:rsidRPr="002C67F8">
        <w:t xml:space="preserve">he </w:t>
      </w:r>
      <w:r w:rsidR="00B6176B">
        <w:t>ADC</w:t>
      </w:r>
      <w:r w:rsidR="000D3778" w:rsidRPr="002C67F8">
        <w:t xml:space="preserve"> worked closely with other areas of the Department of Industry, Innovation and Science</w:t>
      </w:r>
      <w:r w:rsidR="00F414F1" w:rsidRPr="002C67F8">
        <w:t>, including the Office of the Chief Economist,</w:t>
      </w:r>
      <w:r w:rsidR="000D3778" w:rsidRPr="002C67F8">
        <w:t xml:space="preserve"> to draw on their economic, market analysis and policy expertise and knowledge of Australian and global steel and aluminium markets. </w:t>
      </w:r>
      <w:r w:rsidR="009B6BD5" w:rsidRPr="002C67F8">
        <w:t xml:space="preserve">The </w:t>
      </w:r>
      <w:r>
        <w:t>ADC</w:t>
      </w:r>
      <w:r w:rsidR="009B6BD5" w:rsidRPr="002C67F8">
        <w:t xml:space="preserve"> also worked closely with other government agencies including </w:t>
      </w:r>
      <w:r w:rsidR="00C4597D" w:rsidRPr="002C67F8">
        <w:t>the Department of the Prime Minister and Cabinet</w:t>
      </w:r>
      <w:r w:rsidR="00C4597D">
        <w:t>, the</w:t>
      </w:r>
      <w:r w:rsidR="00C4597D" w:rsidRPr="002C67F8">
        <w:t xml:space="preserve"> </w:t>
      </w:r>
      <w:r w:rsidR="009B6BD5" w:rsidRPr="002C67F8">
        <w:t>Treasury</w:t>
      </w:r>
      <w:r w:rsidR="00C4597D">
        <w:t xml:space="preserve"> </w:t>
      </w:r>
      <w:r w:rsidR="002C67F8" w:rsidRPr="002C67F8">
        <w:t xml:space="preserve">and </w:t>
      </w:r>
      <w:r w:rsidR="009B6BD5" w:rsidRPr="002C67F8">
        <w:t xml:space="preserve">the Department of Foreign Affairs and Trade. </w:t>
      </w:r>
    </w:p>
    <w:p w14:paraId="7CCC9703" w14:textId="77777777" w:rsidR="009B6BD5" w:rsidRPr="009B6BD5" w:rsidRDefault="009B6BD5" w:rsidP="000D3778">
      <w:pPr>
        <w:autoSpaceDE w:val="0"/>
        <w:autoSpaceDN w:val="0"/>
        <w:adjustRightInd w:val="0"/>
        <w:spacing w:after="0"/>
        <w:rPr>
          <w:color w:val="000000"/>
        </w:rPr>
      </w:pPr>
    </w:p>
    <w:p w14:paraId="27B5CB34" w14:textId="18815FD5" w:rsidR="00B6176B" w:rsidRDefault="00B6176B" w:rsidP="009B6BD5">
      <w:pPr>
        <w:spacing w:after="0"/>
      </w:pPr>
      <w:r>
        <w:rPr>
          <w:color w:val="000000"/>
        </w:rPr>
        <w:t xml:space="preserve">This Note incorporates </w:t>
      </w:r>
      <w:r w:rsidR="000D3778" w:rsidRPr="000D3778">
        <w:rPr>
          <w:color w:val="000000"/>
        </w:rPr>
        <w:t>the findings of specialist quantitative analysis undertaken by an economic consultant</w:t>
      </w:r>
      <w:r w:rsidR="003D796B">
        <w:rPr>
          <w:color w:val="000000"/>
        </w:rPr>
        <w:t xml:space="preserve">, </w:t>
      </w:r>
      <w:r w:rsidR="000D3778" w:rsidRPr="000D3778">
        <w:rPr>
          <w:color w:val="000000"/>
        </w:rPr>
        <w:t>C</w:t>
      </w:r>
      <w:r>
        <w:rPr>
          <w:color w:val="000000"/>
        </w:rPr>
        <w:t xml:space="preserve">adence Economics. </w:t>
      </w:r>
      <w:r w:rsidR="000D3778" w:rsidRPr="000D3778">
        <w:rPr>
          <w:color w:val="000000"/>
        </w:rPr>
        <w:t xml:space="preserve">The consultant analysed the </w:t>
      </w:r>
      <w:r w:rsidR="00F479E1">
        <w:rPr>
          <w:color w:val="000000"/>
        </w:rPr>
        <w:t xml:space="preserve">potential displacement of steel and aluminium as a result of the tariffs, and the likely </w:t>
      </w:r>
      <w:r w:rsidR="00DF62D4" w:rsidRPr="00B26422">
        <w:t xml:space="preserve">impacts </w:t>
      </w:r>
      <w:r w:rsidR="00DF62D4">
        <w:t>of</w:t>
      </w:r>
      <w:r w:rsidR="00DF62D4" w:rsidRPr="00B26422">
        <w:t xml:space="preserve"> </w:t>
      </w:r>
      <w:r w:rsidR="00DF62D4" w:rsidRPr="00B26422">
        <w:lastRenderedPageBreak/>
        <w:t xml:space="preserve">displaced steel </w:t>
      </w:r>
      <w:r w:rsidR="00DF62D4">
        <w:t xml:space="preserve">and aluminium </w:t>
      </w:r>
      <w:r w:rsidR="00DF62D4" w:rsidRPr="00B26422">
        <w:t>ending up in Australia on</w:t>
      </w:r>
      <w:r w:rsidR="00DF62D4">
        <w:t xml:space="preserve"> </w:t>
      </w:r>
      <w:r w:rsidR="00DF62D4" w:rsidRPr="00B26422">
        <w:t>the Australian economy</w:t>
      </w:r>
      <w:r w:rsidR="00DF62D4">
        <w:t>.</w:t>
      </w:r>
      <w:r>
        <w:t xml:space="preserve"> This analysis was based on a model for which certain assumptions are required. </w:t>
      </w:r>
    </w:p>
    <w:p w14:paraId="3715A787" w14:textId="77777777" w:rsidR="009B6BD5" w:rsidRDefault="009B6BD5" w:rsidP="009B6BD5">
      <w:pPr>
        <w:spacing w:after="0"/>
      </w:pPr>
    </w:p>
    <w:bookmarkEnd w:id="14"/>
    <w:p w14:paraId="687CB7B7" w14:textId="4907569A" w:rsidR="009B6BD5" w:rsidRPr="00A01FAA" w:rsidRDefault="009B6BD5" w:rsidP="009B6BD5">
      <w:pPr>
        <w:spacing w:after="0"/>
      </w:pPr>
      <w:r w:rsidRPr="00A01FAA">
        <w:rPr>
          <w:szCs w:val="22"/>
        </w:rPr>
        <w:t xml:space="preserve">In preparing this </w:t>
      </w:r>
      <w:r w:rsidR="00E84EDA">
        <w:rPr>
          <w:szCs w:val="22"/>
        </w:rPr>
        <w:t>Note</w:t>
      </w:r>
      <w:r w:rsidRPr="00A01FAA">
        <w:rPr>
          <w:szCs w:val="22"/>
        </w:rPr>
        <w:t xml:space="preserve">, </w:t>
      </w:r>
      <w:r w:rsidR="00A01FAA" w:rsidRPr="00A01FAA">
        <w:rPr>
          <w:szCs w:val="22"/>
        </w:rPr>
        <w:t>I consulted</w:t>
      </w:r>
      <w:r w:rsidRPr="00A01FAA">
        <w:rPr>
          <w:szCs w:val="22"/>
        </w:rPr>
        <w:t xml:space="preserve"> with </w:t>
      </w:r>
      <w:r w:rsidR="00A01FAA" w:rsidRPr="00A01FAA">
        <w:rPr>
          <w:szCs w:val="22"/>
        </w:rPr>
        <w:t xml:space="preserve">members of </w:t>
      </w:r>
      <w:r w:rsidR="00B474EC" w:rsidRPr="00A01FAA">
        <w:rPr>
          <w:szCs w:val="22"/>
        </w:rPr>
        <w:t>the International Trade Remedies Forum (ITRF)</w:t>
      </w:r>
      <w:r w:rsidR="00A01FAA" w:rsidRPr="00A01FAA">
        <w:rPr>
          <w:szCs w:val="22"/>
        </w:rPr>
        <w:t xml:space="preserve">, a consultative body </w:t>
      </w:r>
      <w:r w:rsidR="00A01FAA" w:rsidRPr="00A01FAA">
        <w:rPr>
          <w:color w:val="000000"/>
          <w:lang w:val="en"/>
        </w:rPr>
        <w:t>established by legislation to provide advice to the government on the anti-dumping system. Members of the ITRF represent a broad cross section of stakeholders including Australian manufacturers, producers, importers, downstream industry, industry associations and unions.</w:t>
      </w:r>
      <w:r w:rsidR="00A01FAA" w:rsidRPr="00A01FAA">
        <w:t xml:space="preserve"> </w:t>
      </w:r>
      <w:r w:rsidR="00524321" w:rsidRPr="00A01FAA">
        <w:rPr>
          <w:szCs w:val="22"/>
        </w:rPr>
        <w:t xml:space="preserve">The views of ITRF members are </w:t>
      </w:r>
      <w:r w:rsidR="009E3AA9">
        <w:rPr>
          <w:szCs w:val="22"/>
        </w:rPr>
        <w:t>summarised</w:t>
      </w:r>
      <w:r w:rsidR="00517E6E" w:rsidRPr="00A01FAA">
        <w:rPr>
          <w:szCs w:val="22"/>
        </w:rPr>
        <w:t xml:space="preserve"> </w:t>
      </w:r>
      <w:r w:rsidR="00524321" w:rsidRPr="00A01FAA">
        <w:rPr>
          <w:szCs w:val="22"/>
        </w:rPr>
        <w:t xml:space="preserve">in </w:t>
      </w:r>
      <w:r w:rsidR="00AD4F9A">
        <w:rPr>
          <w:szCs w:val="22"/>
        </w:rPr>
        <w:t xml:space="preserve">Chapter </w:t>
      </w:r>
      <w:r w:rsidR="00AD4F9A">
        <w:rPr>
          <w:szCs w:val="22"/>
        </w:rPr>
        <w:fldChar w:fldCharType="begin"/>
      </w:r>
      <w:r w:rsidR="00AD4F9A">
        <w:rPr>
          <w:szCs w:val="22"/>
        </w:rPr>
        <w:instrText xml:space="preserve"> REF _Ref516644150 \r \h </w:instrText>
      </w:r>
      <w:r w:rsidR="00AD4F9A">
        <w:rPr>
          <w:szCs w:val="22"/>
        </w:rPr>
      </w:r>
      <w:r w:rsidR="00AD4F9A">
        <w:rPr>
          <w:szCs w:val="22"/>
        </w:rPr>
        <w:fldChar w:fldCharType="separate"/>
      </w:r>
      <w:r w:rsidR="009C606D">
        <w:rPr>
          <w:szCs w:val="22"/>
        </w:rPr>
        <w:t>7</w:t>
      </w:r>
      <w:r w:rsidR="00AD4F9A">
        <w:rPr>
          <w:szCs w:val="22"/>
        </w:rPr>
        <w:fldChar w:fldCharType="end"/>
      </w:r>
      <w:r w:rsidR="00AD4F9A">
        <w:rPr>
          <w:szCs w:val="22"/>
        </w:rPr>
        <w:t xml:space="preserve"> of this Note</w:t>
      </w:r>
      <w:r w:rsidR="009E3AA9">
        <w:rPr>
          <w:szCs w:val="22"/>
        </w:rPr>
        <w:t xml:space="preserve"> followed by my observations. </w:t>
      </w:r>
      <w:r w:rsidR="00524321" w:rsidRPr="00A01FAA">
        <w:rPr>
          <w:szCs w:val="22"/>
        </w:rPr>
        <w:t xml:space="preserve"> </w:t>
      </w:r>
    </w:p>
    <w:p w14:paraId="02A3D831" w14:textId="115409C5" w:rsidR="00004B4B" w:rsidRPr="00C3180D" w:rsidRDefault="008F6F06" w:rsidP="00004B4B">
      <w:pPr>
        <w:pStyle w:val="Heading1"/>
        <w:shd w:val="clear" w:color="auto" w:fill="E0E0E0"/>
        <w:tabs>
          <w:tab w:val="num" w:pos="540"/>
        </w:tabs>
        <w:ind w:left="540" w:hanging="540"/>
        <w:jc w:val="left"/>
      </w:pPr>
      <w:bookmarkStart w:id="15" w:name="_Ref517174949"/>
      <w:bookmarkStart w:id="16" w:name="_Toc517257513"/>
      <w:bookmarkStart w:id="17" w:name="_Toc520359257"/>
      <w:r>
        <w:lastRenderedPageBreak/>
        <w:t>D</w:t>
      </w:r>
      <w:r w:rsidR="00B3429C">
        <w:t>ETAIL OF</w:t>
      </w:r>
      <w:r w:rsidR="00AC7AD2">
        <w:t xml:space="preserve"> </w:t>
      </w:r>
      <w:r w:rsidR="00B3429C">
        <w:t>ANNOUNCED TAR</w:t>
      </w:r>
      <w:r>
        <w:t>IFFS</w:t>
      </w:r>
      <w:bookmarkEnd w:id="15"/>
      <w:bookmarkEnd w:id="16"/>
      <w:bookmarkEnd w:id="17"/>
    </w:p>
    <w:p w14:paraId="780EDF80" w14:textId="77777777" w:rsidR="006A6683" w:rsidRDefault="006A6683" w:rsidP="00661C06">
      <w:pPr>
        <w:pStyle w:val="Heading2"/>
      </w:pPr>
      <w:bookmarkStart w:id="18" w:name="_Toc517257514"/>
      <w:bookmarkStart w:id="19" w:name="_Toc520359258"/>
      <w:r>
        <w:t>Presidential Proclamations</w:t>
      </w:r>
      <w:bookmarkEnd w:id="18"/>
      <w:bookmarkEnd w:id="19"/>
    </w:p>
    <w:p w14:paraId="67AD5CE3" w14:textId="56DAEEAE" w:rsidR="00591B98" w:rsidRDefault="00591B98" w:rsidP="00591B98">
      <w:r w:rsidRPr="00591B98">
        <w:t xml:space="preserve">On 8 March 2018, </w:t>
      </w:r>
      <w:r w:rsidR="001B244B">
        <w:t>US</w:t>
      </w:r>
      <w:r w:rsidRPr="00591B98">
        <w:t xml:space="preserve"> President Donald Trump signed se</w:t>
      </w:r>
      <w:r>
        <w:t xml:space="preserve">parate </w:t>
      </w:r>
      <w:r w:rsidR="00146794">
        <w:t>p</w:t>
      </w:r>
      <w:r>
        <w:t xml:space="preserve">roclamations imposing </w:t>
      </w:r>
      <w:r w:rsidRPr="00591B98">
        <w:t>tariff</w:t>
      </w:r>
      <w:r w:rsidR="00B132E2">
        <w:t>s</w:t>
      </w:r>
      <w:r w:rsidRPr="00591B98">
        <w:t xml:space="preserve"> of 25 per cent on imports of steel</w:t>
      </w:r>
      <w:r w:rsidR="00AA2714">
        <w:t xml:space="preserve"> articles</w:t>
      </w:r>
      <w:r>
        <w:rPr>
          <w:rStyle w:val="FootnoteReference"/>
        </w:rPr>
        <w:footnoteReference w:id="4"/>
      </w:r>
      <w:r w:rsidRPr="00591B98">
        <w:t xml:space="preserve"> and 10 per cent on imports of aluminium</w:t>
      </w:r>
      <w:r w:rsidR="00AA2714">
        <w:t xml:space="preserve"> articles</w:t>
      </w:r>
      <w:r w:rsidR="00D51D13">
        <w:rPr>
          <w:rStyle w:val="FootnoteReference"/>
        </w:rPr>
        <w:footnoteReference w:id="5"/>
      </w:r>
      <w:r w:rsidRPr="00591B98">
        <w:t xml:space="preserve"> into the US. </w:t>
      </w:r>
    </w:p>
    <w:p w14:paraId="00D16C40" w14:textId="176D849F" w:rsidR="00591B98" w:rsidRPr="00591B98" w:rsidRDefault="00591B98" w:rsidP="00591B98">
      <w:r w:rsidRPr="00591B98">
        <w:t xml:space="preserve">On 22 March 2018, President Trump issued separate </w:t>
      </w:r>
      <w:r w:rsidR="00146794">
        <w:t>p</w:t>
      </w:r>
      <w:r w:rsidRPr="00591B98">
        <w:t>roclamations adjusting the tariffs</w:t>
      </w:r>
      <w:r w:rsidR="00D51D13">
        <w:rPr>
          <w:rStyle w:val="FootnoteReference"/>
        </w:rPr>
        <w:footnoteReference w:id="6"/>
      </w:r>
      <w:r w:rsidRPr="00591B98">
        <w:t xml:space="preserve">. As a result, the tariffs on steel and aluminium imports from Australia, along with Argentina, Brazil, Canada, Mexico, the European Union and </w:t>
      </w:r>
      <w:r w:rsidR="001B244B">
        <w:t xml:space="preserve">South </w:t>
      </w:r>
      <w:r w:rsidRPr="00591B98">
        <w:t xml:space="preserve">Korea </w:t>
      </w:r>
      <w:r w:rsidR="009E3AA9">
        <w:t>were</w:t>
      </w:r>
      <w:r w:rsidRPr="00591B98">
        <w:t xml:space="preserve"> suspended until 1 May 2018. The President </w:t>
      </w:r>
      <w:r w:rsidR="006A6683">
        <w:t>was to</w:t>
      </w:r>
      <w:r w:rsidR="006A6683" w:rsidRPr="00591B98">
        <w:t xml:space="preserve"> </w:t>
      </w:r>
      <w:r w:rsidRPr="00591B98">
        <w:t>decide by 1 May</w:t>
      </w:r>
      <w:r w:rsidR="00235B6A">
        <w:t xml:space="preserve"> 2018</w:t>
      </w:r>
      <w:r w:rsidRPr="00591B98">
        <w:t xml:space="preserve"> whether to </w:t>
      </w:r>
      <w:r w:rsidR="001B244B">
        <w:t>extend</w:t>
      </w:r>
      <w:r w:rsidR="001B244B" w:rsidRPr="00591B98">
        <w:t xml:space="preserve"> </w:t>
      </w:r>
      <w:r w:rsidRPr="00591B98">
        <w:t>the exemption</w:t>
      </w:r>
      <w:r w:rsidR="001B244B">
        <w:t>s</w:t>
      </w:r>
      <w:r w:rsidRPr="00591B98">
        <w:t>.</w:t>
      </w:r>
    </w:p>
    <w:p w14:paraId="21B6A6D4" w14:textId="142B4300" w:rsidR="000B1A00" w:rsidRDefault="000B1A00" w:rsidP="00591B98">
      <w:r>
        <w:t>On 30 April</w:t>
      </w:r>
      <w:r w:rsidR="00B47907">
        <w:t xml:space="preserve"> 2018</w:t>
      </w:r>
      <w:r>
        <w:t xml:space="preserve"> a third set of </w:t>
      </w:r>
      <w:r w:rsidR="00146794">
        <w:t>p</w:t>
      </w:r>
      <w:r>
        <w:t>roclamations were signed</w:t>
      </w:r>
      <w:r>
        <w:rPr>
          <w:rStyle w:val="FootnoteReference"/>
        </w:rPr>
        <w:footnoteReference w:id="7"/>
      </w:r>
      <w:r>
        <w:t>. These confirmed the existing tariffs. They noted that arrangements had been made with South Korea</w:t>
      </w:r>
      <w:r w:rsidR="004A62BB">
        <w:t xml:space="preserve">, which include quotas, </w:t>
      </w:r>
      <w:r>
        <w:t>that in-principle agreements had been reached with Argentina, Australia and Brazil and that the exemption</w:t>
      </w:r>
      <w:r w:rsidR="00B47907">
        <w:t>s</w:t>
      </w:r>
      <w:r>
        <w:t xml:space="preserve"> for these countries </w:t>
      </w:r>
      <w:r w:rsidR="00B47907">
        <w:t xml:space="preserve">were </w:t>
      </w:r>
      <w:r>
        <w:t xml:space="preserve">extended indefinitely. The exemptions for Canada, Mexico and the European Union were also </w:t>
      </w:r>
      <w:r w:rsidR="00B47907">
        <w:t xml:space="preserve">extended </w:t>
      </w:r>
      <w:r>
        <w:t xml:space="preserve">until 1 June 2018.  </w:t>
      </w:r>
    </w:p>
    <w:p w14:paraId="78119227" w14:textId="3BB86081" w:rsidR="00A12930" w:rsidRDefault="00A12930" w:rsidP="007A23E8">
      <w:pPr>
        <w:spacing w:after="120"/>
      </w:pPr>
      <w:r>
        <w:t>On 31 May 2018, President Trump signed further proclamations adjusting the tariffs</w:t>
      </w:r>
      <w:r>
        <w:rPr>
          <w:rStyle w:val="FootnoteReference"/>
        </w:rPr>
        <w:footnoteReference w:id="8"/>
      </w:r>
      <w:r>
        <w:t xml:space="preserve">. </w:t>
      </w:r>
      <w:r w:rsidR="007A23E8">
        <w:t>As a result, the tariffs apply to imports from all countries except</w:t>
      </w:r>
      <w:r w:rsidR="00B47907">
        <w:t xml:space="preserve"> as follows</w:t>
      </w:r>
      <w:r w:rsidR="007A23E8">
        <w:t>:</w:t>
      </w:r>
    </w:p>
    <w:p w14:paraId="41087848" w14:textId="7DDEF4BA" w:rsidR="007A23E8" w:rsidRDefault="007A23E8" w:rsidP="007A23E8">
      <w:pPr>
        <w:pStyle w:val="ListParagraph"/>
        <w:numPr>
          <w:ilvl w:val="0"/>
          <w:numId w:val="49"/>
        </w:numPr>
        <w:spacing w:after="120"/>
        <w:ind w:left="714" w:hanging="357"/>
        <w:contextualSpacing w:val="0"/>
      </w:pPr>
      <w:r>
        <w:t xml:space="preserve">Australia, Argentina, </w:t>
      </w:r>
      <w:r w:rsidR="00B47907">
        <w:t xml:space="preserve">South </w:t>
      </w:r>
      <w:r>
        <w:t>Korea and Brazil in relation to steel. Argentina,</w:t>
      </w:r>
      <w:r w:rsidR="00B47907">
        <w:t xml:space="preserve"> South</w:t>
      </w:r>
      <w:r>
        <w:t xml:space="preserve"> Korea and Brazil are subject to quota arrangements.</w:t>
      </w:r>
    </w:p>
    <w:p w14:paraId="7ACCD9B8" w14:textId="4B1EA43A" w:rsidR="007A23E8" w:rsidRDefault="007A23E8" w:rsidP="007A23E8">
      <w:pPr>
        <w:pStyle w:val="ListParagraph"/>
        <w:numPr>
          <w:ilvl w:val="0"/>
          <w:numId w:val="49"/>
        </w:numPr>
      </w:pPr>
      <w:r>
        <w:t>Australia and Argentina in relation to aluminium. Argentina is subject to a quota arrangement.</w:t>
      </w:r>
    </w:p>
    <w:p w14:paraId="437CAB45" w14:textId="77777777" w:rsidR="006A6683" w:rsidRDefault="006A6683" w:rsidP="00661C06">
      <w:pPr>
        <w:pStyle w:val="Heading2"/>
      </w:pPr>
      <w:bookmarkStart w:id="20" w:name="_Toc517257515"/>
      <w:bookmarkStart w:id="21" w:name="_Toc520359259"/>
      <w:r>
        <w:t>Tariff coverage</w:t>
      </w:r>
      <w:bookmarkEnd w:id="20"/>
      <w:bookmarkEnd w:id="21"/>
    </w:p>
    <w:p w14:paraId="271C885D" w14:textId="20C34498" w:rsidR="000A148D" w:rsidRDefault="005A16A7" w:rsidP="000A148D">
      <w:r>
        <w:t>The tariffs on steel and aluminium cover an extensive range of goods</w:t>
      </w:r>
      <w:r w:rsidR="000A148D">
        <w:t xml:space="preserve">. </w:t>
      </w:r>
    </w:p>
    <w:p w14:paraId="23ABF782" w14:textId="0CA83260" w:rsidR="00AA2714" w:rsidRPr="000A148D" w:rsidRDefault="00AA2714" w:rsidP="000A148D">
      <w:r w:rsidRPr="00AA2714">
        <w:rPr>
          <w:lang w:val="en-US"/>
        </w:rPr>
        <w:t xml:space="preserve">For the purposes of the proclamations, </w:t>
      </w:r>
      <w:r>
        <w:rPr>
          <w:lang w:val="en-US"/>
        </w:rPr>
        <w:t>‘</w:t>
      </w:r>
      <w:r w:rsidRPr="00AA2714">
        <w:rPr>
          <w:lang w:val="en-US"/>
        </w:rPr>
        <w:t>steel articles</w:t>
      </w:r>
      <w:r>
        <w:rPr>
          <w:lang w:val="en-US"/>
        </w:rPr>
        <w:t>’</w:t>
      </w:r>
      <w:r w:rsidRPr="00AA2714">
        <w:rPr>
          <w:lang w:val="en-US"/>
        </w:rPr>
        <w:t xml:space="preserve"> are defined at the Harmonized Tariff Schedule (HTS) 6</w:t>
      </w:r>
      <w:r w:rsidRPr="00AA2714">
        <w:rPr>
          <w:lang w:val="en-US"/>
        </w:rPr>
        <w:noBreakHyphen/>
        <w:t>digit level as: 7206.10 through 7216.50, 7216.99 through 7301.10, 7302.10, 7302.40 through 7302.90, and 7304.11</w:t>
      </w:r>
      <w:r w:rsidRPr="00AA2714">
        <w:rPr>
          <w:rStyle w:val="FootnoteReference"/>
          <w:lang w:val="en-US"/>
        </w:rPr>
        <w:footnoteReference w:id="9"/>
      </w:r>
      <w:r w:rsidRPr="00AA2714">
        <w:rPr>
          <w:sz w:val="16"/>
          <w:lang w:val="en-US"/>
        </w:rPr>
        <w:t xml:space="preserve"> </w:t>
      </w:r>
      <w:r w:rsidRPr="00AA2714">
        <w:rPr>
          <w:lang w:val="en-US"/>
        </w:rPr>
        <w:t>through 7306.90, including any subsequent revisions to these HTS classifications.</w:t>
      </w:r>
    </w:p>
    <w:p w14:paraId="0F89C2D8" w14:textId="77777777" w:rsidR="00025B4D" w:rsidRDefault="00025B4D" w:rsidP="00AA2714">
      <w:pPr>
        <w:pStyle w:val="BodyText"/>
        <w:spacing w:after="0"/>
        <w:rPr>
          <w:lang w:val="en-US"/>
        </w:rPr>
      </w:pPr>
    </w:p>
    <w:p w14:paraId="45C964BE" w14:textId="49E84334" w:rsidR="00AA2714" w:rsidRDefault="00A20ED0" w:rsidP="00AA2714">
      <w:pPr>
        <w:pStyle w:val="BodyText"/>
        <w:spacing w:after="0"/>
        <w:rPr>
          <w:lang w:val="en-US"/>
        </w:rPr>
      </w:pPr>
      <w:r>
        <w:rPr>
          <w:lang w:val="en-US"/>
        </w:rPr>
        <w:lastRenderedPageBreak/>
        <w:t>‘</w:t>
      </w:r>
      <w:r w:rsidR="00AA2714">
        <w:rPr>
          <w:lang w:val="en-US"/>
        </w:rPr>
        <w:t>Aluminum articles</w:t>
      </w:r>
      <w:r>
        <w:rPr>
          <w:lang w:val="en-US"/>
        </w:rPr>
        <w:t>’</w:t>
      </w:r>
      <w:r w:rsidR="00AA2714">
        <w:rPr>
          <w:lang w:val="en-US"/>
        </w:rPr>
        <w:t xml:space="preserve"> are defined in the HTS as: </w:t>
      </w:r>
    </w:p>
    <w:p w14:paraId="1FBC72AF" w14:textId="77777777" w:rsidR="00025B4D" w:rsidRDefault="00025B4D" w:rsidP="00AA2714">
      <w:pPr>
        <w:pStyle w:val="BodyText"/>
        <w:spacing w:after="0"/>
        <w:rPr>
          <w:lang w:val="en-US"/>
        </w:rPr>
      </w:pPr>
    </w:p>
    <w:p w14:paraId="5E9B56CA" w14:textId="77777777" w:rsidR="00AA2714" w:rsidRPr="00AA2714" w:rsidRDefault="00AA2714" w:rsidP="00AA2714">
      <w:pPr>
        <w:pStyle w:val="BodyText"/>
        <w:numPr>
          <w:ilvl w:val="0"/>
          <w:numId w:val="20"/>
        </w:numPr>
        <w:spacing w:after="0"/>
        <w:rPr>
          <w:szCs w:val="24"/>
          <w:lang w:val="en-US"/>
        </w:rPr>
      </w:pPr>
      <w:r>
        <w:rPr>
          <w:lang w:val="en-US"/>
        </w:rPr>
        <w:t xml:space="preserve">unwrought aluminum (HTS 7601); </w:t>
      </w:r>
    </w:p>
    <w:p w14:paraId="43FA3986" w14:textId="77777777" w:rsidR="00AA2714" w:rsidRPr="00AA2714" w:rsidRDefault="00AA2714" w:rsidP="00AA2714">
      <w:pPr>
        <w:pStyle w:val="BodyText"/>
        <w:numPr>
          <w:ilvl w:val="0"/>
          <w:numId w:val="20"/>
        </w:numPr>
        <w:spacing w:after="0"/>
        <w:rPr>
          <w:szCs w:val="24"/>
          <w:lang w:val="en-US"/>
        </w:rPr>
      </w:pPr>
      <w:r>
        <w:rPr>
          <w:lang w:val="en-US"/>
        </w:rPr>
        <w:t>aluminum bars, rods, and profiles (HTS 7604)</w:t>
      </w:r>
    </w:p>
    <w:p w14:paraId="6A334A83" w14:textId="77777777" w:rsidR="00AA2714" w:rsidRPr="00AA2714" w:rsidRDefault="00AA2714" w:rsidP="00AA2714">
      <w:pPr>
        <w:pStyle w:val="BodyText"/>
        <w:numPr>
          <w:ilvl w:val="0"/>
          <w:numId w:val="20"/>
        </w:numPr>
        <w:spacing w:after="0"/>
        <w:rPr>
          <w:szCs w:val="24"/>
          <w:lang w:val="en-US"/>
        </w:rPr>
      </w:pPr>
      <w:r>
        <w:rPr>
          <w:lang w:val="en-US"/>
        </w:rPr>
        <w:t>aluminum wire (HTS 7605);</w:t>
      </w:r>
    </w:p>
    <w:p w14:paraId="3F9FC4C9" w14:textId="77777777" w:rsidR="00AA2714" w:rsidRPr="00AA2714" w:rsidRDefault="00AA2714" w:rsidP="00AA2714">
      <w:pPr>
        <w:pStyle w:val="BodyText"/>
        <w:numPr>
          <w:ilvl w:val="0"/>
          <w:numId w:val="20"/>
        </w:numPr>
        <w:spacing w:after="0"/>
        <w:rPr>
          <w:szCs w:val="24"/>
          <w:lang w:val="en-US"/>
        </w:rPr>
      </w:pPr>
      <w:r>
        <w:rPr>
          <w:lang w:val="en-US"/>
        </w:rPr>
        <w:t xml:space="preserve">aluminum plate, sheet, strip, and foil (flat rolled products) (HTS 7606 and 7607); </w:t>
      </w:r>
    </w:p>
    <w:p w14:paraId="26C9F093" w14:textId="24B50B1E" w:rsidR="00AA2714" w:rsidRPr="00AA2714" w:rsidRDefault="00AA2714" w:rsidP="00AA2714">
      <w:pPr>
        <w:pStyle w:val="BodyText"/>
        <w:numPr>
          <w:ilvl w:val="0"/>
          <w:numId w:val="20"/>
        </w:numPr>
        <w:spacing w:after="0"/>
        <w:rPr>
          <w:szCs w:val="24"/>
          <w:lang w:val="en-US"/>
        </w:rPr>
      </w:pPr>
      <w:r>
        <w:rPr>
          <w:lang w:val="en-US"/>
        </w:rPr>
        <w:t xml:space="preserve">aluminum tubes and pipes and tube and pipe fitting (HTS 7608 and 7609); </w:t>
      </w:r>
    </w:p>
    <w:p w14:paraId="46F48E57" w14:textId="66464A8E" w:rsidR="00AA2714" w:rsidRPr="00383086" w:rsidRDefault="00AA2714" w:rsidP="00B24467">
      <w:pPr>
        <w:pStyle w:val="BodyText"/>
        <w:numPr>
          <w:ilvl w:val="0"/>
          <w:numId w:val="20"/>
        </w:numPr>
        <w:spacing w:after="0"/>
        <w:rPr>
          <w:szCs w:val="24"/>
          <w:lang w:val="en-US"/>
        </w:rPr>
      </w:pPr>
      <w:r w:rsidRPr="00AA2714">
        <w:rPr>
          <w:lang w:val="en-US"/>
        </w:rPr>
        <w:t>aluminum castings and forgings (HTS 7616.99.51.60 and 7616.99.51.70),</w:t>
      </w:r>
      <w:r>
        <w:rPr>
          <w:szCs w:val="24"/>
          <w:lang w:val="en-US"/>
        </w:rPr>
        <w:t xml:space="preserve"> </w:t>
      </w:r>
      <w:r w:rsidRPr="00AA2714">
        <w:rPr>
          <w:lang w:val="en-US"/>
        </w:rPr>
        <w:t>including any subsequent revisions to these HTS classifications.</w:t>
      </w:r>
    </w:p>
    <w:p w14:paraId="11CF5B09" w14:textId="64E995F3" w:rsidR="00C4597D" w:rsidRDefault="00C4597D" w:rsidP="00A748B1">
      <w:pPr>
        <w:pStyle w:val="BodyText"/>
        <w:spacing w:after="0"/>
        <w:rPr>
          <w:szCs w:val="24"/>
          <w:lang w:val="en-US"/>
        </w:rPr>
      </w:pPr>
    </w:p>
    <w:p w14:paraId="10493E59" w14:textId="489A17CF" w:rsidR="00C4597D" w:rsidRPr="00AA2714" w:rsidRDefault="00AB1CC1" w:rsidP="00A748B1">
      <w:pPr>
        <w:pStyle w:val="BodyText"/>
        <w:spacing w:after="0"/>
        <w:rPr>
          <w:szCs w:val="24"/>
          <w:lang w:val="en-US"/>
        </w:rPr>
      </w:pPr>
      <w:r>
        <w:rPr>
          <w:szCs w:val="24"/>
          <w:lang w:val="en-US"/>
        </w:rPr>
        <w:t xml:space="preserve">Cadence estimates that this covers 57 per cent of steel imports and 84 per cent of aluminium imports in the United States  </w:t>
      </w:r>
    </w:p>
    <w:p w14:paraId="132DE529" w14:textId="284CC053" w:rsidR="00004B4B" w:rsidRPr="00C3180D" w:rsidRDefault="00C13ADC" w:rsidP="00004B4B">
      <w:pPr>
        <w:pStyle w:val="Heading1"/>
        <w:shd w:val="clear" w:color="auto" w:fill="E0E0E0"/>
        <w:tabs>
          <w:tab w:val="num" w:pos="540"/>
        </w:tabs>
        <w:ind w:left="540" w:hanging="540"/>
        <w:jc w:val="left"/>
      </w:pPr>
      <w:bookmarkStart w:id="22" w:name="_Toc512499141"/>
      <w:bookmarkStart w:id="23" w:name="_Toc512499142"/>
      <w:bookmarkStart w:id="24" w:name="_Toc512499143"/>
      <w:bookmarkStart w:id="25" w:name="_Toc512499144"/>
      <w:bookmarkStart w:id="26" w:name="_Toc512499145"/>
      <w:bookmarkStart w:id="27" w:name="_Toc512499187"/>
      <w:bookmarkStart w:id="28" w:name="_Toc512499188"/>
      <w:bookmarkStart w:id="29" w:name="_Toc512499189"/>
      <w:bookmarkStart w:id="30" w:name="_Toc512499190"/>
      <w:bookmarkStart w:id="31" w:name="_Toc512499191"/>
      <w:bookmarkStart w:id="32" w:name="_Toc512499192"/>
      <w:bookmarkStart w:id="33" w:name="_Toc512499193"/>
      <w:bookmarkStart w:id="34" w:name="_Toc512499194"/>
      <w:bookmarkStart w:id="35" w:name="_Toc512499195"/>
      <w:bookmarkStart w:id="36" w:name="_Toc512499196"/>
      <w:bookmarkStart w:id="37" w:name="_Toc512499197"/>
      <w:bookmarkStart w:id="38" w:name="_Toc512499233"/>
      <w:bookmarkStart w:id="39" w:name="_Toc512499234"/>
      <w:bookmarkStart w:id="40" w:name="_Toc517257516"/>
      <w:bookmarkStart w:id="41" w:name="_Toc520359260"/>
      <w:bookmarkStart w:id="42" w:name="_Toc178482977"/>
      <w:bookmarkStart w:id="43" w:name="_Toc178483454"/>
      <w:bookmarkStart w:id="44" w:name="_Toc178483549"/>
      <w:bookmarkStart w:id="45" w:name="_Toc178581395"/>
      <w:bookmarkStart w:id="46" w:name="_Toc231200609"/>
      <w:bookmarkStart w:id="47" w:name="_Toc23187376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lastRenderedPageBreak/>
        <w:t xml:space="preserve">GLOBAL </w:t>
      </w:r>
      <w:r w:rsidR="008F6F06">
        <w:t>STEEL AND ALUMINIUM INDUSTRIES</w:t>
      </w:r>
      <w:bookmarkEnd w:id="40"/>
      <w:bookmarkEnd w:id="41"/>
    </w:p>
    <w:bookmarkEnd w:id="42"/>
    <w:bookmarkEnd w:id="43"/>
    <w:bookmarkEnd w:id="44"/>
    <w:bookmarkEnd w:id="45"/>
    <w:bookmarkEnd w:id="46"/>
    <w:p w14:paraId="057C62A8" w14:textId="1A5BD66D" w:rsidR="00C46DE4" w:rsidRDefault="00C13ADC" w:rsidP="00C46DE4">
      <w:pPr>
        <w:spacing w:after="0"/>
        <w:rPr>
          <w:color w:val="000000"/>
          <w:szCs w:val="22"/>
        </w:rPr>
      </w:pPr>
      <w:r>
        <w:rPr>
          <w:szCs w:val="22"/>
        </w:rPr>
        <w:t xml:space="preserve">One of the most important issues </w:t>
      </w:r>
      <w:r w:rsidR="00CA407C">
        <w:rPr>
          <w:szCs w:val="22"/>
        </w:rPr>
        <w:t>facing</w:t>
      </w:r>
      <w:r>
        <w:rPr>
          <w:szCs w:val="22"/>
        </w:rPr>
        <w:t xml:space="preserve"> the global steel and aluminium industries is continued overcapacity</w:t>
      </w:r>
      <w:r w:rsidR="00CA407C">
        <w:rPr>
          <w:szCs w:val="22"/>
        </w:rPr>
        <w:t>, the impacts of which a</w:t>
      </w:r>
      <w:r w:rsidR="00C46DE4">
        <w:rPr>
          <w:color w:val="000000"/>
          <w:szCs w:val="22"/>
        </w:rPr>
        <w:t>r</w:t>
      </w:r>
      <w:r w:rsidR="00CA407C">
        <w:rPr>
          <w:color w:val="000000"/>
          <w:szCs w:val="22"/>
        </w:rPr>
        <w:t>e</w:t>
      </w:r>
      <w:r w:rsidR="00C46DE4">
        <w:rPr>
          <w:color w:val="000000"/>
          <w:szCs w:val="22"/>
        </w:rPr>
        <w:t xml:space="preserve"> </w:t>
      </w:r>
      <w:r w:rsidR="00B57884">
        <w:rPr>
          <w:color w:val="000000"/>
          <w:szCs w:val="22"/>
        </w:rPr>
        <w:t>far-</w:t>
      </w:r>
      <w:r w:rsidR="00C46DE4">
        <w:rPr>
          <w:color w:val="000000"/>
          <w:szCs w:val="22"/>
        </w:rPr>
        <w:t xml:space="preserve">reaching. </w:t>
      </w:r>
      <w:r w:rsidR="00AB1CC1">
        <w:rPr>
          <w:color w:val="000000"/>
          <w:szCs w:val="22"/>
        </w:rPr>
        <w:t xml:space="preserve">Sustained global excess capacity and steel market distortions have adverse social and economic impacts. In response, </w:t>
      </w:r>
      <w:r w:rsidR="00C46DE4" w:rsidRPr="008F5A80">
        <w:rPr>
          <w:color w:val="000000"/>
          <w:szCs w:val="22"/>
        </w:rPr>
        <w:t>the OECD and the G20 nations have advocated for government actions to address market distortions that underpin sustained global excess capacity.</w:t>
      </w:r>
      <w:r w:rsidR="00C46DE4">
        <w:rPr>
          <w:rStyle w:val="FootnoteReference"/>
          <w:color w:val="000000"/>
          <w:szCs w:val="22"/>
        </w:rPr>
        <w:footnoteReference w:id="10"/>
      </w:r>
    </w:p>
    <w:p w14:paraId="100CA845" w14:textId="77777777" w:rsidR="00C46DE4" w:rsidRDefault="00C46DE4" w:rsidP="00C13ADC">
      <w:pPr>
        <w:spacing w:after="0"/>
        <w:rPr>
          <w:szCs w:val="22"/>
        </w:rPr>
      </w:pPr>
    </w:p>
    <w:p w14:paraId="458FC055" w14:textId="0EC285C2" w:rsidR="00C46DE4" w:rsidRDefault="00C46DE4" w:rsidP="00C46DE4">
      <w:pPr>
        <w:spacing w:after="0"/>
        <w:rPr>
          <w:color w:val="000000"/>
          <w:szCs w:val="22"/>
        </w:rPr>
      </w:pPr>
      <w:r w:rsidRPr="008F5A80">
        <w:rPr>
          <w:color w:val="000000"/>
          <w:szCs w:val="22"/>
        </w:rPr>
        <w:t xml:space="preserve">The OECD has </w:t>
      </w:r>
      <w:r>
        <w:rPr>
          <w:color w:val="000000"/>
          <w:szCs w:val="22"/>
        </w:rPr>
        <w:t xml:space="preserve">previously </w:t>
      </w:r>
      <w:r w:rsidRPr="008F5A80">
        <w:rPr>
          <w:color w:val="000000"/>
          <w:szCs w:val="22"/>
        </w:rPr>
        <w:t>highlighted that ‘excess capacity in one region can displace production in other regions</w:t>
      </w:r>
      <w:r>
        <w:rPr>
          <w:color w:val="000000"/>
          <w:szCs w:val="22"/>
        </w:rPr>
        <w:t>’.</w:t>
      </w:r>
      <w:r>
        <w:rPr>
          <w:rStyle w:val="FootnoteReference"/>
          <w:color w:val="000000"/>
          <w:szCs w:val="22"/>
        </w:rPr>
        <w:footnoteReference w:id="11"/>
      </w:r>
      <w:r>
        <w:rPr>
          <w:color w:val="000000"/>
          <w:szCs w:val="22"/>
        </w:rPr>
        <w:t xml:space="preserve"> One way excess capacity may be displaced onto the world market is through unfair trade practices such as dumping. </w:t>
      </w:r>
    </w:p>
    <w:p w14:paraId="18C92E43" w14:textId="77777777" w:rsidR="00CA407C" w:rsidRDefault="00CA407C" w:rsidP="00C46DE4">
      <w:pPr>
        <w:spacing w:after="0"/>
        <w:rPr>
          <w:color w:val="000000"/>
          <w:szCs w:val="22"/>
        </w:rPr>
      </w:pPr>
    </w:p>
    <w:p w14:paraId="2F71FC2B" w14:textId="77777777" w:rsidR="00CA407C" w:rsidRPr="006A7745" w:rsidRDefault="00CA407C" w:rsidP="00CA407C">
      <w:pPr>
        <w:rPr>
          <w:lang w:eastAsia="en-US"/>
        </w:rPr>
      </w:pPr>
      <w:r w:rsidRPr="00212FB1">
        <w:rPr>
          <w:lang w:eastAsia="en-US"/>
        </w:rPr>
        <w:t xml:space="preserve">In August </w:t>
      </w:r>
      <w:r>
        <w:rPr>
          <w:lang w:eastAsia="en-US"/>
        </w:rPr>
        <w:t>2016, the ADC completed an</w:t>
      </w:r>
      <w:r w:rsidRPr="00212FB1">
        <w:rPr>
          <w:lang w:eastAsia="en-US"/>
        </w:rPr>
        <w:t xml:space="preserve"> analysis of global and Australian markets for primary (crude) steel and aluminium products</w:t>
      </w:r>
      <w:r>
        <w:rPr>
          <w:rStyle w:val="FootnoteReference"/>
          <w:lang w:eastAsia="en-US"/>
        </w:rPr>
        <w:footnoteReference w:id="12"/>
      </w:r>
      <w:r>
        <w:rPr>
          <w:lang w:eastAsia="en-US"/>
        </w:rPr>
        <w:t xml:space="preserve"> and presented its report to</w:t>
      </w:r>
      <w:r w:rsidRPr="00212FB1">
        <w:rPr>
          <w:lang w:eastAsia="en-US"/>
        </w:rPr>
        <w:t xml:space="preserve"> </w:t>
      </w:r>
      <w:r>
        <w:rPr>
          <w:lang w:eastAsia="en-US"/>
        </w:rPr>
        <w:t>me</w:t>
      </w:r>
      <w:r w:rsidRPr="00212FB1">
        <w:rPr>
          <w:lang w:eastAsia="en-US"/>
        </w:rPr>
        <w:t>.</w:t>
      </w:r>
      <w:r>
        <w:rPr>
          <w:lang w:eastAsia="en-US"/>
        </w:rPr>
        <w:t xml:space="preserve"> I then </w:t>
      </w:r>
      <w:r w:rsidRPr="00212FB1">
        <w:rPr>
          <w:lang w:eastAsia="en-US"/>
        </w:rPr>
        <w:t>used the report in advising</w:t>
      </w:r>
      <w:r>
        <w:rPr>
          <w:lang w:eastAsia="en-US"/>
        </w:rPr>
        <w:t xml:space="preserve"> Ministers</w:t>
      </w:r>
      <w:r w:rsidRPr="00212FB1">
        <w:rPr>
          <w:lang w:eastAsia="en-US"/>
        </w:rPr>
        <w:t xml:space="preserve"> about the impact of global excess capacity and market distortions on the growth and viability of the Australian steel and aluminium sector, and implications for the effectiveness of Australia’s anti-dumping system.</w:t>
      </w:r>
    </w:p>
    <w:p w14:paraId="42E3C986" w14:textId="77777777" w:rsidR="00CA407C" w:rsidRDefault="00CA407C" w:rsidP="00CA407C">
      <w:pPr>
        <w:rPr>
          <w:lang w:eastAsia="en-US"/>
        </w:rPr>
      </w:pPr>
      <w:r w:rsidRPr="00212FB1">
        <w:rPr>
          <w:lang w:eastAsia="en-US"/>
        </w:rPr>
        <w:t xml:space="preserve">Building on its 2016 analysis of primary steel markets, </w:t>
      </w:r>
      <w:r>
        <w:rPr>
          <w:lang w:eastAsia="en-US"/>
        </w:rPr>
        <w:t xml:space="preserve">in 2017 </w:t>
      </w:r>
      <w:r w:rsidRPr="00212FB1">
        <w:rPr>
          <w:lang w:eastAsia="en-US"/>
        </w:rPr>
        <w:t xml:space="preserve">the </w:t>
      </w:r>
      <w:r>
        <w:rPr>
          <w:lang w:eastAsia="en-US"/>
        </w:rPr>
        <w:t>ADC</w:t>
      </w:r>
      <w:r w:rsidRPr="00212FB1">
        <w:rPr>
          <w:lang w:eastAsia="en-US"/>
        </w:rPr>
        <w:t xml:space="preserve"> prepared a report on Australia’s steel manufacturing and fabricating markets</w:t>
      </w:r>
      <w:r>
        <w:rPr>
          <w:rStyle w:val="FootnoteReference"/>
          <w:lang w:eastAsia="en-US"/>
        </w:rPr>
        <w:footnoteReference w:id="13"/>
      </w:r>
      <w:r>
        <w:rPr>
          <w:lang w:eastAsia="en-US"/>
        </w:rPr>
        <w:t xml:space="preserve">. </w:t>
      </w:r>
      <w:r w:rsidRPr="00212FB1">
        <w:rPr>
          <w:lang w:eastAsia="en-US"/>
        </w:rPr>
        <w:t xml:space="preserve">The purpose of </w:t>
      </w:r>
      <w:r>
        <w:rPr>
          <w:lang w:eastAsia="en-US"/>
        </w:rPr>
        <w:t xml:space="preserve">the </w:t>
      </w:r>
      <w:r w:rsidRPr="00212FB1">
        <w:rPr>
          <w:lang w:eastAsia="en-US"/>
        </w:rPr>
        <w:t xml:space="preserve">2017 </w:t>
      </w:r>
      <w:r>
        <w:rPr>
          <w:lang w:eastAsia="en-US"/>
        </w:rPr>
        <w:t>a</w:t>
      </w:r>
      <w:r w:rsidRPr="00212FB1">
        <w:rPr>
          <w:lang w:eastAsia="en-US"/>
        </w:rPr>
        <w:t xml:space="preserve">nalysis </w:t>
      </w:r>
      <w:r>
        <w:rPr>
          <w:lang w:eastAsia="en-US"/>
        </w:rPr>
        <w:t xml:space="preserve">of steel manufacturing and fabricating markets </w:t>
      </w:r>
      <w:r w:rsidRPr="00212FB1">
        <w:rPr>
          <w:lang w:eastAsia="en-US"/>
        </w:rPr>
        <w:t>is to increase understanding of the key characteristics of the industry, the factors driving demand for steel fabricated products, and the impacts of developments in global markets on the economic performance of the industry.</w:t>
      </w:r>
    </w:p>
    <w:p w14:paraId="37B6F398" w14:textId="77777777" w:rsidR="00CA407C" w:rsidRDefault="00CA407C" w:rsidP="00CA407C">
      <w:pPr>
        <w:spacing w:after="0"/>
        <w:rPr>
          <w:lang w:eastAsia="en-US"/>
        </w:rPr>
      </w:pPr>
      <w:r>
        <w:rPr>
          <w:lang w:eastAsia="en-US"/>
        </w:rPr>
        <w:t xml:space="preserve">The reports discussed a number of key issues facing the global steel and aluminium industries, including: </w:t>
      </w:r>
    </w:p>
    <w:p w14:paraId="00ABE6DD" w14:textId="77777777" w:rsidR="00CA407C" w:rsidRDefault="00CA407C" w:rsidP="00CA407C">
      <w:pPr>
        <w:pStyle w:val="ListParagraph"/>
        <w:numPr>
          <w:ilvl w:val="0"/>
          <w:numId w:val="27"/>
        </w:numPr>
        <w:spacing w:after="0"/>
        <w:rPr>
          <w:lang w:eastAsia="en-US"/>
        </w:rPr>
      </w:pPr>
      <w:r>
        <w:rPr>
          <w:lang w:eastAsia="en-US"/>
        </w:rPr>
        <w:t xml:space="preserve">the cyclical and capital-intensive nature of the industries </w:t>
      </w:r>
    </w:p>
    <w:p w14:paraId="5DC45B30" w14:textId="77777777" w:rsidR="00CA407C" w:rsidRPr="008E3DA9" w:rsidRDefault="00CA407C" w:rsidP="00CA407C">
      <w:pPr>
        <w:pStyle w:val="ListParagraph"/>
        <w:numPr>
          <w:ilvl w:val="0"/>
          <w:numId w:val="27"/>
        </w:numPr>
        <w:spacing w:after="0"/>
        <w:rPr>
          <w:color w:val="000000"/>
          <w:szCs w:val="22"/>
        </w:rPr>
      </w:pPr>
      <w:r>
        <w:t>t</w:t>
      </w:r>
      <w:r w:rsidRPr="008E3DA9">
        <w:rPr>
          <w:color w:val="000000"/>
          <w:szCs w:val="22"/>
        </w:rPr>
        <w:t xml:space="preserve">he challenges of excess capacity and government </w:t>
      </w:r>
      <w:r>
        <w:rPr>
          <w:color w:val="000000"/>
          <w:szCs w:val="22"/>
        </w:rPr>
        <w:t>intervention</w:t>
      </w:r>
    </w:p>
    <w:p w14:paraId="50EB3567" w14:textId="77777777" w:rsidR="00CA407C" w:rsidRPr="008E3DA9" w:rsidRDefault="00CA407C" w:rsidP="00CA407C">
      <w:pPr>
        <w:pStyle w:val="ListParagraph"/>
        <w:numPr>
          <w:ilvl w:val="0"/>
          <w:numId w:val="27"/>
        </w:numPr>
        <w:spacing w:after="0"/>
        <w:rPr>
          <w:szCs w:val="22"/>
        </w:rPr>
      </w:pPr>
      <w:r>
        <w:rPr>
          <w:szCs w:val="22"/>
        </w:rPr>
        <w:t>i</w:t>
      </w:r>
      <w:r w:rsidRPr="008E3DA9">
        <w:rPr>
          <w:szCs w:val="22"/>
        </w:rPr>
        <w:t>mpacts of the increasing use of trade remedies</w:t>
      </w:r>
      <w:r>
        <w:rPr>
          <w:szCs w:val="22"/>
        </w:rPr>
        <w:t>,</w:t>
      </w:r>
      <w:r w:rsidRPr="008E3DA9">
        <w:rPr>
          <w:szCs w:val="22"/>
        </w:rPr>
        <w:t xml:space="preserve"> in</w:t>
      </w:r>
      <w:r>
        <w:rPr>
          <w:szCs w:val="22"/>
        </w:rPr>
        <w:t xml:space="preserve">cluding production displacement. </w:t>
      </w:r>
    </w:p>
    <w:p w14:paraId="2A6F7397" w14:textId="77777777" w:rsidR="00C46DE4" w:rsidRDefault="00C46DE4" w:rsidP="00C13ADC">
      <w:pPr>
        <w:spacing w:after="0"/>
        <w:rPr>
          <w:szCs w:val="22"/>
        </w:rPr>
      </w:pPr>
    </w:p>
    <w:p w14:paraId="338EFBEE" w14:textId="2C28F040" w:rsidR="00CA407C" w:rsidRDefault="00CA407C" w:rsidP="00CA407C">
      <w:pPr>
        <w:spacing w:after="0"/>
        <w:rPr>
          <w:szCs w:val="22"/>
        </w:rPr>
      </w:pPr>
      <w:r>
        <w:rPr>
          <w:szCs w:val="22"/>
        </w:rPr>
        <w:t xml:space="preserve">While there have been some attempts to address the imbalance between production and demand and signs of improved performance of the global steel industry, questions </w:t>
      </w:r>
      <w:r>
        <w:rPr>
          <w:color w:val="000000"/>
          <w:szCs w:val="22"/>
        </w:rPr>
        <w:t>remain over how quickly this can be resolved</w:t>
      </w:r>
      <w:r>
        <w:rPr>
          <w:rStyle w:val="FootnoteReference"/>
          <w:color w:val="000000"/>
          <w:szCs w:val="22"/>
        </w:rPr>
        <w:footnoteReference w:id="14"/>
      </w:r>
      <w:r>
        <w:rPr>
          <w:color w:val="000000"/>
          <w:szCs w:val="22"/>
        </w:rPr>
        <w:t>.</w:t>
      </w:r>
      <w:r w:rsidRPr="00C13ADC">
        <w:rPr>
          <w:szCs w:val="22"/>
        </w:rPr>
        <w:t xml:space="preserve"> </w:t>
      </w:r>
    </w:p>
    <w:p w14:paraId="6F516DD3" w14:textId="77777777" w:rsidR="00B57884" w:rsidRDefault="00B57884" w:rsidP="00CA407C">
      <w:pPr>
        <w:spacing w:after="0"/>
        <w:rPr>
          <w:szCs w:val="22"/>
        </w:rPr>
      </w:pPr>
    </w:p>
    <w:p w14:paraId="07103178" w14:textId="2E07FE46" w:rsidR="00C46DE4" w:rsidRDefault="00C46DE4" w:rsidP="00C46DE4">
      <w:pPr>
        <w:autoSpaceDE w:val="0"/>
        <w:autoSpaceDN w:val="0"/>
        <w:adjustRightInd w:val="0"/>
        <w:spacing w:after="0"/>
        <w:rPr>
          <w:sz w:val="22"/>
          <w:szCs w:val="22"/>
        </w:rPr>
      </w:pPr>
      <w:r w:rsidRPr="00C40667">
        <w:rPr>
          <w:color w:val="000000"/>
          <w:szCs w:val="22"/>
        </w:rPr>
        <w:lastRenderedPageBreak/>
        <w:t>Since the 2009 global financial crisis, total trade remedy investigations and measures in force for steel, and to a lesser extent aluminium, products have been rising globally. The majority of investigations and measures have been in respect of Chinese exports. Consistent with global trends, trade-exposed Australian steel and aluminium producers have increasingly sought trade remedies under Australia’s anti-dumping system</w:t>
      </w:r>
      <w:r w:rsidR="005C616E">
        <w:rPr>
          <w:sz w:val="22"/>
          <w:szCs w:val="22"/>
        </w:rPr>
        <w:t xml:space="preserve">, </w:t>
      </w:r>
      <w:r w:rsidR="005C616E" w:rsidRPr="005C616E">
        <w:rPr>
          <w:color w:val="000000"/>
          <w:szCs w:val="22"/>
        </w:rPr>
        <w:t>particularly in relation to primary products.</w:t>
      </w:r>
    </w:p>
    <w:p w14:paraId="62DD17F7" w14:textId="1AB3BBBE" w:rsidR="00C46DE4" w:rsidRDefault="00C46DE4" w:rsidP="00C46DE4">
      <w:pPr>
        <w:spacing w:after="0"/>
        <w:rPr>
          <w:color w:val="000000"/>
          <w:szCs w:val="22"/>
        </w:rPr>
      </w:pPr>
    </w:p>
    <w:p w14:paraId="4130AD93" w14:textId="03B295DB" w:rsidR="00C46DE4" w:rsidRPr="00CA407C" w:rsidRDefault="00B47907" w:rsidP="00C46DE4">
      <w:pPr>
        <w:spacing w:after="0"/>
      </w:pPr>
      <w:r>
        <w:rPr>
          <w:szCs w:val="22"/>
        </w:rPr>
        <w:t>The increasing use</w:t>
      </w:r>
      <w:r w:rsidR="00C46DE4">
        <w:rPr>
          <w:szCs w:val="22"/>
        </w:rPr>
        <w:t xml:space="preserve"> of trade remedies</w:t>
      </w:r>
      <w:r w:rsidR="00C46DE4">
        <w:rPr>
          <w:rStyle w:val="FootnoteReference"/>
          <w:szCs w:val="22"/>
        </w:rPr>
        <w:footnoteReference w:id="15"/>
      </w:r>
      <w:r w:rsidR="00C46DE4">
        <w:rPr>
          <w:szCs w:val="22"/>
        </w:rPr>
        <w:t xml:space="preserve"> or other actions such as the tariffs imposed by the United States and further retaliatory action, have</w:t>
      </w:r>
      <w:r w:rsidR="00C46DE4" w:rsidRPr="00D810A5">
        <w:rPr>
          <w:szCs w:val="22"/>
        </w:rPr>
        <w:t xml:space="preserve"> the potential to further displace production</w:t>
      </w:r>
      <w:r w:rsidR="00C46DE4">
        <w:rPr>
          <w:szCs w:val="22"/>
        </w:rPr>
        <w:t xml:space="preserve"> with a potential redirection of </w:t>
      </w:r>
      <w:r w:rsidR="00C46DE4">
        <w:t>steel and aluminium trade flows</w:t>
      </w:r>
      <w:r w:rsidR="00AB1CC1">
        <w:t>, including to Australia.</w:t>
      </w:r>
      <w:r w:rsidR="00C46DE4">
        <w:t xml:space="preserve"> </w:t>
      </w:r>
      <w:r w:rsidR="00CA407C">
        <w:t xml:space="preserve"> </w:t>
      </w:r>
      <w:r w:rsidR="00AB1CC1">
        <w:t xml:space="preserve">A portion of any displaced product may arrive at dumped or subsidised prices. </w:t>
      </w:r>
      <w:r w:rsidR="00C46DE4">
        <w:rPr>
          <w:szCs w:val="22"/>
        </w:rPr>
        <w:t>Therefore I am committed to ensuring that Australia’s trade remedies system is effective and efficient so that Australian industries can compete with imports on a level playing field.</w:t>
      </w:r>
      <w:r w:rsidR="00234A8E" w:rsidDel="00234A8E">
        <w:rPr>
          <w:rStyle w:val="FootnoteReference"/>
          <w:szCs w:val="22"/>
        </w:rPr>
        <w:t xml:space="preserve"> </w:t>
      </w:r>
    </w:p>
    <w:p w14:paraId="037FBBBE" w14:textId="77777777" w:rsidR="00C46DE4" w:rsidRPr="00C40667" w:rsidRDefault="00C46DE4" w:rsidP="00C46DE4">
      <w:pPr>
        <w:autoSpaceDE w:val="0"/>
        <w:autoSpaceDN w:val="0"/>
        <w:adjustRightInd w:val="0"/>
        <w:spacing w:after="79"/>
        <w:rPr>
          <w:color w:val="000000"/>
          <w:szCs w:val="22"/>
        </w:rPr>
      </w:pPr>
    </w:p>
    <w:p w14:paraId="56522B9C" w14:textId="77777777" w:rsidR="00C46DE4" w:rsidRDefault="00C46DE4" w:rsidP="00C46DE4">
      <w:pPr>
        <w:spacing w:after="0"/>
        <w:rPr>
          <w:color w:val="000000"/>
          <w:szCs w:val="22"/>
        </w:rPr>
      </w:pPr>
    </w:p>
    <w:p w14:paraId="295FD35E" w14:textId="77777777" w:rsidR="00C46DE4" w:rsidRDefault="00C46DE4" w:rsidP="00C46DE4">
      <w:pPr>
        <w:spacing w:after="0"/>
        <w:rPr>
          <w:color w:val="000000"/>
          <w:szCs w:val="22"/>
        </w:rPr>
      </w:pPr>
    </w:p>
    <w:p w14:paraId="5C3C92DD" w14:textId="77777777" w:rsidR="00C46DE4" w:rsidRDefault="00C46DE4" w:rsidP="00C46DE4">
      <w:pPr>
        <w:spacing w:after="0"/>
        <w:rPr>
          <w:color w:val="000000"/>
          <w:szCs w:val="22"/>
        </w:rPr>
      </w:pPr>
    </w:p>
    <w:p w14:paraId="1ADB20B3" w14:textId="77777777" w:rsidR="00C46DE4" w:rsidRDefault="00C46DE4" w:rsidP="00C46DE4">
      <w:pPr>
        <w:spacing w:after="0"/>
        <w:rPr>
          <w:color w:val="000000"/>
          <w:szCs w:val="22"/>
        </w:rPr>
      </w:pPr>
    </w:p>
    <w:p w14:paraId="63822288" w14:textId="77777777" w:rsidR="00C46DE4" w:rsidRDefault="00C46DE4" w:rsidP="00C46DE4">
      <w:pPr>
        <w:autoSpaceDE w:val="0"/>
        <w:autoSpaceDN w:val="0"/>
        <w:adjustRightInd w:val="0"/>
        <w:spacing w:after="0"/>
        <w:rPr>
          <w:sz w:val="22"/>
          <w:szCs w:val="22"/>
        </w:rPr>
      </w:pPr>
    </w:p>
    <w:p w14:paraId="12739B64" w14:textId="77777777" w:rsidR="00C46DE4" w:rsidRPr="00536D12" w:rsidRDefault="00C46DE4" w:rsidP="00C46DE4">
      <w:pPr>
        <w:autoSpaceDE w:val="0"/>
        <w:autoSpaceDN w:val="0"/>
        <w:adjustRightInd w:val="0"/>
        <w:spacing w:after="0"/>
        <w:rPr>
          <w:color w:val="373737"/>
          <w:sz w:val="20"/>
          <w:szCs w:val="20"/>
        </w:rPr>
      </w:pPr>
    </w:p>
    <w:p w14:paraId="69640996" w14:textId="08526315" w:rsidR="00C13ADC" w:rsidRPr="00024C9E" w:rsidRDefault="00C13ADC" w:rsidP="00C13ADC">
      <w:pPr>
        <w:spacing w:after="0"/>
        <w:rPr>
          <w:szCs w:val="22"/>
        </w:rPr>
      </w:pPr>
    </w:p>
    <w:p w14:paraId="54E4A1DC" w14:textId="624EB429" w:rsidR="008E3DA9" w:rsidRDefault="008E3DA9" w:rsidP="00AC3DA5">
      <w:pPr>
        <w:spacing w:after="0"/>
        <w:rPr>
          <w:szCs w:val="22"/>
        </w:rPr>
      </w:pPr>
      <w:bookmarkStart w:id="48" w:name="_Toc255998133"/>
      <w:bookmarkStart w:id="49" w:name="_Toc255998135"/>
      <w:bookmarkStart w:id="50" w:name="_Toc255998136"/>
      <w:bookmarkStart w:id="51" w:name="_Toc255998138"/>
      <w:bookmarkStart w:id="52" w:name="_Toc255998139"/>
      <w:bookmarkStart w:id="53" w:name="_Toc139879378"/>
      <w:bookmarkEnd w:id="48"/>
      <w:bookmarkEnd w:id="49"/>
      <w:bookmarkEnd w:id="50"/>
      <w:bookmarkEnd w:id="51"/>
      <w:bookmarkEnd w:id="52"/>
    </w:p>
    <w:p w14:paraId="31997F5C" w14:textId="43A90CF8" w:rsidR="00536D12" w:rsidRDefault="00536D12" w:rsidP="00AC3DA5">
      <w:pPr>
        <w:spacing w:after="0"/>
        <w:rPr>
          <w:szCs w:val="22"/>
        </w:rPr>
      </w:pPr>
    </w:p>
    <w:p w14:paraId="66A177D8" w14:textId="18BB0833" w:rsidR="00024C9E" w:rsidRDefault="00024C9E" w:rsidP="004E11CE">
      <w:pPr>
        <w:spacing w:after="0"/>
        <w:rPr>
          <w:szCs w:val="22"/>
        </w:rPr>
      </w:pPr>
    </w:p>
    <w:p w14:paraId="1763BE85" w14:textId="2E5EB4C2" w:rsidR="00B95D94" w:rsidRDefault="00B95D94" w:rsidP="004E11CE">
      <w:pPr>
        <w:spacing w:after="0"/>
        <w:rPr>
          <w:szCs w:val="22"/>
        </w:rPr>
      </w:pPr>
    </w:p>
    <w:p w14:paraId="7A040F42" w14:textId="77777777" w:rsidR="000F0AF3" w:rsidRDefault="000F0AF3" w:rsidP="004E11CE">
      <w:pPr>
        <w:spacing w:after="0"/>
        <w:rPr>
          <w:color w:val="000000"/>
          <w:szCs w:val="22"/>
        </w:rPr>
      </w:pPr>
    </w:p>
    <w:p w14:paraId="224F4BAC" w14:textId="4BC6761A" w:rsidR="00004B4B" w:rsidRPr="00C3180D" w:rsidRDefault="002C511D" w:rsidP="00004B4B">
      <w:pPr>
        <w:pStyle w:val="Heading1"/>
        <w:shd w:val="clear" w:color="auto" w:fill="E0E0E0"/>
        <w:tabs>
          <w:tab w:val="num" w:pos="540"/>
        </w:tabs>
        <w:ind w:left="540" w:hanging="540"/>
        <w:jc w:val="left"/>
      </w:pPr>
      <w:bookmarkStart w:id="54" w:name="_Toc517257517"/>
      <w:bookmarkStart w:id="55" w:name="_Toc520359261"/>
      <w:bookmarkEnd w:id="47"/>
      <w:bookmarkEnd w:id="53"/>
      <w:r>
        <w:lastRenderedPageBreak/>
        <w:t>CONSULTANT’S ADVICE – TRADE FLOWS AND IMPACTS</w:t>
      </w:r>
      <w:bookmarkEnd w:id="54"/>
      <w:bookmarkEnd w:id="55"/>
    </w:p>
    <w:p w14:paraId="359D34A1" w14:textId="77777777" w:rsidR="007005E0" w:rsidRPr="00661C06" w:rsidRDefault="007005E0" w:rsidP="00661C06">
      <w:pPr>
        <w:pStyle w:val="Heading2"/>
      </w:pPr>
      <w:bookmarkStart w:id="56" w:name="_Toc517257518"/>
      <w:bookmarkStart w:id="57" w:name="_Toc520359262"/>
      <w:bookmarkStart w:id="58" w:name="_Toc227736583"/>
      <w:r w:rsidRPr="00661C06">
        <w:t>Background</w:t>
      </w:r>
      <w:bookmarkEnd w:id="56"/>
      <w:bookmarkEnd w:id="57"/>
    </w:p>
    <w:p w14:paraId="5EF65848" w14:textId="77777777" w:rsidR="00AB1CC1" w:rsidRDefault="007005E0" w:rsidP="00187FAD">
      <w:pPr>
        <w:spacing w:after="0"/>
        <w:rPr>
          <w:szCs w:val="22"/>
        </w:rPr>
      </w:pPr>
      <w:r w:rsidRPr="00187FAD">
        <w:rPr>
          <w:szCs w:val="22"/>
        </w:rPr>
        <w:t xml:space="preserve">The </w:t>
      </w:r>
      <w:r w:rsidR="00554148">
        <w:rPr>
          <w:szCs w:val="22"/>
        </w:rPr>
        <w:t>ADC</w:t>
      </w:r>
      <w:r w:rsidRPr="00187FAD">
        <w:rPr>
          <w:szCs w:val="22"/>
        </w:rPr>
        <w:t xml:space="preserve"> engaged an economic consultant, Cadence Economics, to undertake a specialist quantitative analysis of</w:t>
      </w:r>
      <w:r w:rsidR="00AB1CC1">
        <w:rPr>
          <w:szCs w:val="22"/>
        </w:rPr>
        <w:t>:</w:t>
      </w:r>
    </w:p>
    <w:p w14:paraId="375564AF" w14:textId="1D94EF9E" w:rsidR="00AB1CC1" w:rsidRPr="00C21769" w:rsidRDefault="007005E0" w:rsidP="00A748B1">
      <w:pPr>
        <w:pStyle w:val="ListParagraph"/>
        <w:numPr>
          <w:ilvl w:val="0"/>
          <w:numId w:val="52"/>
        </w:numPr>
        <w:spacing w:after="0"/>
        <w:rPr>
          <w:szCs w:val="22"/>
        </w:rPr>
      </w:pPr>
      <w:r w:rsidRPr="00C21769">
        <w:rPr>
          <w:szCs w:val="22"/>
        </w:rPr>
        <w:t>the potential displacement of steel and aluminium as a result of the tariffs</w:t>
      </w:r>
    </w:p>
    <w:p w14:paraId="5A76A193" w14:textId="75B92FFA" w:rsidR="007005E0" w:rsidRPr="00721E85" w:rsidRDefault="00AB1CC1" w:rsidP="00A748B1">
      <w:pPr>
        <w:pStyle w:val="ListParagraph"/>
        <w:numPr>
          <w:ilvl w:val="0"/>
          <w:numId w:val="52"/>
        </w:numPr>
        <w:spacing w:after="0"/>
        <w:rPr>
          <w:szCs w:val="22"/>
        </w:rPr>
      </w:pPr>
      <w:r w:rsidRPr="002E15DC">
        <w:rPr>
          <w:szCs w:val="22"/>
        </w:rPr>
        <w:t>t</w:t>
      </w:r>
      <w:r w:rsidR="007005E0" w:rsidRPr="002E15DC">
        <w:rPr>
          <w:szCs w:val="22"/>
        </w:rPr>
        <w:t xml:space="preserve">he likely impacts of displaced steel and aluminium ending up in Australia on the Australian economy and Australian producers. </w:t>
      </w:r>
    </w:p>
    <w:p w14:paraId="552BB998" w14:textId="77777777" w:rsidR="00967A0E" w:rsidRDefault="00967A0E" w:rsidP="00187FAD">
      <w:pPr>
        <w:spacing w:after="0"/>
        <w:rPr>
          <w:szCs w:val="22"/>
        </w:rPr>
      </w:pPr>
    </w:p>
    <w:p w14:paraId="5629A79F" w14:textId="1461D45A" w:rsidR="00967A0E" w:rsidRPr="00187FAD" w:rsidRDefault="00967A0E" w:rsidP="00187FAD">
      <w:pPr>
        <w:spacing w:after="0"/>
        <w:rPr>
          <w:szCs w:val="22"/>
        </w:rPr>
      </w:pPr>
      <w:r>
        <w:rPr>
          <w:szCs w:val="22"/>
        </w:rPr>
        <w:t xml:space="preserve">Cadence utilised their Computable General Equilibrium (CGE) model </w:t>
      </w:r>
      <w:r w:rsidR="00AD4F9A">
        <w:rPr>
          <w:szCs w:val="22"/>
        </w:rPr>
        <w:t xml:space="preserve">(CGEM) </w:t>
      </w:r>
      <w:r>
        <w:rPr>
          <w:szCs w:val="22"/>
        </w:rPr>
        <w:t xml:space="preserve">to analyse impacts throughout the economy. It utilises data from a range of sources including a Global Social Accounting Matrix supplemented by data from the Australian Bureau of Statistics. Further detail is included in chapter </w:t>
      </w:r>
      <w:r w:rsidR="00E84EDA">
        <w:rPr>
          <w:szCs w:val="22"/>
        </w:rPr>
        <w:t>two of</w:t>
      </w:r>
      <w:r>
        <w:rPr>
          <w:szCs w:val="22"/>
        </w:rPr>
        <w:t xml:space="preserve"> the </w:t>
      </w:r>
      <w:r w:rsidR="00E84EDA">
        <w:rPr>
          <w:szCs w:val="22"/>
        </w:rPr>
        <w:t>Cadence R</w:t>
      </w:r>
      <w:r>
        <w:rPr>
          <w:szCs w:val="22"/>
        </w:rPr>
        <w:t xml:space="preserve">eport. </w:t>
      </w:r>
    </w:p>
    <w:p w14:paraId="550FF42B" w14:textId="77777777" w:rsidR="006D35D2" w:rsidRDefault="006D35D2" w:rsidP="00187FAD">
      <w:pPr>
        <w:spacing w:after="0"/>
        <w:rPr>
          <w:szCs w:val="22"/>
        </w:rPr>
      </w:pPr>
    </w:p>
    <w:p w14:paraId="5716C639" w14:textId="23091B62" w:rsidR="00004B4B" w:rsidRPr="00187FAD" w:rsidRDefault="009C3438" w:rsidP="00187FAD">
      <w:pPr>
        <w:spacing w:after="0"/>
        <w:rPr>
          <w:szCs w:val="22"/>
        </w:rPr>
      </w:pPr>
      <w:r w:rsidRPr="00187FAD">
        <w:rPr>
          <w:szCs w:val="22"/>
        </w:rPr>
        <w:t>Cadence conducted its analysis using two scenarios:</w:t>
      </w:r>
    </w:p>
    <w:p w14:paraId="36C43B39" w14:textId="7E74B2C0" w:rsidR="007005E0" w:rsidRPr="00187FAD" w:rsidRDefault="009C3438" w:rsidP="00187FAD">
      <w:pPr>
        <w:pStyle w:val="ListParagraph"/>
        <w:numPr>
          <w:ilvl w:val="0"/>
          <w:numId w:val="28"/>
        </w:numPr>
        <w:spacing w:after="0"/>
        <w:rPr>
          <w:szCs w:val="22"/>
        </w:rPr>
      </w:pPr>
      <w:r w:rsidRPr="00187FAD">
        <w:rPr>
          <w:szCs w:val="22"/>
        </w:rPr>
        <w:t xml:space="preserve">That exemptions apply to the countries declared in the </w:t>
      </w:r>
      <w:r w:rsidR="00146794">
        <w:rPr>
          <w:szCs w:val="22"/>
        </w:rPr>
        <w:t>p</w:t>
      </w:r>
      <w:r w:rsidRPr="00187FAD">
        <w:rPr>
          <w:szCs w:val="22"/>
        </w:rPr>
        <w:t>roclamations</w:t>
      </w:r>
      <w:r w:rsidR="00A9396D" w:rsidRPr="00187FAD">
        <w:rPr>
          <w:szCs w:val="22"/>
        </w:rPr>
        <w:t xml:space="preserve"> of 8 and 22</w:t>
      </w:r>
      <w:r w:rsidR="006D35D2" w:rsidRPr="00187FAD">
        <w:rPr>
          <w:szCs w:val="22"/>
        </w:rPr>
        <w:t xml:space="preserve"> March</w:t>
      </w:r>
      <w:r w:rsidR="00235B6A">
        <w:rPr>
          <w:szCs w:val="22"/>
        </w:rPr>
        <w:t xml:space="preserve"> 2018</w:t>
      </w:r>
      <w:r w:rsidR="00A9396D" w:rsidRPr="00187FAD">
        <w:rPr>
          <w:szCs w:val="22"/>
        </w:rPr>
        <w:t xml:space="preserve"> </w:t>
      </w:r>
    </w:p>
    <w:p w14:paraId="57EB4EBB" w14:textId="5718DDD8" w:rsidR="007005E0" w:rsidRDefault="007005E0" w:rsidP="00187FAD">
      <w:pPr>
        <w:pStyle w:val="ListParagraph"/>
        <w:numPr>
          <w:ilvl w:val="0"/>
          <w:numId w:val="28"/>
        </w:numPr>
        <w:spacing w:after="0"/>
        <w:rPr>
          <w:szCs w:val="22"/>
        </w:rPr>
      </w:pPr>
      <w:r w:rsidRPr="00187FAD">
        <w:rPr>
          <w:szCs w:val="22"/>
        </w:rPr>
        <w:t>That no country is exempted from the tariffs.</w:t>
      </w:r>
    </w:p>
    <w:p w14:paraId="38001E0B" w14:textId="7B2717F5" w:rsidR="00F26B23" w:rsidRDefault="00F26B23" w:rsidP="00187FAD">
      <w:pPr>
        <w:spacing w:after="0"/>
      </w:pPr>
    </w:p>
    <w:p w14:paraId="06E1FE98" w14:textId="378B26EB" w:rsidR="00AB1CC1" w:rsidRDefault="00AB1CC1" w:rsidP="00187FAD">
      <w:pPr>
        <w:spacing w:after="0"/>
      </w:pPr>
      <w:r>
        <w:t xml:space="preserve">These scenarios were selected as they represented scenarios at </w:t>
      </w:r>
      <w:r w:rsidR="0018275C">
        <w:t>both</w:t>
      </w:r>
      <w:r>
        <w:t xml:space="preserve"> end</w:t>
      </w:r>
      <w:r w:rsidR="0018275C">
        <w:t>s</w:t>
      </w:r>
      <w:r>
        <w:t xml:space="preserve"> of the spectrum of possibilities</w:t>
      </w:r>
      <w:r w:rsidR="0018275C">
        <w:t xml:space="preserve"> – the exemptions initially announced and no exemptions at all. </w:t>
      </w:r>
    </w:p>
    <w:p w14:paraId="7526B38F" w14:textId="77777777" w:rsidR="0018275C" w:rsidRDefault="0018275C" w:rsidP="00187FAD">
      <w:pPr>
        <w:spacing w:after="0"/>
      </w:pPr>
    </w:p>
    <w:p w14:paraId="3034F851" w14:textId="5F92F1F8" w:rsidR="00F26B23" w:rsidRDefault="00F26B23" w:rsidP="00187FAD">
      <w:pPr>
        <w:spacing w:after="0"/>
      </w:pPr>
      <w:r>
        <w:t>Estimated volume impacts</w:t>
      </w:r>
      <w:r w:rsidR="008236EC">
        <w:t xml:space="preserve"> off a reference case</w:t>
      </w:r>
      <w:r>
        <w:t xml:space="preserve"> are shown below.</w:t>
      </w:r>
    </w:p>
    <w:bookmarkEnd w:id="58"/>
    <w:p w14:paraId="220A1586" w14:textId="40ACF63D" w:rsidR="0018275C" w:rsidRDefault="0018275C" w:rsidP="00187FAD">
      <w:pPr>
        <w:jc w:val="center"/>
        <w:rPr>
          <w:rFonts w:asciiTheme="minorHAnsi" w:hAnsiTheme="minorHAnsi" w:cs="Segoe UI"/>
          <w:b/>
          <w:sz w:val="20"/>
        </w:rPr>
      </w:pPr>
    </w:p>
    <w:p w14:paraId="2B33046E" w14:textId="466F52B5" w:rsidR="006D35D2" w:rsidRDefault="0018275C" w:rsidP="00A748B1">
      <w:pPr>
        <w:rPr>
          <w:rFonts w:ascii="Segoe UI Semilight" w:hAnsi="Segoe UI Semilight" w:cs="Segoe UI Semilight"/>
        </w:rPr>
      </w:pPr>
      <w:r w:rsidRPr="0018275C">
        <w:rPr>
          <w:rFonts w:asciiTheme="minorHAnsi" w:hAnsiTheme="minorHAnsi" w:cs="Segoe UI"/>
          <w:b/>
          <w:noProof/>
          <w:sz w:val="20"/>
        </w:rPr>
        <mc:AlternateContent>
          <mc:Choice Requires="wps">
            <w:drawing>
              <wp:anchor distT="45720" distB="45720" distL="114300" distR="114300" simplePos="0" relativeHeight="251658240" behindDoc="0" locked="0" layoutInCell="1" allowOverlap="1" wp14:anchorId="29D070DE" wp14:editId="52585D66">
                <wp:simplePos x="0" y="0"/>
                <wp:positionH relativeFrom="column">
                  <wp:posOffset>-845820</wp:posOffset>
                </wp:positionH>
                <wp:positionV relativeFrom="paragraph">
                  <wp:posOffset>996315</wp:posOffset>
                </wp:positionV>
                <wp:extent cx="2178000" cy="230400"/>
                <wp:effectExtent l="2223" t="0" r="15557" b="15558"/>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8000" cy="230400"/>
                        </a:xfrm>
                        <a:prstGeom prst="rect">
                          <a:avLst/>
                        </a:prstGeom>
                        <a:solidFill>
                          <a:srgbClr val="FFFFFF"/>
                        </a:solidFill>
                        <a:ln w="9525">
                          <a:solidFill>
                            <a:schemeClr val="bg1">
                              <a:lumMod val="85000"/>
                            </a:schemeClr>
                          </a:solidFill>
                          <a:miter lim="800000"/>
                          <a:headEnd/>
                          <a:tailEnd/>
                        </a:ln>
                      </wps:spPr>
                      <wps:txbx>
                        <w:txbxContent>
                          <w:p w14:paraId="258FCE60" w14:textId="5D19C2FA" w:rsidR="008A6AC7" w:rsidRPr="00A748B1" w:rsidRDefault="008A6AC7" w:rsidP="00A748B1">
                            <w:pPr>
                              <w:jc w:val="center"/>
                              <w:rPr>
                                <w:color w:val="808080" w:themeColor="background1" w:themeShade="80"/>
                              </w:rPr>
                            </w:pPr>
                            <w:r w:rsidRPr="00A748B1">
                              <w:rPr>
                                <w:rFonts w:asciiTheme="minorHAnsi" w:hAnsiTheme="minorHAnsi" w:cs="Segoe UI"/>
                                <w:color w:val="808080" w:themeColor="background1" w:themeShade="80"/>
                                <w:sz w:val="20"/>
                              </w:rPr>
                              <w:t>Metric tonnes (‘000)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070DE" id="_x0000_t202" coordsize="21600,21600" o:spt="202" path="m,l,21600r21600,l21600,xe">
                <v:stroke joinstyle="miter"/>
                <v:path gradientshapeok="t" o:connecttype="rect"/>
              </v:shapetype>
              <v:shape id="Text Box 2" o:spid="_x0000_s1026" type="#_x0000_t202" style="position:absolute;margin-left:-66.6pt;margin-top:78.45pt;width:171.5pt;height:18.15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4QwIAAHgEAAAOAAAAZHJzL2Uyb0RvYy54bWysVNtu2zAMfR+wfxD0vjj2kjY14hRdugwD&#10;ugvQ7gNkWbaFSaImKbG7rx8lZ2myvQ3zgyCK1CF5juj17agVOQjnJZiK5rM5JcJwaKTpKvrtafdm&#10;RYkPzDRMgREVfRae3m5ev1oPthQF9KAa4QiCGF8OtqJ9CLbMMs97oZmfgRUGnS04zQKarssaxwZE&#10;1yor5vOrbADXWAdceI+n95OTbhJ+2woevrStF4GoimJtIa0urXVcs82alZ1jtpf8WAb7hyo0kwaT&#10;nqDuWWBk7+RfUFpyBx7aMOOgM2hbyUXqAbvJ539089gzK1IvSI63J5r8/4Plnw9fHZFNRYv8mhLD&#10;NIr0JMZA3sFIisjPYH2JYY8WA8OIx6hz6tXbB+DfPTGw7ZnpxJ1zMPSCNVhfHm9mZ1cnHB9B6uET&#10;NJiG7QMkoLF1mjhAcfIrFBW/dIzsEEyGsj2fpIqVcTzEalcxjnD0FW/nC9zHjKyMYFEJ63z4IECT&#10;uKmow6eQUNnhwYcp9HdIDPegZLOTSiXDdfVWOXJg+Gx26TuiX4QpQ4aK3iyL5cTHBUR8weIEUncT&#10;Z2qvsfkJeLWMHUylpAcfw1MPF1m0DDgiSuqKxpanK6yMRL83DV5nZWBSTXskQJkj85HsifYw1iMG&#10;RjlqaJ5Rg8Q20oeji+T04H5SMuAYVNT/2DMnKFEfDep4ky8WcW6SsVheF2i4c0997mGGI1RFAyXT&#10;dhvSrMUaDdyh3q1M3L9UcqwVn3fq/DiKcX7O7RT18sPY/AIAAP//AwBQSwMEFAAGAAgAAAAhAFf4&#10;wFfcAAAABwEAAA8AAABkcnMvZG93bnJldi54bWxMjsFOwzAQRO9I/IO1SNyo09CaNsSpoBI3pIpS&#10;cXbjJY4ar6PYbUO/nuVEj6MZvXnlavSdOOEQ20AappMMBFIdbEuNht3n28MCREyGrOkCoYYfjLCq&#10;bm9KU9hwpg88bVMjGEKxMBpcSn0hZawdehMnoUfi7jsM3iSOQyPtYM4M953Ms0xJb1riB2d6XDus&#10;D9uj13Bxh+Yrx9da5U/r3eYyd8vNu9P6/m58eQaRcEz/Y/jTZ3Wo2GkfjmSj6DTk2ZSXGh4VCK7n&#10;agZiz3GmFMiqlNf+1S8AAAD//wMAUEsBAi0AFAAGAAgAAAAhALaDOJL+AAAA4QEAABMAAAAAAAAA&#10;AAAAAAAAAAAAAFtDb250ZW50X1R5cGVzXS54bWxQSwECLQAUAAYACAAAACEAOP0h/9YAAACUAQAA&#10;CwAAAAAAAAAAAAAAAAAvAQAAX3JlbHMvLnJlbHNQSwECLQAUAAYACAAAACEA9PqXOEMCAAB4BAAA&#10;DgAAAAAAAAAAAAAAAAAuAgAAZHJzL2Uyb0RvYy54bWxQSwECLQAUAAYACAAAACEAV/jAV9wAAAAH&#10;AQAADwAAAAAAAAAAAAAAAACdBAAAZHJzL2Rvd25yZXYueG1sUEsFBgAAAAAEAAQA8wAAAKYFAAAA&#10;AA==&#10;" strokecolor="#d8d8d8 [2732]">
                <v:textbox>
                  <w:txbxContent>
                    <w:p w14:paraId="258FCE60" w14:textId="5D19C2FA" w:rsidR="008A6AC7" w:rsidRPr="00A748B1" w:rsidRDefault="008A6AC7" w:rsidP="00A748B1">
                      <w:pPr>
                        <w:jc w:val="center"/>
                        <w:rPr>
                          <w:color w:val="808080" w:themeColor="background1" w:themeShade="80"/>
                        </w:rPr>
                      </w:pPr>
                      <w:r w:rsidRPr="00A748B1">
                        <w:rPr>
                          <w:rFonts w:asciiTheme="minorHAnsi" w:hAnsiTheme="minorHAnsi" w:cs="Segoe UI"/>
                          <w:color w:val="808080" w:themeColor="background1" w:themeShade="80"/>
                          <w:sz w:val="20"/>
                        </w:rPr>
                        <w:t>Metric tonnes (‘000)</w:t>
                      </w:r>
                    </w:p>
                  </w:txbxContent>
                </v:textbox>
                <w10:wrap type="square"/>
              </v:shape>
            </w:pict>
          </mc:Fallback>
        </mc:AlternateContent>
      </w:r>
      <w:r w:rsidR="004979A9" w:rsidRPr="00986E43">
        <w:rPr>
          <w:noProof/>
        </w:rPr>
        <w:drawing>
          <wp:inline distT="0" distB="0" distL="0" distR="0" wp14:anchorId="686013F0" wp14:editId="49C2089B">
            <wp:extent cx="5204483" cy="220810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1559" cy="2215352"/>
                    </a:xfrm>
                    <a:prstGeom prst="rect">
                      <a:avLst/>
                    </a:prstGeom>
                    <a:noFill/>
                    <a:ln>
                      <a:noFill/>
                    </a:ln>
                  </pic:spPr>
                </pic:pic>
              </a:graphicData>
            </a:graphic>
          </wp:inline>
        </w:drawing>
      </w:r>
    </w:p>
    <w:p w14:paraId="261CE6AD" w14:textId="11BBE062" w:rsidR="00F26B23" w:rsidRDefault="00F26B23" w:rsidP="007B2ED8">
      <w:pPr>
        <w:pStyle w:val="BodyText"/>
        <w:spacing w:before="120" w:after="120"/>
        <w:ind w:left="576"/>
        <w:rPr>
          <w:rFonts w:asciiTheme="minorHAnsi" w:hAnsiTheme="minorHAnsi" w:cs="Segoe UI"/>
          <w:b/>
          <w:sz w:val="20"/>
        </w:rPr>
      </w:pPr>
      <w:r w:rsidRPr="007B2ED8">
        <w:rPr>
          <w:rFonts w:asciiTheme="minorHAnsi" w:hAnsiTheme="minorHAnsi" w:cs="Segoe UI"/>
          <w:b/>
          <w:sz w:val="20"/>
        </w:rPr>
        <w:t xml:space="preserve">Figure </w:t>
      </w:r>
      <w:r w:rsidR="00F0225C" w:rsidRPr="007B2ED8">
        <w:rPr>
          <w:rFonts w:asciiTheme="minorHAnsi" w:hAnsiTheme="minorHAnsi" w:cs="Segoe UI"/>
          <w:b/>
          <w:sz w:val="20"/>
        </w:rPr>
        <w:t>1</w:t>
      </w:r>
      <w:r w:rsidRPr="007B2ED8">
        <w:rPr>
          <w:rFonts w:asciiTheme="minorHAnsi" w:hAnsiTheme="minorHAnsi" w:cs="Segoe UI"/>
          <w:b/>
          <w:sz w:val="20"/>
        </w:rPr>
        <w:t xml:space="preserve">: Excerpt from Cadence Report - Projected imports of steel and aluminium into Australia in 2020 under the scenarios considered </w:t>
      </w:r>
    </w:p>
    <w:p w14:paraId="09B1D236" w14:textId="77777777" w:rsidR="009E3AA9" w:rsidRDefault="009E3AA9" w:rsidP="009E3AA9">
      <w:pPr>
        <w:rPr>
          <w:szCs w:val="22"/>
        </w:rPr>
      </w:pPr>
      <w:r w:rsidRPr="00187FAD">
        <w:rPr>
          <w:szCs w:val="22"/>
        </w:rPr>
        <w:t>Further detail on the assumptions and methodology can</w:t>
      </w:r>
      <w:r>
        <w:rPr>
          <w:szCs w:val="22"/>
        </w:rPr>
        <w:t xml:space="preserve"> be found in the Cadence Report and modelling details, which are attached to this Note. </w:t>
      </w:r>
      <w:r w:rsidRPr="00187FAD">
        <w:rPr>
          <w:szCs w:val="22"/>
        </w:rPr>
        <w:t xml:space="preserve"> </w:t>
      </w:r>
    </w:p>
    <w:p w14:paraId="0CA47C4C" w14:textId="1804DCCB" w:rsidR="007224E1" w:rsidRPr="007005E0" w:rsidRDefault="001D0CD7" w:rsidP="00661C06">
      <w:pPr>
        <w:pStyle w:val="Heading2"/>
      </w:pPr>
      <w:bookmarkStart w:id="59" w:name="_Toc517257519"/>
      <w:bookmarkStart w:id="60" w:name="_Toc520359263"/>
      <w:r>
        <w:lastRenderedPageBreak/>
        <w:t>F</w:t>
      </w:r>
      <w:r w:rsidR="00A9396D">
        <w:t>i</w:t>
      </w:r>
      <w:r w:rsidR="007224E1" w:rsidRPr="007005E0">
        <w:t>ndings</w:t>
      </w:r>
      <w:bookmarkEnd w:id="59"/>
      <w:bookmarkEnd w:id="60"/>
    </w:p>
    <w:p w14:paraId="395F67EC" w14:textId="77777777" w:rsidR="00D15D5F" w:rsidRDefault="00D15D5F" w:rsidP="00E430BC">
      <w:pPr>
        <w:pStyle w:val="Heading3"/>
      </w:pPr>
      <w:r w:rsidRPr="00187FAD">
        <w:t>Scenario 1</w:t>
      </w:r>
    </w:p>
    <w:p w14:paraId="4F798296" w14:textId="1188FFF6" w:rsidR="00227CFB" w:rsidRDefault="00227CFB" w:rsidP="00187FAD">
      <w:pPr>
        <w:spacing w:after="0"/>
        <w:rPr>
          <w:szCs w:val="22"/>
        </w:rPr>
      </w:pPr>
      <w:r w:rsidRPr="00187FAD">
        <w:rPr>
          <w:szCs w:val="22"/>
        </w:rPr>
        <w:t xml:space="preserve">Under this scenario, Cadence estimated that </w:t>
      </w:r>
      <w:r w:rsidR="00B47907">
        <w:rPr>
          <w:szCs w:val="22"/>
        </w:rPr>
        <w:t xml:space="preserve">steel imports into Australia </w:t>
      </w:r>
      <w:r w:rsidR="00D15D5F" w:rsidRPr="00187FAD">
        <w:rPr>
          <w:szCs w:val="22"/>
        </w:rPr>
        <w:t>are projected to increase by just under 13 thousand metric tonnes in 2020</w:t>
      </w:r>
      <w:r w:rsidR="001E07BD">
        <w:rPr>
          <w:szCs w:val="22"/>
        </w:rPr>
        <w:t>, representing</w:t>
      </w:r>
      <w:r w:rsidR="00D15D5F" w:rsidRPr="00187FAD">
        <w:rPr>
          <w:szCs w:val="22"/>
        </w:rPr>
        <w:t xml:space="preserve"> an increase of 0.4 per cent</w:t>
      </w:r>
      <w:r w:rsidR="008236EC">
        <w:rPr>
          <w:szCs w:val="22"/>
        </w:rPr>
        <w:t xml:space="preserve"> off a reference case</w:t>
      </w:r>
      <w:r w:rsidR="00D15D5F" w:rsidRPr="00187FAD">
        <w:rPr>
          <w:szCs w:val="22"/>
        </w:rPr>
        <w:t xml:space="preserve">. </w:t>
      </w:r>
    </w:p>
    <w:p w14:paraId="71CBB198" w14:textId="77777777" w:rsidR="00227CFB" w:rsidRPr="00187FAD" w:rsidRDefault="00227CFB" w:rsidP="00187FAD">
      <w:pPr>
        <w:spacing w:after="0"/>
        <w:rPr>
          <w:szCs w:val="22"/>
        </w:rPr>
      </w:pPr>
    </w:p>
    <w:p w14:paraId="7B5CD673" w14:textId="6F30DF49" w:rsidR="00D15D5F" w:rsidRDefault="001E54D5" w:rsidP="00187FAD">
      <w:pPr>
        <w:spacing w:after="0"/>
        <w:rPr>
          <w:szCs w:val="22"/>
        </w:rPr>
      </w:pPr>
      <w:r>
        <w:rPr>
          <w:szCs w:val="22"/>
        </w:rPr>
        <w:t>A</w:t>
      </w:r>
      <w:r w:rsidR="00D15D5F" w:rsidRPr="00187FAD">
        <w:rPr>
          <w:szCs w:val="22"/>
        </w:rPr>
        <w:t>luminium imports</w:t>
      </w:r>
      <w:r>
        <w:rPr>
          <w:szCs w:val="22"/>
        </w:rPr>
        <w:t xml:space="preserve"> into Australia</w:t>
      </w:r>
      <w:r w:rsidR="00D15D5F" w:rsidRPr="00187FAD">
        <w:rPr>
          <w:szCs w:val="22"/>
        </w:rPr>
        <w:t xml:space="preserve"> are projected to increase by just under 300 metric tonnes in 2020. Off base import levels of around 300 thousand metric tonnes, this represents an increase of 0.1 per cent</w:t>
      </w:r>
      <w:r w:rsidR="008236EC">
        <w:rPr>
          <w:szCs w:val="22"/>
        </w:rPr>
        <w:t xml:space="preserve"> off a reference case</w:t>
      </w:r>
      <w:r w:rsidR="00D15D5F" w:rsidRPr="00187FAD">
        <w:rPr>
          <w:szCs w:val="22"/>
        </w:rPr>
        <w:t xml:space="preserve">. </w:t>
      </w:r>
    </w:p>
    <w:p w14:paraId="6D002F0F" w14:textId="77777777" w:rsidR="00227CFB" w:rsidRPr="00187FAD" w:rsidRDefault="00227CFB" w:rsidP="00187FAD">
      <w:pPr>
        <w:spacing w:after="0"/>
        <w:rPr>
          <w:szCs w:val="22"/>
        </w:rPr>
      </w:pPr>
    </w:p>
    <w:p w14:paraId="12D5BBD9" w14:textId="7E1D9122" w:rsidR="00F26B23" w:rsidRDefault="00227CFB" w:rsidP="002C511D">
      <w:pPr>
        <w:spacing w:after="0"/>
        <w:rPr>
          <w:szCs w:val="22"/>
        </w:rPr>
      </w:pPr>
      <w:r w:rsidRPr="001A397B">
        <w:rPr>
          <w:szCs w:val="22"/>
        </w:rPr>
        <w:t>At a macroeconomic level, Real GDP is estimated to increase by 0.002 per cent and investment by 0.023 per cent</w:t>
      </w:r>
      <w:r w:rsidR="008236EC">
        <w:rPr>
          <w:szCs w:val="22"/>
        </w:rPr>
        <w:t xml:space="preserve"> off a reference case</w:t>
      </w:r>
      <w:r w:rsidRPr="001A397B">
        <w:rPr>
          <w:szCs w:val="22"/>
        </w:rPr>
        <w:t>.</w:t>
      </w:r>
      <w:r w:rsidRPr="00187FAD">
        <w:rPr>
          <w:szCs w:val="22"/>
        </w:rPr>
        <w:t xml:space="preserve"> </w:t>
      </w:r>
    </w:p>
    <w:p w14:paraId="25F35E50" w14:textId="77777777" w:rsidR="00F26B23" w:rsidRDefault="00F26B23" w:rsidP="002C511D">
      <w:pPr>
        <w:spacing w:after="0"/>
        <w:rPr>
          <w:szCs w:val="22"/>
        </w:rPr>
      </w:pPr>
    </w:p>
    <w:p w14:paraId="59F2F8C1" w14:textId="25F0A822" w:rsidR="00F26B23" w:rsidRDefault="00F26B23" w:rsidP="002C511D">
      <w:pPr>
        <w:spacing w:after="0"/>
        <w:rPr>
          <w:szCs w:val="22"/>
        </w:rPr>
      </w:pPr>
      <w:r>
        <w:rPr>
          <w:szCs w:val="22"/>
        </w:rPr>
        <w:t xml:space="preserve">Key findings are summarised below. </w:t>
      </w:r>
    </w:p>
    <w:p w14:paraId="24044054" w14:textId="77777777" w:rsidR="00F26B23" w:rsidRDefault="00F26B23" w:rsidP="002C511D">
      <w:pPr>
        <w:spacing w:after="0"/>
        <w:rPr>
          <w:szCs w:val="22"/>
        </w:rPr>
      </w:pPr>
    </w:p>
    <w:tbl>
      <w:tblPr>
        <w:tblStyle w:val="PlainTable5"/>
        <w:tblW w:w="3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58"/>
        <w:gridCol w:w="1700"/>
        <w:gridCol w:w="1700"/>
      </w:tblGrid>
      <w:tr w:rsidR="00F26B23" w:rsidRPr="00290C5A" w14:paraId="1508B523" w14:textId="77777777" w:rsidTr="00187FAD">
        <w:trPr>
          <w:cnfStyle w:val="100000000000" w:firstRow="1" w:lastRow="0" w:firstColumn="0" w:lastColumn="0" w:oddVBand="0" w:evenVBand="0" w:oddHBand="0" w:evenHBand="0" w:firstRowFirstColumn="0" w:firstRowLastColumn="0" w:lastRowFirstColumn="0" w:lastRowLastColumn="0"/>
          <w:trHeight w:val="367"/>
          <w:jc w:val="center"/>
        </w:trPr>
        <w:tc>
          <w:tcPr>
            <w:tcW w:w="2446" w:type="pct"/>
            <w:vAlign w:val="center"/>
            <w:hideMark/>
          </w:tcPr>
          <w:p w14:paraId="644967D5" w14:textId="77777777" w:rsidR="00F26B23" w:rsidRPr="00187FAD" w:rsidRDefault="00F26B23" w:rsidP="00187FAD">
            <w:pPr>
              <w:spacing w:before="60" w:after="60"/>
              <w:jc w:val="center"/>
              <w:rPr>
                <w:rFonts w:ascii="Segoe UI Semilight" w:eastAsiaTheme="minorEastAsia" w:hAnsi="Segoe UI Semilight" w:cs="Segoe UI Semilight"/>
                <w:b/>
                <w:i w:val="0"/>
                <w:iCs w:val="0"/>
                <w:szCs w:val="22"/>
              </w:rPr>
            </w:pPr>
            <w:r w:rsidRPr="00187FAD">
              <w:rPr>
                <w:rFonts w:ascii="Segoe UI Semilight" w:eastAsiaTheme="minorEastAsia" w:hAnsi="Segoe UI Semilight" w:cs="Segoe UI Semilight"/>
                <w:b/>
                <w:szCs w:val="22"/>
              </w:rPr>
              <w:t>Variable</w:t>
            </w:r>
          </w:p>
        </w:tc>
        <w:tc>
          <w:tcPr>
            <w:tcW w:w="1277" w:type="pct"/>
            <w:vAlign w:val="center"/>
            <w:hideMark/>
          </w:tcPr>
          <w:p w14:paraId="6F2145F2" w14:textId="77777777" w:rsidR="00F26B23" w:rsidRPr="00187FAD" w:rsidRDefault="00F26B23" w:rsidP="001A49DF">
            <w:pPr>
              <w:spacing w:before="60" w:after="60"/>
              <w:jc w:val="center"/>
              <w:rPr>
                <w:rFonts w:ascii="Segoe UI Semilight" w:eastAsiaTheme="minorEastAsia" w:hAnsi="Segoe UI Semilight" w:cs="Segoe UI Semilight"/>
                <w:b/>
                <w:i w:val="0"/>
                <w:iCs w:val="0"/>
                <w:szCs w:val="22"/>
              </w:rPr>
            </w:pPr>
            <w:r w:rsidRPr="00187FAD">
              <w:rPr>
                <w:rFonts w:ascii="Segoe UI Semilight" w:eastAsiaTheme="minorEastAsia" w:hAnsi="Segoe UI Semilight" w:cs="Segoe UI Semilight"/>
                <w:b/>
                <w:szCs w:val="22"/>
              </w:rPr>
              <w:t>2018</w:t>
            </w:r>
          </w:p>
        </w:tc>
        <w:tc>
          <w:tcPr>
            <w:tcW w:w="1277" w:type="pct"/>
            <w:vAlign w:val="center"/>
            <w:hideMark/>
          </w:tcPr>
          <w:p w14:paraId="6A854082" w14:textId="77777777" w:rsidR="00F26B23" w:rsidRPr="00187FAD" w:rsidRDefault="00F26B23" w:rsidP="001A49DF">
            <w:pPr>
              <w:spacing w:before="60" w:after="60"/>
              <w:jc w:val="center"/>
              <w:rPr>
                <w:rFonts w:ascii="Segoe UI Semilight" w:eastAsiaTheme="minorEastAsia" w:hAnsi="Segoe UI Semilight" w:cs="Segoe UI Semilight"/>
                <w:b/>
                <w:i w:val="0"/>
                <w:iCs w:val="0"/>
                <w:szCs w:val="22"/>
              </w:rPr>
            </w:pPr>
            <w:r w:rsidRPr="00187FAD">
              <w:rPr>
                <w:rFonts w:ascii="Segoe UI Semilight" w:eastAsiaTheme="minorEastAsia" w:hAnsi="Segoe UI Semilight" w:cs="Segoe UI Semilight"/>
                <w:b/>
                <w:szCs w:val="22"/>
              </w:rPr>
              <w:t>2020</w:t>
            </w:r>
          </w:p>
        </w:tc>
      </w:tr>
      <w:tr w:rsidR="00F26B23" w:rsidRPr="00222275" w14:paraId="17D7EA82" w14:textId="77777777" w:rsidTr="00187FAD">
        <w:trPr>
          <w:cnfStyle w:val="000000100000" w:firstRow="0" w:lastRow="0" w:firstColumn="0" w:lastColumn="0" w:oddVBand="0" w:evenVBand="0" w:oddHBand="1" w:evenHBand="0" w:firstRowFirstColumn="0" w:firstRowLastColumn="0" w:lastRowFirstColumn="0" w:lastRowLastColumn="0"/>
          <w:trHeight w:val="224"/>
          <w:jc w:val="center"/>
        </w:trPr>
        <w:tc>
          <w:tcPr>
            <w:tcW w:w="2446" w:type="pct"/>
            <w:vAlign w:val="center"/>
            <w:hideMark/>
          </w:tcPr>
          <w:p w14:paraId="0A19C780" w14:textId="77777777" w:rsidR="00F26B23" w:rsidRPr="00285716" w:rsidRDefault="00F26B23" w:rsidP="001A49DF">
            <w:pPr>
              <w:spacing w:before="60" w:after="60"/>
              <w:rPr>
                <w:rFonts w:ascii="Segoe UI Semilight" w:hAnsi="Segoe UI Semilight" w:cs="Segoe UI Semilight"/>
                <w:szCs w:val="22"/>
              </w:rPr>
            </w:pPr>
            <w:r w:rsidRPr="00285716">
              <w:rPr>
                <w:rFonts w:ascii="Segoe UI Semilight" w:hAnsi="Segoe UI Semilight" w:cs="Segoe UI Semilight"/>
                <w:szCs w:val="22"/>
              </w:rPr>
              <w:t>Real GDP</w:t>
            </w:r>
          </w:p>
        </w:tc>
        <w:tc>
          <w:tcPr>
            <w:tcW w:w="1277" w:type="pct"/>
            <w:vAlign w:val="center"/>
            <w:hideMark/>
          </w:tcPr>
          <w:p w14:paraId="1A072D6E"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0.000%</w:t>
            </w:r>
          </w:p>
        </w:tc>
        <w:tc>
          <w:tcPr>
            <w:tcW w:w="1277" w:type="pct"/>
            <w:vAlign w:val="center"/>
            <w:hideMark/>
          </w:tcPr>
          <w:p w14:paraId="206683B8"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0.002%</w:t>
            </w:r>
          </w:p>
        </w:tc>
      </w:tr>
      <w:tr w:rsidR="00F26B23" w:rsidRPr="00222275" w14:paraId="03700D97" w14:textId="77777777" w:rsidTr="00187FAD">
        <w:trPr>
          <w:jc w:val="center"/>
        </w:trPr>
        <w:tc>
          <w:tcPr>
            <w:tcW w:w="2446" w:type="pct"/>
            <w:vAlign w:val="center"/>
            <w:hideMark/>
          </w:tcPr>
          <w:p w14:paraId="514C4DB3" w14:textId="77777777" w:rsidR="00F26B23" w:rsidRPr="00285716" w:rsidRDefault="00F26B23" w:rsidP="001A49DF">
            <w:pPr>
              <w:spacing w:before="60" w:after="60"/>
              <w:rPr>
                <w:rFonts w:ascii="Segoe UI Semilight" w:hAnsi="Segoe UI Semilight" w:cs="Segoe UI Semilight"/>
                <w:szCs w:val="22"/>
              </w:rPr>
            </w:pPr>
            <w:r w:rsidRPr="00285716">
              <w:rPr>
                <w:rFonts w:ascii="Segoe UI Semilight" w:hAnsi="Segoe UI Semilight" w:cs="Segoe UI Semilight"/>
                <w:szCs w:val="22"/>
              </w:rPr>
              <w:t>Real investment</w:t>
            </w:r>
          </w:p>
        </w:tc>
        <w:tc>
          <w:tcPr>
            <w:tcW w:w="1277" w:type="pct"/>
            <w:vAlign w:val="center"/>
            <w:hideMark/>
          </w:tcPr>
          <w:p w14:paraId="774DA903"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0.008%</w:t>
            </w:r>
          </w:p>
        </w:tc>
        <w:tc>
          <w:tcPr>
            <w:tcW w:w="1277" w:type="pct"/>
            <w:vAlign w:val="center"/>
            <w:hideMark/>
          </w:tcPr>
          <w:p w14:paraId="7959C1E3"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0.023%</w:t>
            </w:r>
          </w:p>
        </w:tc>
      </w:tr>
      <w:tr w:rsidR="00F26B23" w:rsidRPr="00222275" w14:paraId="323C315C" w14:textId="77777777" w:rsidTr="00187FAD">
        <w:trPr>
          <w:cnfStyle w:val="000000100000" w:firstRow="0" w:lastRow="0" w:firstColumn="0" w:lastColumn="0" w:oddVBand="0" w:evenVBand="0" w:oddHBand="1" w:evenHBand="0" w:firstRowFirstColumn="0" w:firstRowLastColumn="0" w:lastRowFirstColumn="0" w:lastRowLastColumn="0"/>
          <w:jc w:val="center"/>
        </w:trPr>
        <w:tc>
          <w:tcPr>
            <w:tcW w:w="2446" w:type="pct"/>
            <w:vAlign w:val="center"/>
            <w:hideMark/>
          </w:tcPr>
          <w:p w14:paraId="7CC61186" w14:textId="77777777" w:rsidR="00F26B23" w:rsidRPr="00285716" w:rsidRDefault="00F26B23" w:rsidP="001A49DF">
            <w:pPr>
              <w:spacing w:before="60" w:after="60"/>
              <w:rPr>
                <w:rFonts w:ascii="Segoe UI Semilight" w:hAnsi="Segoe UI Semilight" w:cs="Segoe UI Semilight"/>
                <w:szCs w:val="22"/>
              </w:rPr>
            </w:pPr>
            <w:r w:rsidRPr="00285716">
              <w:rPr>
                <w:rFonts w:ascii="Segoe UI Semilight" w:hAnsi="Segoe UI Semilight" w:cs="Segoe UI Semilight"/>
                <w:szCs w:val="22"/>
              </w:rPr>
              <w:t>Steel output</w:t>
            </w:r>
          </w:p>
        </w:tc>
        <w:tc>
          <w:tcPr>
            <w:tcW w:w="1277" w:type="pct"/>
            <w:vAlign w:val="center"/>
            <w:hideMark/>
          </w:tcPr>
          <w:p w14:paraId="559B404F"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0.262%</w:t>
            </w:r>
          </w:p>
        </w:tc>
        <w:tc>
          <w:tcPr>
            <w:tcW w:w="1277" w:type="pct"/>
            <w:vAlign w:val="center"/>
            <w:hideMark/>
          </w:tcPr>
          <w:p w14:paraId="3FFEEFA4"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0.254%</w:t>
            </w:r>
          </w:p>
        </w:tc>
      </w:tr>
      <w:tr w:rsidR="00F26B23" w:rsidRPr="00222275" w14:paraId="7806D9E2" w14:textId="77777777" w:rsidTr="00187FAD">
        <w:trPr>
          <w:jc w:val="center"/>
        </w:trPr>
        <w:tc>
          <w:tcPr>
            <w:tcW w:w="2446" w:type="pct"/>
            <w:vAlign w:val="center"/>
            <w:hideMark/>
          </w:tcPr>
          <w:p w14:paraId="4A3E548A" w14:textId="77777777" w:rsidR="00F26B23" w:rsidRPr="00285716" w:rsidRDefault="00F26B23" w:rsidP="001A49DF">
            <w:pPr>
              <w:spacing w:before="60" w:after="60"/>
              <w:rPr>
                <w:rFonts w:ascii="Segoe UI Semilight" w:hAnsi="Segoe UI Semilight" w:cs="Segoe UI Semilight"/>
                <w:szCs w:val="22"/>
              </w:rPr>
            </w:pPr>
            <w:r w:rsidRPr="00285716">
              <w:rPr>
                <w:rFonts w:ascii="Segoe UI Semilight" w:hAnsi="Segoe UI Semilight" w:cs="Segoe UI Semilight"/>
                <w:szCs w:val="22"/>
              </w:rPr>
              <w:t>Aluminium output</w:t>
            </w:r>
          </w:p>
        </w:tc>
        <w:tc>
          <w:tcPr>
            <w:tcW w:w="1277" w:type="pct"/>
            <w:vAlign w:val="center"/>
            <w:hideMark/>
          </w:tcPr>
          <w:p w14:paraId="543DFBDD"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0.122%</w:t>
            </w:r>
          </w:p>
        </w:tc>
        <w:tc>
          <w:tcPr>
            <w:tcW w:w="1277" w:type="pct"/>
            <w:vAlign w:val="center"/>
            <w:hideMark/>
          </w:tcPr>
          <w:p w14:paraId="68F41CEF"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0.296%</w:t>
            </w:r>
          </w:p>
        </w:tc>
      </w:tr>
      <w:tr w:rsidR="00F26B23" w:rsidRPr="00222275" w14:paraId="03D28C40" w14:textId="77777777" w:rsidTr="00187FAD">
        <w:trPr>
          <w:cnfStyle w:val="000000100000" w:firstRow="0" w:lastRow="0" w:firstColumn="0" w:lastColumn="0" w:oddVBand="0" w:evenVBand="0" w:oddHBand="1" w:evenHBand="0" w:firstRowFirstColumn="0" w:firstRowLastColumn="0" w:lastRowFirstColumn="0" w:lastRowLastColumn="0"/>
          <w:jc w:val="center"/>
        </w:trPr>
        <w:tc>
          <w:tcPr>
            <w:tcW w:w="2446" w:type="pct"/>
            <w:vAlign w:val="center"/>
          </w:tcPr>
          <w:p w14:paraId="39E1A3DF" w14:textId="77777777" w:rsidR="00F26B23" w:rsidRPr="00285716" w:rsidRDefault="00F26B23" w:rsidP="001A49DF">
            <w:pPr>
              <w:spacing w:before="60" w:after="60"/>
              <w:rPr>
                <w:rFonts w:ascii="Segoe UI Semilight" w:hAnsi="Segoe UI Semilight" w:cs="Segoe UI Semilight"/>
                <w:szCs w:val="22"/>
              </w:rPr>
            </w:pPr>
            <w:r w:rsidRPr="00285716">
              <w:rPr>
                <w:rFonts w:ascii="Segoe UI Semilight" w:hAnsi="Segoe UI Semilight" w:cs="Segoe UI Semilight"/>
                <w:szCs w:val="22"/>
              </w:rPr>
              <w:t>Domestic steel price</w:t>
            </w:r>
          </w:p>
        </w:tc>
        <w:tc>
          <w:tcPr>
            <w:tcW w:w="1277" w:type="pct"/>
            <w:vAlign w:val="center"/>
          </w:tcPr>
          <w:p w14:paraId="205863BA"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0.063%</w:t>
            </w:r>
          </w:p>
        </w:tc>
        <w:tc>
          <w:tcPr>
            <w:tcW w:w="1277" w:type="pct"/>
            <w:vAlign w:val="center"/>
          </w:tcPr>
          <w:p w14:paraId="79F69582"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0.075%</w:t>
            </w:r>
          </w:p>
        </w:tc>
      </w:tr>
      <w:tr w:rsidR="00F26B23" w:rsidRPr="00222275" w14:paraId="7C8CDF00" w14:textId="77777777" w:rsidTr="00187FAD">
        <w:trPr>
          <w:jc w:val="center"/>
        </w:trPr>
        <w:tc>
          <w:tcPr>
            <w:tcW w:w="2446" w:type="pct"/>
            <w:vAlign w:val="center"/>
          </w:tcPr>
          <w:p w14:paraId="3F5B15A4" w14:textId="77777777" w:rsidR="00F26B23" w:rsidRPr="00285716" w:rsidRDefault="00F26B23" w:rsidP="001A49DF">
            <w:pPr>
              <w:spacing w:before="60" w:after="60"/>
              <w:rPr>
                <w:rFonts w:ascii="Segoe UI Semilight" w:hAnsi="Segoe UI Semilight" w:cs="Segoe UI Semilight"/>
                <w:szCs w:val="22"/>
              </w:rPr>
            </w:pPr>
            <w:r w:rsidRPr="00285716">
              <w:rPr>
                <w:rFonts w:ascii="Segoe UI Semilight" w:hAnsi="Segoe UI Semilight" w:cs="Segoe UI Semilight"/>
                <w:szCs w:val="22"/>
              </w:rPr>
              <w:t>Domestic aluminium price</w:t>
            </w:r>
          </w:p>
        </w:tc>
        <w:tc>
          <w:tcPr>
            <w:tcW w:w="1277" w:type="pct"/>
            <w:vAlign w:val="center"/>
          </w:tcPr>
          <w:p w14:paraId="245A1CBB"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0.008%</w:t>
            </w:r>
          </w:p>
        </w:tc>
        <w:tc>
          <w:tcPr>
            <w:tcW w:w="1277" w:type="pct"/>
            <w:vAlign w:val="center"/>
          </w:tcPr>
          <w:p w14:paraId="300CF7D8"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0.014%</w:t>
            </w:r>
          </w:p>
        </w:tc>
      </w:tr>
      <w:tr w:rsidR="00F26B23" w:rsidRPr="00222275" w14:paraId="68AE2816" w14:textId="77777777" w:rsidTr="00187FAD">
        <w:trPr>
          <w:cnfStyle w:val="000000100000" w:firstRow="0" w:lastRow="0" w:firstColumn="0" w:lastColumn="0" w:oddVBand="0" w:evenVBand="0" w:oddHBand="1" w:evenHBand="0" w:firstRowFirstColumn="0" w:firstRowLastColumn="0" w:lastRowFirstColumn="0" w:lastRowLastColumn="0"/>
          <w:jc w:val="center"/>
        </w:trPr>
        <w:tc>
          <w:tcPr>
            <w:tcW w:w="2446" w:type="pct"/>
            <w:vAlign w:val="center"/>
          </w:tcPr>
          <w:p w14:paraId="4353F26B" w14:textId="77777777" w:rsidR="00F26B23" w:rsidRPr="00285716" w:rsidRDefault="00F26B23" w:rsidP="001A49DF">
            <w:pPr>
              <w:spacing w:before="60" w:after="60"/>
              <w:rPr>
                <w:rFonts w:ascii="Segoe UI Semilight" w:hAnsi="Segoe UI Semilight" w:cs="Segoe UI Semilight"/>
                <w:szCs w:val="22"/>
              </w:rPr>
            </w:pPr>
            <w:r w:rsidRPr="00285716">
              <w:rPr>
                <w:rFonts w:ascii="Segoe UI Semilight" w:hAnsi="Segoe UI Semilight" w:cs="Segoe UI Semilight"/>
                <w:szCs w:val="22"/>
              </w:rPr>
              <w:t>Steel import price</w:t>
            </w:r>
          </w:p>
        </w:tc>
        <w:tc>
          <w:tcPr>
            <w:tcW w:w="1277" w:type="pct"/>
            <w:vAlign w:val="center"/>
          </w:tcPr>
          <w:p w14:paraId="0687D09C"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-0.050%</w:t>
            </w:r>
          </w:p>
        </w:tc>
        <w:tc>
          <w:tcPr>
            <w:tcW w:w="1277" w:type="pct"/>
            <w:vAlign w:val="center"/>
          </w:tcPr>
          <w:p w14:paraId="235AAD11"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-0.050%</w:t>
            </w:r>
          </w:p>
        </w:tc>
      </w:tr>
      <w:tr w:rsidR="00F26B23" w:rsidRPr="00222275" w14:paraId="0831CE00" w14:textId="77777777" w:rsidTr="00187FAD">
        <w:trPr>
          <w:jc w:val="center"/>
        </w:trPr>
        <w:tc>
          <w:tcPr>
            <w:tcW w:w="2446" w:type="pct"/>
            <w:vAlign w:val="center"/>
          </w:tcPr>
          <w:p w14:paraId="7C44B5B2" w14:textId="77777777" w:rsidR="00F26B23" w:rsidRPr="00285716" w:rsidRDefault="00F26B23" w:rsidP="001A49DF">
            <w:pPr>
              <w:spacing w:before="60" w:after="60"/>
              <w:rPr>
                <w:rFonts w:ascii="Segoe UI Semilight" w:hAnsi="Segoe UI Semilight" w:cs="Segoe UI Semilight"/>
                <w:szCs w:val="22"/>
              </w:rPr>
            </w:pPr>
            <w:r w:rsidRPr="00285716">
              <w:rPr>
                <w:rFonts w:ascii="Segoe UI Semilight" w:hAnsi="Segoe UI Semilight" w:cs="Segoe UI Semilight"/>
                <w:szCs w:val="22"/>
              </w:rPr>
              <w:t>Aluminium import price</w:t>
            </w:r>
          </w:p>
        </w:tc>
        <w:tc>
          <w:tcPr>
            <w:tcW w:w="1277" w:type="pct"/>
            <w:vAlign w:val="center"/>
          </w:tcPr>
          <w:p w14:paraId="72FB6878"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-0.083%</w:t>
            </w:r>
          </w:p>
        </w:tc>
        <w:tc>
          <w:tcPr>
            <w:tcW w:w="1277" w:type="pct"/>
            <w:vAlign w:val="center"/>
          </w:tcPr>
          <w:p w14:paraId="31E3B8B5" w14:textId="77777777" w:rsidR="00F26B23" w:rsidRPr="00285716" w:rsidRDefault="00F26B23" w:rsidP="001A49DF">
            <w:pPr>
              <w:jc w:val="center"/>
              <w:rPr>
                <w:rFonts w:ascii="Segoe UI Semilight" w:hAnsi="Segoe UI Semilight" w:cs="Segoe UI Semilight"/>
                <w:szCs w:val="22"/>
              </w:rPr>
            </w:pPr>
            <w:r w:rsidRPr="00285716">
              <w:rPr>
                <w:rFonts w:ascii="Segoe UI Semilight" w:hAnsi="Segoe UI Semilight" w:cs="Segoe UI Semilight"/>
                <w:szCs w:val="22"/>
              </w:rPr>
              <w:t>-0.094%</w:t>
            </w:r>
          </w:p>
        </w:tc>
      </w:tr>
    </w:tbl>
    <w:p w14:paraId="79B88C18" w14:textId="40AE23EC" w:rsidR="00F26B23" w:rsidRPr="00034233" w:rsidRDefault="00F26B23" w:rsidP="007B2ED8">
      <w:pPr>
        <w:pStyle w:val="BodyText"/>
        <w:spacing w:before="120" w:after="120"/>
        <w:ind w:left="576"/>
        <w:rPr>
          <w:rFonts w:asciiTheme="minorHAnsi" w:hAnsiTheme="minorHAnsi" w:cs="Segoe UI"/>
          <w:b/>
          <w:sz w:val="20"/>
        </w:rPr>
      </w:pPr>
      <w:r w:rsidRPr="00034233">
        <w:rPr>
          <w:rFonts w:asciiTheme="minorHAnsi" w:hAnsiTheme="minorHAnsi" w:cs="Segoe UI"/>
          <w:b/>
          <w:sz w:val="20"/>
        </w:rPr>
        <w:t xml:space="preserve">Table </w:t>
      </w:r>
      <w:r w:rsidR="00034233" w:rsidRPr="00034233">
        <w:rPr>
          <w:rFonts w:asciiTheme="minorHAnsi" w:hAnsiTheme="minorHAnsi" w:cs="Segoe UI"/>
          <w:b/>
          <w:sz w:val="20"/>
        </w:rPr>
        <w:t>2</w:t>
      </w:r>
      <w:r w:rsidRPr="00034233">
        <w:rPr>
          <w:rFonts w:asciiTheme="minorHAnsi" w:hAnsiTheme="minorHAnsi" w:cs="Segoe UI"/>
          <w:b/>
          <w:sz w:val="20"/>
        </w:rPr>
        <w:t xml:space="preserve">: Excerpt from Cadence Report </w:t>
      </w:r>
      <w:r w:rsidR="00034233">
        <w:rPr>
          <w:rFonts w:asciiTheme="minorHAnsi" w:hAnsiTheme="minorHAnsi" w:cs="Segoe UI"/>
          <w:b/>
          <w:sz w:val="20"/>
        </w:rPr>
        <w:t>-</w:t>
      </w:r>
      <w:r w:rsidRPr="00034233">
        <w:rPr>
          <w:rFonts w:asciiTheme="minorHAnsi" w:hAnsiTheme="minorHAnsi" w:cs="Segoe UI"/>
          <w:b/>
          <w:sz w:val="20"/>
        </w:rPr>
        <w:t xml:space="preserve"> Projected macroeconomic impacts on Australia under the Proclamations with country exemptions (percentage deviation from reference case)</w:t>
      </w:r>
    </w:p>
    <w:p w14:paraId="4B28C8BE" w14:textId="0D13A285" w:rsidR="00D15D5F" w:rsidRPr="00187FAD" w:rsidRDefault="00D15D5F" w:rsidP="00E430BC">
      <w:pPr>
        <w:pStyle w:val="Heading3"/>
      </w:pPr>
      <w:r w:rsidRPr="00187FAD">
        <w:t>Scenario 2</w:t>
      </w:r>
    </w:p>
    <w:p w14:paraId="7B322667" w14:textId="4D15C214" w:rsidR="00227CFB" w:rsidRDefault="00227CFB" w:rsidP="00187FAD">
      <w:pPr>
        <w:spacing w:after="0"/>
        <w:rPr>
          <w:szCs w:val="22"/>
        </w:rPr>
      </w:pPr>
      <w:r w:rsidRPr="00187FAD">
        <w:rPr>
          <w:szCs w:val="22"/>
        </w:rPr>
        <w:t>Under this scenario, Australian imports of steel are projected to fall by just under 11.7 thousand metric tonnes in 2020</w:t>
      </w:r>
      <w:r w:rsidR="008236EC">
        <w:rPr>
          <w:szCs w:val="22"/>
        </w:rPr>
        <w:t xml:space="preserve"> off a reference case</w:t>
      </w:r>
      <w:r w:rsidRPr="00187FAD">
        <w:rPr>
          <w:szCs w:val="22"/>
        </w:rPr>
        <w:t xml:space="preserve">. </w:t>
      </w:r>
    </w:p>
    <w:p w14:paraId="7D2ABE64" w14:textId="77777777" w:rsidR="00227CFB" w:rsidRPr="00187FAD" w:rsidRDefault="00227CFB" w:rsidP="00187FAD">
      <w:pPr>
        <w:spacing w:after="0"/>
        <w:rPr>
          <w:szCs w:val="22"/>
        </w:rPr>
      </w:pPr>
    </w:p>
    <w:p w14:paraId="1D907660" w14:textId="42909931" w:rsidR="00227CFB" w:rsidRPr="00187FAD" w:rsidRDefault="00227CFB" w:rsidP="00187FAD">
      <w:pPr>
        <w:spacing w:after="0"/>
        <w:rPr>
          <w:szCs w:val="22"/>
        </w:rPr>
      </w:pPr>
      <w:r w:rsidRPr="00187FAD">
        <w:rPr>
          <w:szCs w:val="22"/>
        </w:rPr>
        <w:t>In the case of aluminium, Australian imports are projected to fall by just under 1,200 metric tonnes in 2020</w:t>
      </w:r>
      <w:r w:rsidR="008236EC">
        <w:rPr>
          <w:szCs w:val="22"/>
        </w:rPr>
        <w:t xml:space="preserve"> off a reference case</w:t>
      </w:r>
      <w:r w:rsidRPr="00187FAD">
        <w:rPr>
          <w:szCs w:val="22"/>
        </w:rPr>
        <w:t xml:space="preserve">. </w:t>
      </w:r>
    </w:p>
    <w:p w14:paraId="15D9E194" w14:textId="77777777" w:rsidR="00227CFB" w:rsidRDefault="00227CFB" w:rsidP="00187FAD">
      <w:pPr>
        <w:spacing w:after="0"/>
        <w:rPr>
          <w:szCs w:val="22"/>
        </w:rPr>
      </w:pPr>
    </w:p>
    <w:p w14:paraId="3C67A943" w14:textId="411B3A64" w:rsidR="00227CFB" w:rsidRPr="00187FAD" w:rsidRDefault="00D15D5F" w:rsidP="00187FAD">
      <w:pPr>
        <w:spacing w:after="0"/>
        <w:rPr>
          <w:szCs w:val="22"/>
        </w:rPr>
      </w:pPr>
      <w:r w:rsidRPr="00187FAD">
        <w:rPr>
          <w:szCs w:val="22"/>
        </w:rPr>
        <w:lastRenderedPageBreak/>
        <w:t>At the macroeconomic level Real GDP is projected to fall by around 0.007 per cent and real investment by 0.037 per cent in 2020</w:t>
      </w:r>
      <w:r w:rsidR="008236EC">
        <w:rPr>
          <w:szCs w:val="22"/>
        </w:rPr>
        <w:t xml:space="preserve"> off a reference case</w:t>
      </w:r>
      <w:r w:rsidRPr="00187FAD">
        <w:rPr>
          <w:szCs w:val="22"/>
        </w:rPr>
        <w:t xml:space="preserve">. </w:t>
      </w:r>
    </w:p>
    <w:p w14:paraId="5FF814DD" w14:textId="77777777" w:rsidR="00AD4F9A" w:rsidRDefault="00AD4F9A" w:rsidP="00187FAD">
      <w:pPr>
        <w:spacing w:after="0"/>
        <w:jc w:val="both"/>
        <w:rPr>
          <w:szCs w:val="22"/>
        </w:rPr>
      </w:pPr>
    </w:p>
    <w:p w14:paraId="44E7AFD5" w14:textId="5590DF27" w:rsidR="00F26B23" w:rsidRDefault="00F26B23" w:rsidP="00187FAD">
      <w:pPr>
        <w:spacing w:after="0"/>
        <w:jc w:val="both"/>
        <w:rPr>
          <w:szCs w:val="22"/>
        </w:rPr>
      </w:pPr>
      <w:r>
        <w:rPr>
          <w:szCs w:val="22"/>
        </w:rPr>
        <w:t xml:space="preserve">Key findings are summarised below. </w:t>
      </w:r>
    </w:p>
    <w:p w14:paraId="77AB97E9" w14:textId="77777777" w:rsidR="00D15D5F" w:rsidRDefault="00D15D5F" w:rsidP="002C511D">
      <w:pPr>
        <w:spacing w:after="0"/>
      </w:pPr>
    </w:p>
    <w:tbl>
      <w:tblPr>
        <w:tblStyle w:val="PlainTable5"/>
        <w:tblW w:w="3140" w:type="pct"/>
        <w:jc w:val="center"/>
        <w:tblLook w:val="0420" w:firstRow="1" w:lastRow="0" w:firstColumn="0" w:lastColumn="0" w:noHBand="0" w:noVBand="1"/>
      </w:tblPr>
      <w:tblGrid>
        <w:gridCol w:w="1723"/>
        <w:gridCol w:w="1813"/>
        <w:gridCol w:w="2449"/>
      </w:tblGrid>
      <w:tr w:rsidR="00222541" w:rsidRPr="00290C5A" w14:paraId="5A66E929" w14:textId="77777777" w:rsidTr="00187FAD">
        <w:trPr>
          <w:cnfStyle w:val="100000000000" w:firstRow="1" w:lastRow="0" w:firstColumn="0" w:lastColumn="0" w:oddVBand="0" w:evenVBand="0" w:oddHBand="0" w:evenHBand="0" w:firstRowFirstColumn="0" w:firstRowLastColumn="0" w:lastRowFirstColumn="0" w:lastRowLastColumn="0"/>
          <w:trHeight w:val="344"/>
          <w:jc w:val="center"/>
        </w:trPr>
        <w:tc>
          <w:tcPr>
            <w:tcW w:w="1439" w:type="pct"/>
            <w:tcBorders>
              <w:top w:val="single" w:sz="4" w:space="0" w:color="auto"/>
              <w:left w:val="single" w:sz="4" w:space="0" w:color="auto"/>
              <w:right w:val="nil"/>
            </w:tcBorders>
            <w:hideMark/>
          </w:tcPr>
          <w:p w14:paraId="7EBC49AA" w14:textId="2947370C" w:rsidR="00222541" w:rsidRPr="00187FAD" w:rsidRDefault="00285716" w:rsidP="00CA4080">
            <w:pPr>
              <w:rPr>
                <w:rFonts w:ascii="Segoe UI Semilight" w:hAnsi="Segoe UI Semilight" w:cs="Segoe UI Semilight"/>
                <w:b/>
                <w:i w:val="0"/>
                <w:sz w:val="26"/>
              </w:rPr>
            </w:pPr>
            <w:r>
              <w:rPr>
                <w:b/>
              </w:rPr>
              <w:br w:type="page"/>
            </w:r>
            <w:r w:rsidR="00222541" w:rsidRPr="00290C5A">
              <w:rPr>
                <w:rFonts w:ascii="Segoe UI Semilight" w:hAnsi="Segoe UI Semilight" w:cs="Segoe UI Semilight"/>
                <w:b/>
                <w:i w:val="0"/>
                <w:sz w:val="20"/>
              </w:rPr>
              <w:t>Variable</w:t>
            </w:r>
          </w:p>
        </w:tc>
        <w:tc>
          <w:tcPr>
            <w:tcW w:w="1515" w:type="pct"/>
            <w:tcBorders>
              <w:top w:val="single" w:sz="4" w:space="0" w:color="auto"/>
              <w:left w:val="nil"/>
              <w:right w:val="nil"/>
            </w:tcBorders>
            <w:hideMark/>
          </w:tcPr>
          <w:p w14:paraId="1862FB71" w14:textId="77777777" w:rsidR="00222541" w:rsidRPr="00187FAD" w:rsidRDefault="00222541" w:rsidP="00CA4080">
            <w:pPr>
              <w:spacing w:before="0"/>
              <w:jc w:val="right"/>
              <w:rPr>
                <w:rFonts w:ascii="Segoe UI Semilight" w:hAnsi="Segoe UI Semilight" w:cs="Segoe UI Semilight"/>
                <w:b/>
                <w:i w:val="0"/>
                <w:szCs w:val="22"/>
              </w:rPr>
            </w:pPr>
            <w:r w:rsidRPr="00187FAD">
              <w:rPr>
                <w:rFonts w:ascii="Segoe UI Semilight" w:hAnsi="Segoe UI Semilight" w:cs="Segoe UI Semilight"/>
                <w:b/>
                <w:szCs w:val="22"/>
              </w:rPr>
              <w:t>2018</w:t>
            </w:r>
          </w:p>
        </w:tc>
        <w:tc>
          <w:tcPr>
            <w:tcW w:w="2046" w:type="pct"/>
            <w:tcBorders>
              <w:top w:val="single" w:sz="4" w:space="0" w:color="auto"/>
              <w:left w:val="nil"/>
              <w:right w:val="single" w:sz="4" w:space="0" w:color="auto"/>
            </w:tcBorders>
            <w:hideMark/>
          </w:tcPr>
          <w:p w14:paraId="2854DB1E" w14:textId="77777777" w:rsidR="00222541" w:rsidRPr="00187FAD" w:rsidRDefault="00222541" w:rsidP="00CA4080">
            <w:pPr>
              <w:spacing w:before="0"/>
              <w:jc w:val="right"/>
              <w:rPr>
                <w:rFonts w:ascii="Segoe UI Semilight" w:hAnsi="Segoe UI Semilight" w:cs="Segoe UI Semilight"/>
                <w:b/>
                <w:i w:val="0"/>
                <w:szCs w:val="22"/>
              </w:rPr>
            </w:pPr>
            <w:r w:rsidRPr="00187FAD">
              <w:rPr>
                <w:rFonts w:ascii="Segoe UI Semilight" w:hAnsi="Segoe UI Semilight" w:cs="Segoe UI Semilight"/>
                <w:b/>
                <w:szCs w:val="22"/>
              </w:rPr>
              <w:t>2020</w:t>
            </w:r>
          </w:p>
        </w:tc>
      </w:tr>
      <w:tr w:rsidR="00222541" w:rsidRPr="00222275" w14:paraId="61A48702" w14:textId="77777777" w:rsidTr="00187FAD">
        <w:trPr>
          <w:cnfStyle w:val="000000100000" w:firstRow="0" w:lastRow="0" w:firstColumn="0" w:lastColumn="0" w:oddVBand="0" w:evenVBand="0" w:oddHBand="1" w:evenHBand="0" w:firstRowFirstColumn="0" w:firstRowLastColumn="0" w:lastRowFirstColumn="0" w:lastRowLastColumn="0"/>
          <w:trHeight w:val="667"/>
          <w:jc w:val="center"/>
        </w:trPr>
        <w:tc>
          <w:tcPr>
            <w:tcW w:w="1439" w:type="pct"/>
            <w:tcBorders>
              <w:left w:val="single" w:sz="4" w:space="0" w:color="auto"/>
            </w:tcBorders>
            <w:vAlign w:val="bottom"/>
            <w:hideMark/>
          </w:tcPr>
          <w:p w14:paraId="390BACE0" w14:textId="77777777" w:rsidR="00222541" w:rsidRPr="00222275" w:rsidRDefault="00222541" w:rsidP="00CA4080">
            <w:pPr>
              <w:spacing w:before="60" w:after="60"/>
              <w:rPr>
                <w:rFonts w:ascii="Segoe UI Semilight" w:hAnsi="Segoe UI Semilight" w:cs="Segoe UI Semilight"/>
                <w:szCs w:val="22"/>
              </w:rPr>
            </w:pPr>
            <w:r>
              <w:rPr>
                <w:rFonts w:ascii="Segoe UI Semilight" w:hAnsi="Segoe UI Semilight" w:cs="Segoe UI Semilight"/>
                <w:szCs w:val="22"/>
              </w:rPr>
              <w:t>Real GDP</w:t>
            </w:r>
          </w:p>
        </w:tc>
        <w:tc>
          <w:tcPr>
            <w:tcW w:w="1515" w:type="pct"/>
            <w:vAlign w:val="bottom"/>
            <w:hideMark/>
          </w:tcPr>
          <w:p w14:paraId="0FF3E532" w14:textId="77777777" w:rsidR="00222541" w:rsidRPr="00582C53" w:rsidRDefault="00222541" w:rsidP="00CA4080">
            <w:pPr>
              <w:jc w:val="right"/>
              <w:rPr>
                <w:rFonts w:ascii="Segoe UI Semilight" w:hAnsi="Segoe UI Semilight" w:cs="Segoe UI Semilight"/>
                <w:szCs w:val="22"/>
              </w:rPr>
            </w:pPr>
            <w:r>
              <w:rPr>
                <w:rFonts w:ascii="Segoe UI Semilight" w:hAnsi="Segoe UI Semilight" w:cs="Segoe UI Semilight"/>
                <w:color w:val="000000"/>
              </w:rPr>
              <w:t>-</w:t>
            </w:r>
            <w:r w:rsidRPr="00582C53">
              <w:rPr>
                <w:rFonts w:ascii="Segoe UI Semilight" w:hAnsi="Segoe UI Semilight" w:cs="Segoe UI Semilight"/>
                <w:color w:val="000000"/>
              </w:rPr>
              <w:t>0.001%</w:t>
            </w:r>
          </w:p>
        </w:tc>
        <w:tc>
          <w:tcPr>
            <w:tcW w:w="2046" w:type="pct"/>
            <w:tcBorders>
              <w:right w:val="single" w:sz="4" w:space="0" w:color="auto"/>
            </w:tcBorders>
            <w:vAlign w:val="bottom"/>
            <w:hideMark/>
          </w:tcPr>
          <w:p w14:paraId="1AAC5E26" w14:textId="77777777" w:rsidR="00222541" w:rsidRPr="00582C53" w:rsidRDefault="00222541" w:rsidP="00CA4080">
            <w:pPr>
              <w:jc w:val="right"/>
              <w:rPr>
                <w:rFonts w:ascii="Segoe UI Semilight" w:hAnsi="Segoe UI Semilight" w:cs="Segoe UI Semilight"/>
                <w:szCs w:val="22"/>
              </w:rPr>
            </w:pPr>
            <w:r w:rsidRPr="00582C53">
              <w:rPr>
                <w:rFonts w:ascii="Segoe UI Semilight" w:hAnsi="Segoe UI Semilight" w:cs="Segoe UI Semilight"/>
                <w:color w:val="000000"/>
              </w:rPr>
              <w:t>-0.007%</w:t>
            </w:r>
          </w:p>
        </w:tc>
      </w:tr>
      <w:tr w:rsidR="00222541" w:rsidRPr="00222275" w14:paraId="5EE40872" w14:textId="77777777" w:rsidTr="00187FAD">
        <w:trPr>
          <w:trHeight w:val="667"/>
          <w:jc w:val="center"/>
        </w:trPr>
        <w:tc>
          <w:tcPr>
            <w:tcW w:w="1439" w:type="pct"/>
            <w:tcBorders>
              <w:left w:val="single" w:sz="4" w:space="0" w:color="auto"/>
            </w:tcBorders>
            <w:vAlign w:val="bottom"/>
            <w:hideMark/>
          </w:tcPr>
          <w:p w14:paraId="7FDC4232" w14:textId="77777777" w:rsidR="00222541" w:rsidRPr="00222275" w:rsidRDefault="00222541" w:rsidP="00CA4080">
            <w:pPr>
              <w:spacing w:before="60" w:after="60"/>
              <w:rPr>
                <w:rFonts w:ascii="Segoe UI Semilight" w:hAnsi="Segoe UI Semilight" w:cs="Segoe UI Semilight"/>
                <w:szCs w:val="22"/>
              </w:rPr>
            </w:pPr>
            <w:r>
              <w:rPr>
                <w:rFonts w:ascii="Segoe UI Semilight" w:hAnsi="Segoe UI Semilight" w:cs="Segoe UI Semilight"/>
                <w:szCs w:val="22"/>
              </w:rPr>
              <w:t>Real investment</w:t>
            </w:r>
          </w:p>
        </w:tc>
        <w:tc>
          <w:tcPr>
            <w:tcW w:w="1515" w:type="pct"/>
            <w:vAlign w:val="bottom"/>
            <w:hideMark/>
          </w:tcPr>
          <w:p w14:paraId="3FE47CA3" w14:textId="77777777" w:rsidR="00222541" w:rsidRPr="00582C53" w:rsidRDefault="00222541" w:rsidP="00CA4080">
            <w:pPr>
              <w:jc w:val="right"/>
              <w:rPr>
                <w:rFonts w:ascii="Segoe UI Semilight" w:hAnsi="Segoe UI Semilight" w:cs="Segoe UI Semilight"/>
                <w:szCs w:val="22"/>
              </w:rPr>
            </w:pPr>
            <w:r w:rsidRPr="00582C53">
              <w:rPr>
                <w:rFonts w:ascii="Segoe UI Semilight" w:hAnsi="Segoe UI Semilight" w:cs="Segoe UI Semilight"/>
                <w:color w:val="000000"/>
              </w:rPr>
              <w:t>-0.011%</w:t>
            </w:r>
          </w:p>
        </w:tc>
        <w:tc>
          <w:tcPr>
            <w:tcW w:w="2046" w:type="pct"/>
            <w:tcBorders>
              <w:right w:val="single" w:sz="4" w:space="0" w:color="auto"/>
            </w:tcBorders>
            <w:vAlign w:val="bottom"/>
            <w:hideMark/>
          </w:tcPr>
          <w:p w14:paraId="3B8E5873" w14:textId="77777777" w:rsidR="00222541" w:rsidRPr="00582C53" w:rsidRDefault="00222541" w:rsidP="00CA4080">
            <w:pPr>
              <w:jc w:val="right"/>
              <w:rPr>
                <w:rFonts w:ascii="Segoe UI Semilight" w:hAnsi="Segoe UI Semilight" w:cs="Segoe UI Semilight"/>
                <w:szCs w:val="22"/>
              </w:rPr>
            </w:pPr>
            <w:r w:rsidRPr="00582C53">
              <w:rPr>
                <w:rFonts w:ascii="Segoe UI Semilight" w:hAnsi="Segoe UI Semilight" w:cs="Segoe UI Semilight"/>
                <w:color w:val="000000"/>
              </w:rPr>
              <w:t>-0.037%</w:t>
            </w:r>
          </w:p>
        </w:tc>
      </w:tr>
      <w:tr w:rsidR="00222541" w:rsidRPr="00222275" w14:paraId="6363F23A" w14:textId="77777777" w:rsidTr="00187FAD">
        <w:trPr>
          <w:cnfStyle w:val="000000100000" w:firstRow="0" w:lastRow="0" w:firstColumn="0" w:lastColumn="0" w:oddVBand="0" w:evenVBand="0" w:oddHBand="1" w:evenHBand="0" w:firstRowFirstColumn="0" w:firstRowLastColumn="0" w:lastRowFirstColumn="0" w:lastRowLastColumn="0"/>
          <w:trHeight w:val="667"/>
          <w:jc w:val="center"/>
        </w:trPr>
        <w:tc>
          <w:tcPr>
            <w:tcW w:w="1439" w:type="pct"/>
            <w:tcBorders>
              <w:left w:val="single" w:sz="4" w:space="0" w:color="auto"/>
            </w:tcBorders>
            <w:vAlign w:val="bottom"/>
            <w:hideMark/>
          </w:tcPr>
          <w:p w14:paraId="6D24E0FE" w14:textId="77777777" w:rsidR="00222541" w:rsidRPr="00222275" w:rsidRDefault="00222541" w:rsidP="00CA4080">
            <w:pPr>
              <w:spacing w:before="60" w:after="60"/>
              <w:rPr>
                <w:rFonts w:ascii="Segoe UI Semilight" w:hAnsi="Segoe UI Semilight" w:cs="Segoe UI Semilight"/>
                <w:szCs w:val="22"/>
              </w:rPr>
            </w:pPr>
            <w:r>
              <w:rPr>
                <w:rFonts w:ascii="Segoe UI Semilight" w:hAnsi="Segoe UI Semilight" w:cs="Segoe UI Semilight"/>
                <w:szCs w:val="22"/>
              </w:rPr>
              <w:t>Steel output</w:t>
            </w:r>
          </w:p>
        </w:tc>
        <w:tc>
          <w:tcPr>
            <w:tcW w:w="1515" w:type="pct"/>
            <w:vAlign w:val="bottom"/>
            <w:hideMark/>
          </w:tcPr>
          <w:p w14:paraId="3AD85979" w14:textId="77777777" w:rsidR="00222541" w:rsidRPr="00582C53" w:rsidRDefault="00222541" w:rsidP="00CA4080">
            <w:pPr>
              <w:jc w:val="right"/>
              <w:rPr>
                <w:rFonts w:ascii="Segoe UI Semilight" w:hAnsi="Segoe UI Semilight" w:cs="Segoe UI Semilight"/>
                <w:szCs w:val="22"/>
              </w:rPr>
            </w:pPr>
            <w:r w:rsidRPr="00582C53">
              <w:rPr>
                <w:rFonts w:ascii="Segoe UI Semilight" w:hAnsi="Segoe UI Semilight" w:cs="Segoe UI Semilight"/>
                <w:color w:val="000000"/>
              </w:rPr>
              <w:t>-0.311%</w:t>
            </w:r>
          </w:p>
        </w:tc>
        <w:tc>
          <w:tcPr>
            <w:tcW w:w="2046" w:type="pct"/>
            <w:tcBorders>
              <w:right w:val="single" w:sz="4" w:space="0" w:color="auto"/>
            </w:tcBorders>
            <w:vAlign w:val="bottom"/>
            <w:hideMark/>
          </w:tcPr>
          <w:p w14:paraId="18ED51B3" w14:textId="77777777" w:rsidR="00222541" w:rsidRPr="00582C53" w:rsidRDefault="00222541" w:rsidP="00CA4080">
            <w:pPr>
              <w:jc w:val="right"/>
              <w:rPr>
                <w:rFonts w:ascii="Segoe UI Semilight" w:hAnsi="Segoe UI Semilight" w:cs="Segoe UI Semilight"/>
                <w:szCs w:val="22"/>
              </w:rPr>
            </w:pPr>
            <w:r w:rsidRPr="00582C53">
              <w:rPr>
                <w:rFonts w:ascii="Segoe UI Semilight" w:hAnsi="Segoe UI Semilight" w:cs="Segoe UI Semilight"/>
                <w:color w:val="000000"/>
              </w:rPr>
              <w:t>-0.305%</w:t>
            </w:r>
          </w:p>
        </w:tc>
      </w:tr>
      <w:tr w:rsidR="00222541" w:rsidRPr="00222275" w14:paraId="53D8B4BE" w14:textId="77777777" w:rsidTr="00187FAD">
        <w:trPr>
          <w:trHeight w:val="673"/>
          <w:jc w:val="center"/>
        </w:trPr>
        <w:tc>
          <w:tcPr>
            <w:tcW w:w="1439" w:type="pct"/>
            <w:tcBorders>
              <w:left w:val="single" w:sz="4" w:space="0" w:color="auto"/>
            </w:tcBorders>
            <w:vAlign w:val="bottom"/>
            <w:hideMark/>
          </w:tcPr>
          <w:p w14:paraId="0C508FBD" w14:textId="77777777" w:rsidR="00222541" w:rsidRPr="00222275" w:rsidRDefault="00222541" w:rsidP="00CA4080">
            <w:pPr>
              <w:spacing w:before="60" w:after="60"/>
              <w:rPr>
                <w:rFonts w:ascii="Segoe UI Semilight" w:hAnsi="Segoe UI Semilight" w:cs="Segoe UI Semilight"/>
                <w:szCs w:val="22"/>
              </w:rPr>
            </w:pPr>
            <w:r>
              <w:rPr>
                <w:rFonts w:ascii="Segoe UI Semilight" w:hAnsi="Segoe UI Semilight" w:cs="Segoe UI Semilight"/>
                <w:szCs w:val="22"/>
              </w:rPr>
              <w:t>Aluminium output</w:t>
            </w:r>
          </w:p>
        </w:tc>
        <w:tc>
          <w:tcPr>
            <w:tcW w:w="1515" w:type="pct"/>
            <w:vAlign w:val="bottom"/>
            <w:hideMark/>
          </w:tcPr>
          <w:p w14:paraId="09A6F205" w14:textId="77777777" w:rsidR="00222541" w:rsidRPr="00582C53" w:rsidRDefault="00222541" w:rsidP="00CA4080">
            <w:pPr>
              <w:jc w:val="right"/>
              <w:rPr>
                <w:rFonts w:ascii="Segoe UI Semilight" w:hAnsi="Segoe UI Semilight" w:cs="Segoe UI Semilight"/>
                <w:szCs w:val="22"/>
              </w:rPr>
            </w:pPr>
            <w:r w:rsidRPr="00582C53">
              <w:rPr>
                <w:rFonts w:ascii="Segoe UI Semilight" w:hAnsi="Segoe UI Semilight" w:cs="Segoe UI Semilight"/>
                <w:color w:val="000000"/>
              </w:rPr>
              <w:t>-0.018%</w:t>
            </w:r>
          </w:p>
        </w:tc>
        <w:tc>
          <w:tcPr>
            <w:tcW w:w="2046" w:type="pct"/>
            <w:tcBorders>
              <w:right w:val="single" w:sz="4" w:space="0" w:color="auto"/>
            </w:tcBorders>
            <w:vAlign w:val="bottom"/>
            <w:hideMark/>
          </w:tcPr>
          <w:p w14:paraId="649F71AC" w14:textId="77777777" w:rsidR="00222541" w:rsidRPr="00582C53" w:rsidRDefault="00222541" w:rsidP="00CA4080">
            <w:pPr>
              <w:jc w:val="right"/>
              <w:rPr>
                <w:rFonts w:ascii="Segoe UI Semilight" w:hAnsi="Segoe UI Semilight" w:cs="Segoe UI Semilight"/>
                <w:szCs w:val="22"/>
              </w:rPr>
            </w:pPr>
            <w:r w:rsidRPr="00582C53">
              <w:rPr>
                <w:rFonts w:ascii="Segoe UI Semilight" w:hAnsi="Segoe UI Semilight" w:cs="Segoe UI Semilight"/>
                <w:color w:val="000000"/>
              </w:rPr>
              <w:t>-0.052%</w:t>
            </w:r>
          </w:p>
        </w:tc>
      </w:tr>
      <w:tr w:rsidR="00222541" w:rsidRPr="00222275" w14:paraId="6E097DFD" w14:textId="77777777" w:rsidTr="00187FAD">
        <w:trPr>
          <w:cnfStyle w:val="000000100000" w:firstRow="0" w:lastRow="0" w:firstColumn="0" w:lastColumn="0" w:oddVBand="0" w:evenVBand="0" w:oddHBand="1" w:evenHBand="0" w:firstRowFirstColumn="0" w:firstRowLastColumn="0" w:lastRowFirstColumn="0" w:lastRowLastColumn="0"/>
          <w:trHeight w:val="667"/>
          <w:jc w:val="center"/>
        </w:trPr>
        <w:tc>
          <w:tcPr>
            <w:tcW w:w="1439" w:type="pct"/>
            <w:tcBorders>
              <w:left w:val="single" w:sz="4" w:space="0" w:color="auto"/>
            </w:tcBorders>
            <w:vAlign w:val="bottom"/>
          </w:tcPr>
          <w:p w14:paraId="3B9AAE06" w14:textId="77777777" w:rsidR="00222541" w:rsidRDefault="00222541" w:rsidP="00CA4080">
            <w:pPr>
              <w:spacing w:before="60" w:after="60"/>
              <w:rPr>
                <w:rFonts w:ascii="Segoe UI Semilight" w:hAnsi="Segoe UI Semilight" w:cs="Segoe UI Semilight"/>
                <w:szCs w:val="22"/>
              </w:rPr>
            </w:pPr>
            <w:r>
              <w:rPr>
                <w:rFonts w:ascii="Segoe UI Semilight" w:hAnsi="Segoe UI Semilight" w:cs="Segoe UI Semilight"/>
                <w:szCs w:val="22"/>
              </w:rPr>
              <w:t>Domestic steel price</w:t>
            </w:r>
          </w:p>
        </w:tc>
        <w:tc>
          <w:tcPr>
            <w:tcW w:w="1515" w:type="pct"/>
            <w:vAlign w:val="bottom"/>
          </w:tcPr>
          <w:p w14:paraId="3812DD38" w14:textId="77777777" w:rsidR="00222541" w:rsidRPr="0055651E" w:rsidRDefault="00222541" w:rsidP="00CA4080">
            <w:pPr>
              <w:jc w:val="right"/>
              <w:rPr>
                <w:rFonts w:ascii="Segoe UI Semilight" w:hAnsi="Segoe UI Semilight" w:cs="Segoe UI Semilight"/>
                <w:color w:val="000000"/>
              </w:rPr>
            </w:pPr>
            <w:r w:rsidRPr="0055651E">
              <w:rPr>
                <w:rFonts w:ascii="Segoe UI Semilight" w:hAnsi="Segoe UI Semilight" w:cs="Segoe UI Semilight"/>
                <w:color w:val="000000"/>
                <w:szCs w:val="22"/>
              </w:rPr>
              <w:t>-0.084%</w:t>
            </w:r>
          </w:p>
        </w:tc>
        <w:tc>
          <w:tcPr>
            <w:tcW w:w="2046" w:type="pct"/>
            <w:tcBorders>
              <w:right w:val="single" w:sz="4" w:space="0" w:color="auto"/>
            </w:tcBorders>
            <w:vAlign w:val="bottom"/>
          </w:tcPr>
          <w:p w14:paraId="46BD7A4C" w14:textId="77777777" w:rsidR="00222541" w:rsidRPr="0055651E" w:rsidRDefault="00222541" w:rsidP="00CA4080">
            <w:pPr>
              <w:jc w:val="right"/>
              <w:rPr>
                <w:rFonts w:ascii="Segoe UI Semilight" w:hAnsi="Segoe UI Semilight" w:cs="Segoe UI Semilight"/>
                <w:color w:val="000000"/>
              </w:rPr>
            </w:pPr>
            <w:r w:rsidRPr="0055651E">
              <w:rPr>
                <w:rFonts w:ascii="Segoe UI Semilight" w:hAnsi="Segoe UI Semilight" w:cs="Segoe UI Semilight"/>
                <w:color w:val="000000"/>
                <w:szCs w:val="22"/>
              </w:rPr>
              <w:t>-0.099%</w:t>
            </w:r>
          </w:p>
        </w:tc>
      </w:tr>
      <w:tr w:rsidR="00222541" w:rsidRPr="00222275" w14:paraId="249EF55F" w14:textId="77777777" w:rsidTr="00187FAD">
        <w:trPr>
          <w:trHeight w:val="766"/>
          <w:jc w:val="center"/>
        </w:trPr>
        <w:tc>
          <w:tcPr>
            <w:tcW w:w="1439" w:type="pct"/>
            <w:tcBorders>
              <w:left w:val="single" w:sz="4" w:space="0" w:color="auto"/>
            </w:tcBorders>
            <w:vAlign w:val="bottom"/>
          </w:tcPr>
          <w:p w14:paraId="7D333E94" w14:textId="77777777" w:rsidR="00222541" w:rsidRDefault="00222541" w:rsidP="00CA4080">
            <w:pPr>
              <w:spacing w:before="60" w:after="60"/>
              <w:rPr>
                <w:rFonts w:ascii="Segoe UI Semilight" w:hAnsi="Segoe UI Semilight" w:cs="Segoe UI Semilight"/>
                <w:szCs w:val="22"/>
              </w:rPr>
            </w:pPr>
            <w:r>
              <w:rPr>
                <w:rFonts w:ascii="Segoe UI Semilight" w:hAnsi="Segoe UI Semilight" w:cs="Segoe UI Semilight"/>
                <w:szCs w:val="22"/>
              </w:rPr>
              <w:t>Domestic aluminium price</w:t>
            </w:r>
          </w:p>
        </w:tc>
        <w:tc>
          <w:tcPr>
            <w:tcW w:w="1515" w:type="pct"/>
            <w:vAlign w:val="bottom"/>
          </w:tcPr>
          <w:p w14:paraId="31F4B4B8" w14:textId="77777777" w:rsidR="00222541" w:rsidRPr="0055651E" w:rsidRDefault="00222541" w:rsidP="00CA4080">
            <w:pPr>
              <w:jc w:val="right"/>
              <w:rPr>
                <w:rFonts w:ascii="Segoe UI Semilight" w:hAnsi="Segoe UI Semilight" w:cs="Segoe UI Semilight"/>
                <w:color w:val="000000"/>
                <w:szCs w:val="22"/>
              </w:rPr>
            </w:pPr>
            <w:r w:rsidRPr="0055651E">
              <w:rPr>
                <w:rFonts w:ascii="Segoe UI Semilight" w:hAnsi="Segoe UI Semilight" w:cs="Segoe UI Semilight"/>
                <w:color w:val="000000"/>
                <w:szCs w:val="22"/>
              </w:rPr>
              <w:t>-0.024%</w:t>
            </w:r>
          </w:p>
        </w:tc>
        <w:tc>
          <w:tcPr>
            <w:tcW w:w="2046" w:type="pct"/>
            <w:tcBorders>
              <w:right w:val="single" w:sz="4" w:space="0" w:color="auto"/>
            </w:tcBorders>
            <w:vAlign w:val="bottom"/>
          </w:tcPr>
          <w:p w14:paraId="13C5C18D" w14:textId="77777777" w:rsidR="00222541" w:rsidRPr="0055651E" w:rsidRDefault="00222541" w:rsidP="00CA4080">
            <w:pPr>
              <w:jc w:val="right"/>
              <w:rPr>
                <w:rFonts w:ascii="Segoe UI Semilight" w:hAnsi="Segoe UI Semilight" w:cs="Segoe UI Semilight"/>
                <w:color w:val="000000"/>
                <w:szCs w:val="22"/>
              </w:rPr>
            </w:pPr>
            <w:r w:rsidRPr="0055651E">
              <w:rPr>
                <w:rFonts w:ascii="Segoe UI Semilight" w:hAnsi="Segoe UI Semilight" w:cs="Segoe UI Semilight"/>
                <w:color w:val="000000"/>
                <w:szCs w:val="22"/>
              </w:rPr>
              <w:t>-0.029%</w:t>
            </w:r>
          </w:p>
        </w:tc>
      </w:tr>
      <w:tr w:rsidR="00222541" w:rsidRPr="00222275" w14:paraId="15FFEB62" w14:textId="77777777" w:rsidTr="00187FAD">
        <w:trPr>
          <w:cnfStyle w:val="000000100000" w:firstRow="0" w:lastRow="0" w:firstColumn="0" w:lastColumn="0" w:oddVBand="0" w:evenVBand="0" w:oddHBand="1" w:evenHBand="0" w:firstRowFirstColumn="0" w:firstRowLastColumn="0" w:lastRowFirstColumn="0" w:lastRowLastColumn="0"/>
          <w:trHeight w:val="673"/>
          <w:jc w:val="center"/>
        </w:trPr>
        <w:tc>
          <w:tcPr>
            <w:tcW w:w="1439" w:type="pct"/>
            <w:tcBorders>
              <w:left w:val="single" w:sz="4" w:space="0" w:color="auto"/>
            </w:tcBorders>
            <w:vAlign w:val="bottom"/>
          </w:tcPr>
          <w:p w14:paraId="01380B5E" w14:textId="77777777" w:rsidR="00222541" w:rsidRDefault="00222541" w:rsidP="00CA4080">
            <w:pPr>
              <w:spacing w:before="60" w:after="60"/>
              <w:rPr>
                <w:rFonts w:ascii="Segoe UI Semilight" w:hAnsi="Segoe UI Semilight" w:cs="Segoe UI Semilight"/>
                <w:szCs w:val="22"/>
              </w:rPr>
            </w:pPr>
            <w:r>
              <w:rPr>
                <w:rFonts w:ascii="Segoe UI Semilight" w:hAnsi="Segoe UI Semilight" w:cs="Segoe UI Semilight"/>
                <w:szCs w:val="22"/>
              </w:rPr>
              <w:t>Steel import price</w:t>
            </w:r>
          </w:p>
        </w:tc>
        <w:tc>
          <w:tcPr>
            <w:tcW w:w="1515" w:type="pct"/>
            <w:vAlign w:val="bottom"/>
          </w:tcPr>
          <w:p w14:paraId="5E18BE0F" w14:textId="77777777" w:rsidR="00222541" w:rsidRPr="0055651E" w:rsidRDefault="00222541" w:rsidP="00CA4080">
            <w:pPr>
              <w:jc w:val="right"/>
              <w:rPr>
                <w:rFonts w:ascii="Segoe UI Semilight" w:hAnsi="Segoe UI Semilight" w:cs="Segoe UI Semilight"/>
                <w:color w:val="000000"/>
                <w:szCs w:val="22"/>
              </w:rPr>
            </w:pPr>
            <w:r>
              <w:rPr>
                <w:rFonts w:ascii="Segoe UI Semilight" w:hAnsi="Segoe UI Semilight" w:cs="Segoe UI Semilight"/>
                <w:color w:val="000000"/>
                <w:szCs w:val="22"/>
              </w:rPr>
              <w:t>-</w:t>
            </w:r>
            <w:r w:rsidRPr="0055651E">
              <w:rPr>
                <w:rFonts w:ascii="Segoe UI Semilight" w:hAnsi="Segoe UI Semilight" w:cs="Segoe UI Semilight"/>
                <w:color w:val="000000"/>
                <w:szCs w:val="22"/>
              </w:rPr>
              <w:t>0.000%</w:t>
            </w:r>
          </w:p>
        </w:tc>
        <w:tc>
          <w:tcPr>
            <w:tcW w:w="2046" w:type="pct"/>
            <w:tcBorders>
              <w:right w:val="single" w:sz="4" w:space="0" w:color="auto"/>
            </w:tcBorders>
            <w:vAlign w:val="bottom"/>
          </w:tcPr>
          <w:p w14:paraId="76402608" w14:textId="77777777" w:rsidR="00222541" w:rsidRPr="0055651E" w:rsidRDefault="00222541" w:rsidP="00CA4080">
            <w:pPr>
              <w:jc w:val="right"/>
              <w:rPr>
                <w:rFonts w:ascii="Segoe UI Semilight" w:hAnsi="Segoe UI Semilight" w:cs="Segoe UI Semilight"/>
                <w:color w:val="000000"/>
                <w:szCs w:val="22"/>
              </w:rPr>
            </w:pPr>
            <w:r>
              <w:rPr>
                <w:rFonts w:ascii="Segoe UI Semilight" w:hAnsi="Segoe UI Semilight" w:cs="Segoe UI Semilight"/>
                <w:color w:val="000000"/>
                <w:szCs w:val="22"/>
              </w:rPr>
              <w:t>-</w:t>
            </w:r>
            <w:r w:rsidRPr="0055651E">
              <w:rPr>
                <w:rFonts w:ascii="Segoe UI Semilight" w:hAnsi="Segoe UI Semilight" w:cs="Segoe UI Semilight"/>
                <w:color w:val="000000"/>
                <w:szCs w:val="22"/>
              </w:rPr>
              <w:t>0.002%</w:t>
            </w:r>
          </w:p>
        </w:tc>
      </w:tr>
      <w:tr w:rsidR="00222541" w:rsidRPr="00222275" w14:paraId="695FD1C0" w14:textId="77777777" w:rsidTr="00187FAD">
        <w:trPr>
          <w:trHeight w:val="667"/>
          <w:jc w:val="center"/>
        </w:trPr>
        <w:tc>
          <w:tcPr>
            <w:tcW w:w="1439" w:type="pct"/>
            <w:tcBorders>
              <w:left w:val="single" w:sz="4" w:space="0" w:color="auto"/>
              <w:bottom w:val="single" w:sz="4" w:space="0" w:color="auto"/>
            </w:tcBorders>
            <w:vAlign w:val="bottom"/>
          </w:tcPr>
          <w:p w14:paraId="15F5C66D" w14:textId="77777777" w:rsidR="00222541" w:rsidRDefault="00222541" w:rsidP="00CA4080">
            <w:pPr>
              <w:spacing w:before="60" w:after="60"/>
              <w:rPr>
                <w:rFonts w:ascii="Segoe UI Semilight" w:hAnsi="Segoe UI Semilight" w:cs="Segoe UI Semilight"/>
                <w:szCs w:val="22"/>
              </w:rPr>
            </w:pPr>
            <w:r>
              <w:rPr>
                <w:rFonts w:ascii="Segoe UI Semilight" w:hAnsi="Segoe UI Semilight" w:cs="Segoe UI Semilight"/>
                <w:szCs w:val="22"/>
              </w:rPr>
              <w:t>Aluminium import price</w:t>
            </w:r>
          </w:p>
        </w:tc>
        <w:tc>
          <w:tcPr>
            <w:tcW w:w="1515" w:type="pct"/>
            <w:tcBorders>
              <w:bottom w:val="single" w:sz="4" w:space="0" w:color="auto"/>
            </w:tcBorders>
            <w:vAlign w:val="bottom"/>
          </w:tcPr>
          <w:p w14:paraId="10CA0371" w14:textId="77777777" w:rsidR="00222541" w:rsidRPr="0055651E" w:rsidRDefault="00222541" w:rsidP="00CA4080">
            <w:pPr>
              <w:jc w:val="right"/>
              <w:rPr>
                <w:rFonts w:ascii="Segoe UI Semilight" w:hAnsi="Segoe UI Semilight" w:cs="Segoe UI Semilight"/>
                <w:color w:val="000000"/>
                <w:szCs w:val="22"/>
              </w:rPr>
            </w:pPr>
            <w:r w:rsidRPr="0055651E">
              <w:rPr>
                <w:rFonts w:ascii="Segoe UI Semilight" w:hAnsi="Segoe UI Semilight" w:cs="Segoe UI Semilight"/>
                <w:color w:val="000000"/>
                <w:szCs w:val="22"/>
              </w:rPr>
              <w:t>-0.025%</w:t>
            </w:r>
          </w:p>
        </w:tc>
        <w:tc>
          <w:tcPr>
            <w:tcW w:w="2046" w:type="pct"/>
            <w:tcBorders>
              <w:bottom w:val="single" w:sz="4" w:space="0" w:color="auto"/>
              <w:right w:val="single" w:sz="4" w:space="0" w:color="auto"/>
            </w:tcBorders>
            <w:vAlign w:val="bottom"/>
          </w:tcPr>
          <w:p w14:paraId="30F2B03D" w14:textId="77777777" w:rsidR="00222541" w:rsidRPr="0055651E" w:rsidRDefault="00222541" w:rsidP="00CA4080">
            <w:pPr>
              <w:jc w:val="right"/>
              <w:rPr>
                <w:rFonts w:ascii="Segoe UI Semilight" w:hAnsi="Segoe UI Semilight" w:cs="Segoe UI Semilight"/>
                <w:color w:val="000000"/>
                <w:szCs w:val="22"/>
              </w:rPr>
            </w:pPr>
            <w:r w:rsidRPr="0055651E">
              <w:rPr>
                <w:rFonts w:ascii="Segoe UI Semilight" w:hAnsi="Segoe UI Semilight" w:cs="Segoe UI Semilight"/>
                <w:color w:val="000000"/>
                <w:szCs w:val="22"/>
              </w:rPr>
              <w:t>-0.031%</w:t>
            </w:r>
          </w:p>
        </w:tc>
      </w:tr>
    </w:tbl>
    <w:p w14:paraId="7AA55FB7" w14:textId="7C8844A5" w:rsidR="00222541" w:rsidRPr="007B2ED8" w:rsidRDefault="00222541" w:rsidP="007B2ED8">
      <w:pPr>
        <w:pStyle w:val="BodyText"/>
        <w:spacing w:before="120" w:after="120"/>
        <w:ind w:left="576"/>
        <w:rPr>
          <w:rFonts w:asciiTheme="minorHAnsi" w:hAnsiTheme="minorHAnsi" w:cs="Segoe UI"/>
          <w:b/>
          <w:sz w:val="20"/>
        </w:rPr>
      </w:pPr>
      <w:r w:rsidRPr="007B2ED8">
        <w:rPr>
          <w:rFonts w:asciiTheme="minorHAnsi" w:hAnsiTheme="minorHAnsi" w:cs="Segoe UI"/>
          <w:b/>
          <w:sz w:val="20"/>
        </w:rPr>
        <w:t xml:space="preserve">Table </w:t>
      </w:r>
      <w:r w:rsidR="00034233" w:rsidRPr="007B2ED8">
        <w:rPr>
          <w:rFonts w:asciiTheme="minorHAnsi" w:hAnsiTheme="minorHAnsi" w:cs="Segoe UI"/>
          <w:b/>
          <w:sz w:val="20"/>
        </w:rPr>
        <w:t>3</w:t>
      </w:r>
      <w:r w:rsidRPr="007B2ED8">
        <w:rPr>
          <w:rFonts w:asciiTheme="minorHAnsi" w:hAnsiTheme="minorHAnsi" w:cs="Segoe UI"/>
          <w:b/>
          <w:sz w:val="20"/>
        </w:rPr>
        <w:t xml:space="preserve">: </w:t>
      </w:r>
      <w:r w:rsidR="00034233" w:rsidRPr="007B2ED8">
        <w:rPr>
          <w:rFonts w:asciiTheme="minorHAnsi" w:hAnsiTheme="minorHAnsi" w:cs="Segoe UI"/>
          <w:b/>
          <w:sz w:val="20"/>
        </w:rPr>
        <w:t>Excerpt from Cadence report - P</w:t>
      </w:r>
      <w:r w:rsidRPr="007B2ED8">
        <w:rPr>
          <w:rFonts w:asciiTheme="minorHAnsi" w:hAnsiTheme="minorHAnsi" w:cs="Segoe UI"/>
          <w:b/>
          <w:sz w:val="20"/>
        </w:rPr>
        <w:t>rojected macroeconomic impacts on Australia under the Proclamations without country exemptions (percentage deviation from reference case)</w:t>
      </w:r>
    </w:p>
    <w:p w14:paraId="5BDA85C7" w14:textId="4FD03916" w:rsidR="00B7367F" w:rsidRPr="009D7CCD" w:rsidRDefault="001E54D5" w:rsidP="009D7CCD">
      <w:pPr>
        <w:pStyle w:val="Heading3"/>
      </w:pPr>
      <w:bookmarkStart w:id="61" w:name="_Toc517257520"/>
      <w:r w:rsidRPr="009D7CCD">
        <w:t>S</w:t>
      </w:r>
      <w:r w:rsidR="00B7367F" w:rsidRPr="009D7CCD">
        <w:t>tate of affairs</w:t>
      </w:r>
      <w:bookmarkEnd w:id="61"/>
      <w:r w:rsidRPr="009D7CCD">
        <w:t xml:space="preserve"> as at 31 May 2018</w:t>
      </w:r>
    </w:p>
    <w:p w14:paraId="1E10DF24" w14:textId="7DBFF52B" w:rsidR="00C21F96" w:rsidRPr="00116B8A" w:rsidRDefault="00345A6F" w:rsidP="00C21F96">
      <w:pPr>
        <w:rPr>
          <w:szCs w:val="22"/>
        </w:rPr>
      </w:pPr>
      <w:r>
        <w:rPr>
          <w:szCs w:val="22"/>
        </w:rPr>
        <w:t>The ADC enquired of Cadence the likely impacts of the state of affairs</w:t>
      </w:r>
      <w:r w:rsidR="003242F8">
        <w:rPr>
          <w:szCs w:val="22"/>
        </w:rPr>
        <w:t xml:space="preserve"> with the</w:t>
      </w:r>
      <w:r w:rsidR="00116B8A">
        <w:rPr>
          <w:szCs w:val="22"/>
        </w:rPr>
        <w:t xml:space="preserve"> </w:t>
      </w:r>
      <w:r w:rsidR="00C21F96">
        <w:t>tariffs applying to imports from all countries except:</w:t>
      </w:r>
    </w:p>
    <w:p w14:paraId="084D3C4D" w14:textId="396AFEE9" w:rsidR="00C21F96" w:rsidRPr="00285C31" w:rsidRDefault="00C21F96" w:rsidP="00285C31">
      <w:pPr>
        <w:pStyle w:val="ListParagraph"/>
        <w:numPr>
          <w:ilvl w:val="0"/>
          <w:numId w:val="58"/>
        </w:numPr>
        <w:rPr>
          <w:szCs w:val="22"/>
        </w:rPr>
      </w:pPr>
      <w:r w:rsidRPr="00285C31">
        <w:rPr>
          <w:szCs w:val="22"/>
        </w:rPr>
        <w:t xml:space="preserve">Australia, Argentina, </w:t>
      </w:r>
      <w:r w:rsidR="001E54D5">
        <w:rPr>
          <w:szCs w:val="22"/>
        </w:rPr>
        <w:t xml:space="preserve">South </w:t>
      </w:r>
      <w:r w:rsidRPr="00285C31">
        <w:rPr>
          <w:szCs w:val="22"/>
        </w:rPr>
        <w:t xml:space="preserve">Korea and Brazil in relation to steel. Argentina, </w:t>
      </w:r>
      <w:r w:rsidR="001E54D5">
        <w:rPr>
          <w:szCs w:val="22"/>
        </w:rPr>
        <w:t xml:space="preserve">South </w:t>
      </w:r>
      <w:r w:rsidRPr="00285C31">
        <w:rPr>
          <w:szCs w:val="22"/>
        </w:rPr>
        <w:t>Korea and Brazil are subject to quota arrangements</w:t>
      </w:r>
    </w:p>
    <w:p w14:paraId="160F0FBF" w14:textId="77777777" w:rsidR="00C21F96" w:rsidRPr="00285C31" w:rsidRDefault="00C21F96" w:rsidP="00285C31">
      <w:pPr>
        <w:pStyle w:val="ListParagraph"/>
        <w:numPr>
          <w:ilvl w:val="0"/>
          <w:numId w:val="58"/>
        </w:numPr>
        <w:rPr>
          <w:szCs w:val="22"/>
        </w:rPr>
      </w:pPr>
      <w:r w:rsidRPr="00285C31">
        <w:rPr>
          <w:szCs w:val="22"/>
        </w:rPr>
        <w:t>Australia and Argentina in relation to aluminium. Argentina is subject to a quota arrangement.</w:t>
      </w:r>
    </w:p>
    <w:p w14:paraId="31906B33" w14:textId="7C561D11" w:rsidR="00B7367F" w:rsidRDefault="00345A6F" w:rsidP="001C42C6">
      <w:pPr>
        <w:rPr>
          <w:szCs w:val="22"/>
        </w:rPr>
      </w:pPr>
      <w:r>
        <w:rPr>
          <w:szCs w:val="22"/>
        </w:rPr>
        <w:t xml:space="preserve"> Cadence advised:</w:t>
      </w:r>
    </w:p>
    <w:p w14:paraId="1F8A2896" w14:textId="582DC151" w:rsidR="00345A6F" w:rsidRPr="00345A6F" w:rsidRDefault="00345A6F" w:rsidP="00345A6F">
      <w:pPr>
        <w:ind w:left="576"/>
        <w:rPr>
          <w:i/>
          <w:szCs w:val="22"/>
        </w:rPr>
      </w:pPr>
      <w:r w:rsidRPr="00345A6F">
        <w:rPr>
          <w:i/>
          <w:szCs w:val="22"/>
        </w:rPr>
        <w:t>Given our conclusion was that the impacts of the proposed increases in steel and aluminium tariffs were ‘immaterial’ from an Australian perspective under both scenarios, we have no reason to believe that this conclusion would be changed in light of the 31 May proclamation. This is because the outcome of this proclamation lies within the range of our existing results.</w:t>
      </w:r>
    </w:p>
    <w:p w14:paraId="78698EC4" w14:textId="333A94E1" w:rsidR="001A49DF" w:rsidRPr="001D5209" w:rsidRDefault="001A49DF" w:rsidP="00661C06">
      <w:pPr>
        <w:pStyle w:val="Heading2"/>
      </w:pPr>
      <w:bookmarkStart w:id="62" w:name="_Toc517257521"/>
      <w:bookmarkStart w:id="63" w:name="_Toc520359264"/>
      <w:r w:rsidRPr="001D5209">
        <w:lastRenderedPageBreak/>
        <w:t>Limitations</w:t>
      </w:r>
      <w:bookmarkEnd w:id="62"/>
      <w:bookmarkEnd w:id="63"/>
    </w:p>
    <w:p w14:paraId="102BAD31" w14:textId="0207D8BF" w:rsidR="001A49DF" w:rsidRPr="00187FAD" w:rsidRDefault="001A49DF" w:rsidP="001C42C6">
      <w:pPr>
        <w:rPr>
          <w:szCs w:val="22"/>
        </w:rPr>
      </w:pPr>
      <w:r>
        <w:rPr>
          <w:szCs w:val="22"/>
        </w:rPr>
        <w:t xml:space="preserve">I recognise that the figures above can only be estimates </w:t>
      </w:r>
      <w:r w:rsidR="00187FAD">
        <w:rPr>
          <w:szCs w:val="22"/>
        </w:rPr>
        <w:t>from</w:t>
      </w:r>
      <w:r>
        <w:rPr>
          <w:szCs w:val="22"/>
        </w:rPr>
        <w:t xml:space="preserve"> an economic model. What </w:t>
      </w:r>
      <w:r w:rsidR="001E54D5">
        <w:rPr>
          <w:szCs w:val="22"/>
        </w:rPr>
        <w:t xml:space="preserve">also </w:t>
      </w:r>
      <w:r>
        <w:rPr>
          <w:szCs w:val="22"/>
        </w:rPr>
        <w:t>matters is the impact on the ground and what mechanisms are in place to deal with</w:t>
      </w:r>
      <w:r w:rsidR="001D5209">
        <w:rPr>
          <w:szCs w:val="22"/>
        </w:rPr>
        <w:t xml:space="preserve"> any increased level of imports arriving in Australia</w:t>
      </w:r>
      <w:r w:rsidR="007036D5">
        <w:rPr>
          <w:szCs w:val="22"/>
        </w:rPr>
        <w:t xml:space="preserve"> at</w:t>
      </w:r>
      <w:r w:rsidR="001E54D5">
        <w:rPr>
          <w:szCs w:val="22"/>
        </w:rPr>
        <w:t xml:space="preserve"> injurious</w:t>
      </w:r>
      <w:r w:rsidR="007036D5">
        <w:rPr>
          <w:szCs w:val="22"/>
        </w:rPr>
        <w:t xml:space="preserve"> dumped or subsidised prices</w:t>
      </w:r>
      <w:r w:rsidR="001D5209">
        <w:rPr>
          <w:szCs w:val="22"/>
        </w:rPr>
        <w:t xml:space="preserve">. These are discussed in the </w:t>
      </w:r>
      <w:r w:rsidR="003242F8">
        <w:rPr>
          <w:szCs w:val="22"/>
        </w:rPr>
        <w:t>following</w:t>
      </w:r>
      <w:r w:rsidR="001D5209">
        <w:rPr>
          <w:szCs w:val="22"/>
        </w:rPr>
        <w:t xml:space="preserve"> chapter</w:t>
      </w:r>
      <w:r w:rsidR="00146794">
        <w:rPr>
          <w:szCs w:val="22"/>
        </w:rPr>
        <w:t>s</w:t>
      </w:r>
      <w:r w:rsidR="001D5209">
        <w:rPr>
          <w:szCs w:val="22"/>
        </w:rPr>
        <w:t xml:space="preserve">. </w:t>
      </w:r>
      <w:r>
        <w:rPr>
          <w:szCs w:val="22"/>
        </w:rPr>
        <w:t xml:space="preserve">    </w:t>
      </w:r>
    </w:p>
    <w:p w14:paraId="5C79D39B" w14:textId="024B9AE5" w:rsidR="00004B4B" w:rsidRPr="00C3180D" w:rsidRDefault="002C511D" w:rsidP="00004B4B">
      <w:pPr>
        <w:pStyle w:val="Heading1"/>
        <w:shd w:val="clear" w:color="auto" w:fill="E0E0E0"/>
        <w:tabs>
          <w:tab w:val="num" w:pos="540"/>
        </w:tabs>
        <w:ind w:left="540" w:hanging="540"/>
        <w:jc w:val="left"/>
      </w:pPr>
      <w:bookmarkStart w:id="64" w:name="_Toc517257522"/>
      <w:bookmarkStart w:id="65" w:name="_Toc520359265"/>
      <w:r>
        <w:lastRenderedPageBreak/>
        <w:t xml:space="preserve">EXISTING </w:t>
      </w:r>
      <w:r w:rsidR="001A49DF">
        <w:t>MECHANISMS</w:t>
      </w:r>
      <w:bookmarkEnd w:id="64"/>
      <w:bookmarkEnd w:id="65"/>
    </w:p>
    <w:p w14:paraId="2D650677" w14:textId="0212B9A2" w:rsidR="00E4084C" w:rsidRDefault="00E4084C" w:rsidP="00E4084C">
      <w:pPr>
        <w:rPr>
          <w:lang w:eastAsia="en-US"/>
        </w:rPr>
      </w:pPr>
      <w:bookmarkStart w:id="66" w:name="_Toc255998179"/>
      <w:bookmarkStart w:id="67" w:name="_Toc255998180"/>
      <w:bookmarkStart w:id="68" w:name="_Toc143512358"/>
      <w:bookmarkStart w:id="69" w:name="_Toc143579381"/>
      <w:bookmarkStart w:id="70" w:name="_Toc257039548"/>
      <w:bookmarkEnd w:id="66"/>
      <w:bookmarkEnd w:id="67"/>
      <w:r w:rsidRPr="00FB79F2">
        <w:rPr>
          <w:lang w:eastAsia="en-US"/>
        </w:rPr>
        <w:t xml:space="preserve">Australia has </w:t>
      </w:r>
      <w:r w:rsidR="001E54D5">
        <w:rPr>
          <w:lang w:eastAsia="en-US"/>
        </w:rPr>
        <w:t xml:space="preserve">a </w:t>
      </w:r>
      <w:r w:rsidRPr="00FB79F2">
        <w:rPr>
          <w:lang w:eastAsia="en-US"/>
        </w:rPr>
        <w:t>robust</w:t>
      </w:r>
      <w:r w:rsidR="001E54D5">
        <w:rPr>
          <w:lang w:eastAsia="en-US"/>
        </w:rPr>
        <w:t xml:space="preserve"> anti-dumping and countervailing </w:t>
      </w:r>
      <w:r w:rsidR="00B403A3">
        <w:rPr>
          <w:lang w:eastAsia="en-US"/>
        </w:rPr>
        <w:t xml:space="preserve">system </w:t>
      </w:r>
      <w:r w:rsidRPr="00FB79F2">
        <w:rPr>
          <w:lang w:eastAsia="en-US"/>
        </w:rPr>
        <w:t xml:space="preserve">in place </w:t>
      </w:r>
      <w:r w:rsidR="001E54D5">
        <w:rPr>
          <w:lang w:eastAsia="en-US"/>
        </w:rPr>
        <w:t xml:space="preserve">managed by the Anti-Dumping Commission (ADC) </w:t>
      </w:r>
      <w:r w:rsidRPr="00FB79F2">
        <w:rPr>
          <w:lang w:eastAsia="en-US"/>
        </w:rPr>
        <w:t xml:space="preserve">to deal with any concerns arising </w:t>
      </w:r>
      <w:r w:rsidR="00B132E2" w:rsidRPr="00FB79F2">
        <w:rPr>
          <w:lang w:eastAsia="en-US"/>
        </w:rPr>
        <w:t xml:space="preserve">from </w:t>
      </w:r>
      <w:r w:rsidRPr="00FB79F2">
        <w:rPr>
          <w:lang w:eastAsia="en-US"/>
        </w:rPr>
        <w:t>potential increased levels of imports</w:t>
      </w:r>
      <w:r w:rsidR="007036D5">
        <w:rPr>
          <w:lang w:eastAsia="en-US"/>
        </w:rPr>
        <w:t xml:space="preserve"> at dumped or subsidised prices</w:t>
      </w:r>
      <w:r w:rsidR="001E54D5">
        <w:rPr>
          <w:lang w:eastAsia="en-US"/>
        </w:rPr>
        <w:t>.</w:t>
      </w:r>
    </w:p>
    <w:p w14:paraId="100AF09B" w14:textId="0D1A62A1" w:rsidR="00E4084C" w:rsidRPr="00187FAD" w:rsidRDefault="00E4084C" w:rsidP="00661C06">
      <w:pPr>
        <w:pStyle w:val="Heading2"/>
      </w:pPr>
      <w:bookmarkStart w:id="71" w:name="_Toc519257080"/>
      <w:bookmarkStart w:id="72" w:name="_Toc517257523"/>
      <w:bookmarkStart w:id="73" w:name="_Toc520359266"/>
      <w:bookmarkEnd w:id="71"/>
      <w:r w:rsidRPr="00187FAD">
        <w:t>Anti-dumping and countervailing</w:t>
      </w:r>
      <w:bookmarkEnd w:id="72"/>
      <w:bookmarkEnd w:id="73"/>
    </w:p>
    <w:p w14:paraId="27BD6616" w14:textId="1ACDBD0D" w:rsidR="00236C09" w:rsidRDefault="00236C09" w:rsidP="00B403A3">
      <w:pPr>
        <w:rPr>
          <w:lang w:eastAsia="en-US"/>
        </w:rPr>
      </w:pPr>
      <w:r>
        <w:rPr>
          <w:lang w:eastAsia="en-US"/>
        </w:rPr>
        <w:t xml:space="preserve">Where dumped or subsidised goods have been found to be causing material injury to </w:t>
      </w:r>
      <w:r w:rsidR="002E644E">
        <w:rPr>
          <w:lang w:eastAsia="en-US"/>
        </w:rPr>
        <w:t>domestic</w:t>
      </w:r>
      <w:r>
        <w:rPr>
          <w:lang w:eastAsia="en-US"/>
        </w:rPr>
        <w:t xml:space="preserve"> manufacturers or producers, remedies in the form of dumping or countervailing duties can be imposed. </w:t>
      </w:r>
    </w:p>
    <w:p w14:paraId="63B5C5B4" w14:textId="5862725C" w:rsidR="00415298" w:rsidRDefault="00B403A3" w:rsidP="00B403A3">
      <w:pPr>
        <w:rPr>
          <w:rFonts w:ascii="Helvetica" w:hAnsi="Helvetica" w:cs="Helvetica"/>
          <w:color w:val="666666"/>
          <w:sz w:val="20"/>
          <w:szCs w:val="20"/>
          <w:lang w:val="en"/>
        </w:rPr>
      </w:pPr>
      <w:r w:rsidRPr="001346B0">
        <w:rPr>
          <w:lang w:eastAsia="en-US"/>
        </w:rPr>
        <w:t xml:space="preserve">Dumping occurs when goods exported to Australia are priced lower than their </w:t>
      </w:r>
      <w:r>
        <w:rPr>
          <w:lang w:eastAsia="en-US"/>
        </w:rPr>
        <w:t>‘</w:t>
      </w:r>
      <w:r w:rsidRPr="00B403A3">
        <w:rPr>
          <w:lang w:eastAsia="en-US"/>
        </w:rPr>
        <w:t>normal value</w:t>
      </w:r>
      <w:r>
        <w:rPr>
          <w:lang w:eastAsia="en-US"/>
        </w:rPr>
        <w:t>’</w:t>
      </w:r>
      <w:r w:rsidR="00415298">
        <w:rPr>
          <w:rStyle w:val="FootnoteReference"/>
          <w:lang w:eastAsia="en-US"/>
        </w:rPr>
        <w:footnoteReference w:id="16"/>
      </w:r>
      <w:r w:rsidRPr="001346B0">
        <w:rPr>
          <w:lang w:eastAsia="en-US"/>
        </w:rPr>
        <w:t xml:space="preserve"> which is usually the comparable price in the ordinary course of trade in the exporter's domestic market</w:t>
      </w:r>
      <w:r w:rsidR="00415298">
        <w:rPr>
          <w:rStyle w:val="FootnoteReference"/>
          <w:lang w:eastAsia="en-US"/>
        </w:rPr>
        <w:footnoteReference w:id="17"/>
      </w:r>
      <w:r w:rsidR="00415298" w:rsidRPr="001346B0">
        <w:rPr>
          <w:lang w:eastAsia="en-US"/>
        </w:rPr>
        <w:t>.</w:t>
      </w:r>
      <w:r w:rsidR="00415298">
        <w:rPr>
          <w:lang w:eastAsia="en-US"/>
        </w:rPr>
        <w:t xml:space="preserve"> A reduction for any reason in the price of goods exported to Australia </w:t>
      </w:r>
      <w:r w:rsidR="0032142F">
        <w:rPr>
          <w:lang w:eastAsia="en-US"/>
        </w:rPr>
        <w:t>below</w:t>
      </w:r>
      <w:r w:rsidR="00415298">
        <w:rPr>
          <w:lang w:eastAsia="en-US"/>
        </w:rPr>
        <w:t xml:space="preserve"> the ‘normal value’ may result in the product being considered dumped.  </w:t>
      </w:r>
    </w:p>
    <w:p w14:paraId="304E6493" w14:textId="51DC4079" w:rsidR="00B403A3" w:rsidRPr="001346B0" w:rsidRDefault="00B403A3" w:rsidP="00B403A3">
      <w:pPr>
        <w:rPr>
          <w:lang w:eastAsia="en-US"/>
        </w:rPr>
      </w:pPr>
      <w:r w:rsidRPr="001346B0">
        <w:rPr>
          <w:lang w:eastAsia="en-US"/>
        </w:rPr>
        <w:t>A subsidy is any financial assistance (or income or price support) by a government that benefits, either directly or indirectly, an exporter of the goods to Australia</w:t>
      </w:r>
      <w:r>
        <w:rPr>
          <w:rStyle w:val="FootnoteReference"/>
          <w:lang w:eastAsia="en-US"/>
        </w:rPr>
        <w:footnoteReference w:id="18"/>
      </w:r>
      <w:r w:rsidRPr="001346B0">
        <w:rPr>
          <w:lang w:eastAsia="en-US"/>
        </w:rPr>
        <w:t>.</w:t>
      </w:r>
      <w:r w:rsidR="00236C09">
        <w:rPr>
          <w:lang w:eastAsia="en-US"/>
        </w:rPr>
        <w:t xml:space="preserve"> For a subsidy to be considered ‘countervailable’, it needs to meet certain criteria. </w:t>
      </w:r>
    </w:p>
    <w:p w14:paraId="093B66D8" w14:textId="6595CE73" w:rsidR="00391C40" w:rsidRPr="00FB79F2" w:rsidRDefault="00B132E2" w:rsidP="00B132E2">
      <w:r w:rsidRPr="00FB79F2">
        <w:t xml:space="preserve">The anti-dumping and countervailing system is demand-driven. The ADC responds to requests from applicants for the imposition of duties where </w:t>
      </w:r>
      <w:r w:rsidR="005E2516">
        <w:t>applicants</w:t>
      </w:r>
      <w:r w:rsidRPr="00FB79F2">
        <w:t xml:space="preserve"> believe the products are being dumped or subsidised and is causing</w:t>
      </w:r>
      <w:r w:rsidR="00932381">
        <w:t xml:space="preserve"> or threatening to cause</w:t>
      </w:r>
      <w:r w:rsidRPr="00FB79F2">
        <w:t xml:space="preserve"> them material injury. It is a robust </w:t>
      </w:r>
      <w:r w:rsidR="00391C40" w:rsidRPr="00FB79F2">
        <w:t xml:space="preserve">and effective system </w:t>
      </w:r>
      <w:r w:rsidRPr="00FB79F2">
        <w:t xml:space="preserve">and </w:t>
      </w:r>
      <w:r w:rsidR="00391C40" w:rsidRPr="00FB79F2">
        <w:t>is an essential part of the Government’s commitment to free and fair trade.</w:t>
      </w:r>
    </w:p>
    <w:p w14:paraId="07FBBC46" w14:textId="77777777" w:rsidR="00B132E2" w:rsidRPr="00FB79F2" w:rsidRDefault="00391C40" w:rsidP="00B132E2">
      <w:r w:rsidRPr="00FB79F2">
        <w:t>Investigations, and any resulting measures, are in response to applications from industry and reflect market conditions. Any measures imposed reflect the outcome of an independent, rigorous and transparent investigation</w:t>
      </w:r>
      <w:r w:rsidR="00B132E2" w:rsidRPr="00FB79F2">
        <w:t xml:space="preserve"> conducted by the ADC</w:t>
      </w:r>
      <w:r w:rsidRPr="00FB79F2">
        <w:t>.</w:t>
      </w:r>
      <w:r w:rsidR="00B132E2" w:rsidRPr="00FB79F2">
        <w:t xml:space="preserve"> </w:t>
      </w:r>
    </w:p>
    <w:p w14:paraId="66B08CD4" w14:textId="13A20CBD" w:rsidR="00B132E2" w:rsidRPr="00FB79F2" w:rsidRDefault="00B132E2" w:rsidP="00B132E2">
      <w:r w:rsidRPr="00FB79F2">
        <w:t xml:space="preserve">As part of the investigation process, I can impose interim dumping duties as early as 60 days after an investigation commences if there are good reasons for believing at that stage that </w:t>
      </w:r>
      <w:r w:rsidR="00FB79F2">
        <w:t>measures</w:t>
      </w:r>
      <w:r w:rsidR="001E54D5">
        <w:t xml:space="preserve"> are necessary to prevent injury during the investigation. </w:t>
      </w:r>
      <w:r w:rsidRPr="00FB79F2">
        <w:t xml:space="preserve">These interim measures provide relief to the local industry while the investigation continues. </w:t>
      </w:r>
      <w:r w:rsidR="00F92E76">
        <w:t xml:space="preserve">I am committed to making a </w:t>
      </w:r>
      <w:r w:rsidR="005055A2">
        <w:t>Preliminary Affirmative Determination (</w:t>
      </w:r>
      <w:r w:rsidR="00F92E76">
        <w:t>PAD</w:t>
      </w:r>
      <w:r w:rsidR="005055A2">
        <w:t>)</w:t>
      </w:r>
      <w:r w:rsidR="00F92E76">
        <w:t xml:space="preserve"> as soon as I believe there are sufficient grounds to do so.  </w:t>
      </w:r>
    </w:p>
    <w:p w14:paraId="55AAA7D0" w14:textId="4FA26CFC" w:rsidR="00CA4F1C" w:rsidRDefault="00B132E2" w:rsidP="00391C40">
      <w:r w:rsidRPr="00FB79F2">
        <w:t>T</w:t>
      </w:r>
      <w:r w:rsidR="00391C40" w:rsidRPr="00FB79F2">
        <w:t xml:space="preserve">here are </w:t>
      </w:r>
      <w:r w:rsidR="001C7FB5">
        <w:t xml:space="preserve">a </w:t>
      </w:r>
      <w:r w:rsidR="005055A2">
        <w:t>significant number of</w:t>
      </w:r>
      <w:r w:rsidR="005055A2" w:rsidRPr="00FB79F2">
        <w:t xml:space="preserve"> </w:t>
      </w:r>
      <w:r w:rsidR="00391C40" w:rsidRPr="00FB79F2">
        <w:t xml:space="preserve">dumping duties applying to steel and aluminium products imported into Australia. </w:t>
      </w:r>
      <w:r w:rsidR="007036D5">
        <w:t>It may be possible that o</w:t>
      </w:r>
      <w:r w:rsidR="00391C40" w:rsidRPr="00FB79F2">
        <w:t>verseas exporters that</w:t>
      </w:r>
      <w:r w:rsidR="007036D5">
        <w:t xml:space="preserve"> become uncompetitive in the US market</w:t>
      </w:r>
      <w:r w:rsidR="00391C40" w:rsidRPr="00FB79F2">
        <w:t xml:space="preserve"> may seek to redirect exports to Australia</w:t>
      </w:r>
      <w:r w:rsidR="007036D5">
        <w:t>. However, they would be</w:t>
      </w:r>
      <w:r w:rsidR="005055A2">
        <w:t xml:space="preserve"> required to meet</w:t>
      </w:r>
      <w:r w:rsidR="00391C40" w:rsidRPr="00FB79F2">
        <w:t xml:space="preserve"> the duties already in place in the Australian market</w:t>
      </w:r>
      <w:r w:rsidR="005055A2">
        <w:t xml:space="preserve"> for these products</w:t>
      </w:r>
      <w:r w:rsidR="00391C40" w:rsidRPr="00FB79F2">
        <w:t>.</w:t>
      </w:r>
      <w:r w:rsidRPr="00FB79F2">
        <w:t xml:space="preserve"> </w:t>
      </w:r>
    </w:p>
    <w:p w14:paraId="335E19C9" w14:textId="4472A56D" w:rsidR="00592260" w:rsidRDefault="00CA4F1C" w:rsidP="00CA4F1C">
      <w:r w:rsidRPr="00592260">
        <w:t xml:space="preserve">As at 30 April 2018, </w:t>
      </w:r>
      <w:r>
        <w:t>73</w:t>
      </w:r>
      <w:r w:rsidRPr="00592260">
        <w:t xml:space="preserve">% of all </w:t>
      </w:r>
      <w:r>
        <w:t>anti-dumping</w:t>
      </w:r>
      <w:r w:rsidR="00664CB7">
        <w:t xml:space="preserve"> or countervailing</w:t>
      </w:r>
      <w:r>
        <w:t xml:space="preserve"> </w:t>
      </w:r>
      <w:r w:rsidRPr="00592260">
        <w:t xml:space="preserve">measures </w:t>
      </w:r>
      <w:r>
        <w:t xml:space="preserve">in place in Australia </w:t>
      </w:r>
      <w:r w:rsidRPr="00592260">
        <w:t xml:space="preserve">apply to steel </w:t>
      </w:r>
      <w:r>
        <w:t xml:space="preserve">and aluminium </w:t>
      </w:r>
      <w:r w:rsidRPr="00592260">
        <w:t>products</w:t>
      </w:r>
      <w:r>
        <w:t xml:space="preserve">. </w:t>
      </w:r>
      <w:r w:rsidR="00391C40" w:rsidRPr="00FB79F2">
        <w:t xml:space="preserve">In many case those duties are significant </w:t>
      </w:r>
      <w:r w:rsidR="005E2516">
        <w:lastRenderedPageBreak/>
        <w:t>–</w:t>
      </w:r>
      <w:r w:rsidR="00391C40" w:rsidRPr="00FB79F2">
        <w:t xml:space="preserve"> ranging</w:t>
      </w:r>
      <w:r w:rsidR="005E2516">
        <w:t xml:space="preserve"> </w:t>
      </w:r>
      <w:r w:rsidR="00391C40" w:rsidRPr="00FB79F2">
        <w:t xml:space="preserve">up to more than 100%. </w:t>
      </w:r>
      <w:r>
        <w:t>The steel and aluminium products</w:t>
      </w:r>
      <w:r w:rsidRPr="00592260">
        <w:t xml:space="preserve"> and countries covered by measures</w:t>
      </w:r>
      <w:r>
        <w:t xml:space="preserve"> (and range of duties)</w:t>
      </w:r>
      <w:r w:rsidRPr="00592260">
        <w:t xml:space="preserve"> </w:t>
      </w:r>
      <w:r>
        <w:t>are</w:t>
      </w:r>
      <w:r w:rsidR="00345A6F">
        <w:t xml:space="preserve"> outlined in Appendix 1</w:t>
      </w:r>
      <w:r w:rsidR="00656DB6">
        <w:t>.</w:t>
      </w:r>
      <w:r w:rsidR="00592260">
        <w:t xml:space="preserve"> </w:t>
      </w:r>
    </w:p>
    <w:p w14:paraId="480C4B01" w14:textId="14B4D36F" w:rsidR="005629FB" w:rsidRPr="00187FAD" w:rsidRDefault="001D5209" w:rsidP="00E430BC">
      <w:pPr>
        <w:pStyle w:val="Heading3"/>
      </w:pPr>
      <w:bookmarkStart w:id="74" w:name="_Ref520444804"/>
      <w:r w:rsidRPr="00187FAD">
        <w:t>Trade-flow tracking</w:t>
      </w:r>
      <w:bookmarkEnd w:id="74"/>
    </w:p>
    <w:p w14:paraId="07058B86" w14:textId="486883AE" w:rsidR="00AA46BB" w:rsidRDefault="00E939B9" w:rsidP="00AA46BB">
      <w:pPr>
        <w:spacing w:after="0" w:line="259" w:lineRule="auto"/>
        <w:rPr>
          <w:rFonts w:eastAsiaTheme="minorHAnsi"/>
          <w:lang w:eastAsia="en-US"/>
        </w:rPr>
      </w:pPr>
      <w:r>
        <w:t>I consider it important that consistent with my responsibilities as Commissioner, the ADC</w:t>
      </w:r>
      <w:r w:rsidR="00AA46BB" w:rsidRPr="00AA46BB">
        <w:rPr>
          <w:rFonts w:eastAsiaTheme="minorHAnsi"/>
          <w:lang w:eastAsia="en-US"/>
        </w:rPr>
        <w:t xml:space="preserve"> </w:t>
      </w:r>
      <w:r w:rsidR="001D5209">
        <w:rPr>
          <w:rFonts w:eastAsiaTheme="minorHAnsi"/>
          <w:lang w:eastAsia="en-US"/>
        </w:rPr>
        <w:t>tracks</w:t>
      </w:r>
      <w:r w:rsidR="001D5209" w:rsidRPr="00AA46BB">
        <w:rPr>
          <w:rFonts w:eastAsiaTheme="minorHAnsi"/>
          <w:lang w:eastAsia="en-US"/>
        </w:rPr>
        <w:t xml:space="preserve"> </w:t>
      </w:r>
      <w:r w:rsidR="00AA46BB" w:rsidRPr="00AA46BB">
        <w:rPr>
          <w:rFonts w:eastAsiaTheme="minorHAnsi"/>
          <w:lang w:eastAsia="en-US"/>
        </w:rPr>
        <w:t>trade flows of products that are</w:t>
      </w:r>
      <w:r w:rsidR="00D80092">
        <w:rPr>
          <w:rFonts w:eastAsiaTheme="minorHAnsi"/>
          <w:lang w:eastAsia="en-US"/>
        </w:rPr>
        <w:t xml:space="preserve"> subject to anti-dumping or </w:t>
      </w:r>
      <w:r w:rsidR="001E54D5">
        <w:rPr>
          <w:rFonts w:eastAsiaTheme="minorHAnsi"/>
          <w:lang w:eastAsia="en-US"/>
        </w:rPr>
        <w:t>countervailing measures and that are</w:t>
      </w:r>
      <w:r w:rsidR="00AA46BB" w:rsidRPr="00AA46BB">
        <w:rPr>
          <w:rFonts w:eastAsiaTheme="minorHAnsi"/>
          <w:lang w:eastAsia="en-US"/>
        </w:rPr>
        <w:t xml:space="preserve"> a significant proportion of </w:t>
      </w:r>
      <w:r>
        <w:rPr>
          <w:rFonts w:eastAsiaTheme="minorHAnsi"/>
          <w:lang w:eastAsia="en-US"/>
        </w:rPr>
        <w:t>the ADC’s</w:t>
      </w:r>
      <w:r w:rsidRPr="00AA46BB">
        <w:rPr>
          <w:rFonts w:eastAsiaTheme="minorHAnsi"/>
          <w:lang w:eastAsia="en-US"/>
        </w:rPr>
        <w:t xml:space="preserve"> </w:t>
      </w:r>
      <w:r w:rsidR="00AA46BB" w:rsidRPr="00AA46BB">
        <w:rPr>
          <w:rFonts w:eastAsiaTheme="minorHAnsi"/>
          <w:lang w:eastAsia="en-US"/>
        </w:rPr>
        <w:t>caseload</w:t>
      </w:r>
      <w:r w:rsidR="001E54D5">
        <w:rPr>
          <w:rFonts w:eastAsiaTheme="minorHAnsi"/>
          <w:lang w:eastAsia="en-US"/>
        </w:rPr>
        <w:t xml:space="preserve">. </w:t>
      </w:r>
      <w:r w:rsidR="00AA46BB" w:rsidRPr="00AA46BB">
        <w:rPr>
          <w:rFonts w:eastAsiaTheme="minorHAnsi"/>
          <w:lang w:eastAsia="en-US"/>
        </w:rPr>
        <w:t xml:space="preserve"> </w:t>
      </w:r>
    </w:p>
    <w:p w14:paraId="215475D9" w14:textId="77777777" w:rsidR="00AA46BB" w:rsidRDefault="00AA46BB" w:rsidP="00AA46BB">
      <w:pPr>
        <w:spacing w:after="0" w:line="259" w:lineRule="auto"/>
        <w:rPr>
          <w:rFonts w:eastAsiaTheme="minorHAnsi"/>
          <w:lang w:eastAsia="en-US"/>
        </w:rPr>
      </w:pPr>
    </w:p>
    <w:p w14:paraId="29343E5F" w14:textId="23F5562C" w:rsidR="00AA46BB" w:rsidRDefault="00AA46BB" w:rsidP="00C94F3E">
      <w:pPr>
        <w:spacing w:after="0" w:line="259" w:lineRule="auto"/>
        <w:rPr>
          <w:rFonts w:eastAsiaTheme="minorHAnsi"/>
          <w:highlight w:val="yellow"/>
          <w:lang w:eastAsia="en-US"/>
        </w:rPr>
      </w:pPr>
      <w:r w:rsidRPr="00AA46BB">
        <w:rPr>
          <w:rFonts w:eastAsiaTheme="minorHAnsi"/>
          <w:lang w:eastAsia="en-US"/>
        </w:rPr>
        <w:t xml:space="preserve">The ADC works with the </w:t>
      </w:r>
      <w:r>
        <w:rPr>
          <w:rFonts w:eastAsiaTheme="minorHAnsi"/>
          <w:lang w:eastAsia="en-US"/>
        </w:rPr>
        <w:t>Department of Home Affairs</w:t>
      </w:r>
      <w:r w:rsidR="001C7FB5">
        <w:rPr>
          <w:rFonts w:eastAsiaTheme="minorHAnsi"/>
          <w:lang w:eastAsia="en-US"/>
        </w:rPr>
        <w:t xml:space="preserve"> (Home Affairs)</w:t>
      </w:r>
      <w:r>
        <w:rPr>
          <w:rFonts w:eastAsiaTheme="minorHAnsi"/>
          <w:lang w:eastAsia="en-US"/>
        </w:rPr>
        <w:t xml:space="preserve">, to </w:t>
      </w:r>
      <w:r w:rsidRPr="00AA46BB">
        <w:rPr>
          <w:rFonts w:eastAsiaTheme="minorHAnsi"/>
          <w:lang w:eastAsia="en-US"/>
        </w:rPr>
        <w:t>obtain evidence on the effectiveness of anti-dumping</w:t>
      </w:r>
      <w:r w:rsidR="00D80092">
        <w:rPr>
          <w:rFonts w:eastAsiaTheme="minorHAnsi"/>
          <w:lang w:eastAsia="en-US"/>
        </w:rPr>
        <w:t xml:space="preserve"> or countervailing</w:t>
      </w:r>
      <w:r w:rsidRPr="00AA46BB">
        <w:rPr>
          <w:rFonts w:eastAsiaTheme="minorHAnsi"/>
          <w:lang w:eastAsia="en-US"/>
        </w:rPr>
        <w:t xml:space="preserve"> measures</w:t>
      </w:r>
      <w:r>
        <w:rPr>
          <w:rFonts w:eastAsiaTheme="minorHAnsi"/>
          <w:lang w:eastAsia="en-US"/>
        </w:rPr>
        <w:t xml:space="preserve"> and </w:t>
      </w:r>
      <w:r w:rsidRPr="00AA46BB">
        <w:rPr>
          <w:rFonts w:eastAsiaTheme="minorHAnsi"/>
          <w:lang w:eastAsia="en-US"/>
        </w:rPr>
        <w:t xml:space="preserve">identify potential evidence of non-compliance with anti-dumping </w:t>
      </w:r>
      <w:r w:rsidR="00D80092">
        <w:rPr>
          <w:rFonts w:eastAsiaTheme="minorHAnsi"/>
          <w:lang w:eastAsia="en-US"/>
        </w:rPr>
        <w:t xml:space="preserve">or countervailing </w:t>
      </w:r>
      <w:r w:rsidRPr="00AA46BB">
        <w:rPr>
          <w:rFonts w:eastAsiaTheme="minorHAnsi"/>
          <w:lang w:eastAsia="en-US"/>
        </w:rPr>
        <w:t xml:space="preserve">measures and possible circumvention. </w:t>
      </w:r>
      <w:r w:rsidR="001E54D5">
        <w:rPr>
          <w:rFonts w:eastAsiaTheme="minorHAnsi"/>
          <w:lang w:eastAsia="en-US"/>
        </w:rPr>
        <w:t>To this end, t</w:t>
      </w:r>
      <w:r w:rsidRPr="00AA46BB">
        <w:rPr>
          <w:rFonts w:eastAsiaTheme="minorHAnsi"/>
          <w:lang w:eastAsia="en-US"/>
        </w:rPr>
        <w:t xml:space="preserve">he </w:t>
      </w:r>
      <w:r>
        <w:rPr>
          <w:rFonts w:eastAsiaTheme="minorHAnsi"/>
          <w:lang w:eastAsia="en-US"/>
        </w:rPr>
        <w:t>ADC</w:t>
      </w:r>
      <w:r w:rsidRPr="00AA46BB">
        <w:rPr>
          <w:rFonts w:eastAsiaTheme="minorHAnsi"/>
          <w:lang w:eastAsia="en-US"/>
        </w:rPr>
        <w:t xml:space="preserve"> is also working closely with Home Affairs to enhance </w:t>
      </w:r>
      <w:r>
        <w:rPr>
          <w:rFonts w:eastAsiaTheme="minorHAnsi"/>
          <w:lang w:eastAsia="en-US"/>
        </w:rPr>
        <w:t>its</w:t>
      </w:r>
      <w:r w:rsidRPr="00AA46BB">
        <w:rPr>
          <w:rFonts w:eastAsiaTheme="minorHAnsi"/>
          <w:lang w:eastAsia="en-US"/>
        </w:rPr>
        <w:t xml:space="preserve"> monitoring activities,</w:t>
      </w:r>
      <w:r w:rsidR="00420D23">
        <w:rPr>
          <w:rFonts w:eastAsiaTheme="minorHAnsi"/>
          <w:lang w:eastAsia="en-US"/>
        </w:rPr>
        <w:t xml:space="preserve"> including through</w:t>
      </w:r>
      <w:r w:rsidRPr="00AA46BB">
        <w:rPr>
          <w:rFonts w:eastAsiaTheme="minorHAnsi"/>
          <w:lang w:eastAsia="en-US"/>
        </w:rPr>
        <w:t xml:space="preserve"> building capability in applying advanced statistical techniques to analyse import data. </w:t>
      </w:r>
    </w:p>
    <w:p w14:paraId="703965D0" w14:textId="77777777" w:rsidR="00B7367F" w:rsidRDefault="00B7367F" w:rsidP="00C94F3E">
      <w:pPr>
        <w:spacing w:after="0" w:line="259" w:lineRule="auto"/>
        <w:rPr>
          <w:rFonts w:eastAsiaTheme="minorHAnsi"/>
          <w:highlight w:val="yellow"/>
          <w:lang w:eastAsia="en-US"/>
        </w:rPr>
      </w:pPr>
    </w:p>
    <w:p w14:paraId="41D24D3A" w14:textId="602E766C" w:rsidR="00B7367F" w:rsidRPr="00AA46BB" w:rsidRDefault="00B7367F" w:rsidP="00C94F3E">
      <w:pPr>
        <w:spacing w:after="0" w:line="259" w:lineRule="auto"/>
        <w:rPr>
          <w:rFonts w:eastAsiaTheme="minorHAnsi"/>
          <w:lang w:eastAsia="en-US"/>
        </w:rPr>
      </w:pPr>
      <w:r w:rsidRPr="00B7367F">
        <w:rPr>
          <w:rFonts w:eastAsiaTheme="minorHAnsi"/>
          <w:lang w:eastAsia="en-US"/>
        </w:rPr>
        <w:t xml:space="preserve">The ADC is now tracking volumes and pricing of </w:t>
      </w:r>
      <w:r w:rsidR="00A336FE">
        <w:rPr>
          <w:rFonts w:eastAsiaTheme="minorHAnsi"/>
          <w:lang w:eastAsia="en-US"/>
        </w:rPr>
        <w:t>a range of</w:t>
      </w:r>
      <w:r w:rsidR="00A336FE" w:rsidRPr="00B7367F">
        <w:rPr>
          <w:rFonts w:eastAsiaTheme="minorHAnsi"/>
          <w:lang w:eastAsia="en-US"/>
        </w:rPr>
        <w:t xml:space="preserve"> </w:t>
      </w:r>
      <w:r w:rsidRPr="00B7367F">
        <w:rPr>
          <w:rFonts w:eastAsiaTheme="minorHAnsi"/>
          <w:lang w:eastAsia="en-US"/>
        </w:rPr>
        <w:t>steel and aluminium products on a monthly basis to identify and bring to my attention any developments that may be of concern.</w:t>
      </w:r>
      <w:r w:rsidR="00895F9C">
        <w:rPr>
          <w:rFonts w:eastAsiaTheme="minorHAnsi"/>
          <w:lang w:eastAsia="en-US"/>
        </w:rPr>
        <w:t xml:space="preserve"> This is discussed further in chapter </w:t>
      </w:r>
      <w:r w:rsidR="00895F9C">
        <w:rPr>
          <w:rFonts w:eastAsiaTheme="minorHAnsi"/>
          <w:lang w:eastAsia="en-US"/>
        </w:rPr>
        <w:fldChar w:fldCharType="begin"/>
      </w:r>
      <w:r w:rsidR="00895F9C">
        <w:rPr>
          <w:rFonts w:eastAsiaTheme="minorHAnsi"/>
          <w:lang w:eastAsia="en-US"/>
        </w:rPr>
        <w:instrText xml:space="preserve"> REF _Ref517251752 \r \h </w:instrText>
      </w:r>
      <w:r w:rsidR="00895F9C">
        <w:rPr>
          <w:rFonts w:eastAsiaTheme="minorHAnsi"/>
          <w:lang w:eastAsia="en-US"/>
        </w:rPr>
      </w:r>
      <w:r w:rsidR="00895F9C">
        <w:rPr>
          <w:rFonts w:eastAsiaTheme="minorHAnsi"/>
          <w:lang w:eastAsia="en-US"/>
        </w:rPr>
        <w:fldChar w:fldCharType="separate"/>
      </w:r>
      <w:r w:rsidR="009C606D">
        <w:rPr>
          <w:rFonts w:eastAsiaTheme="minorHAnsi"/>
          <w:lang w:eastAsia="en-US"/>
        </w:rPr>
        <w:t>8</w:t>
      </w:r>
      <w:r w:rsidR="00895F9C">
        <w:rPr>
          <w:rFonts w:eastAsiaTheme="minorHAnsi"/>
          <w:lang w:eastAsia="en-US"/>
        </w:rPr>
        <w:fldChar w:fldCharType="end"/>
      </w:r>
      <w:r w:rsidR="00895F9C">
        <w:rPr>
          <w:rFonts w:eastAsiaTheme="minorHAnsi"/>
          <w:lang w:eastAsia="en-US"/>
        </w:rPr>
        <w:t xml:space="preserve">. </w:t>
      </w:r>
      <w:r w:rsidRPr="00B7367F">
        <w:rPr>
          <w:rFonts w:eastAsiaTheme="minorHAnsi"/>
          <w:lang w:eastAsia="en-US"/>
        </w:rPr>
        <w:t xml:space="preserve"> </w:t>
      </w:r>
    </w:p>
    <w:p w14:paraId="128F6FD5" w14:textId="5B764921" w:rsidR="00E4084C" w:rsidRPr="00187FAD" w:rsidRDefault="005629FB" w:rsidP="00E430BC">
      <w:pPr>
        <w:pStyle w:val="Heading3"/>
      </w:pPr>
      <w:r w:rsidRPr="00187FAD">
        <w:t>Anti-circumvention</w:t>
      </w:r>
      <w:r w:rsidR="00E61EFE">
        <w:t xml:space="preserve"> and compliance</w:t>
      </w:r>
    </w:p>
    <w:p w14:paraId="1D84AE9C" w14:textId="4B2A0DF7" w:rsidR="009B3D9D" w:rsidRDefault="007036D5" w:rsidP="009B3D9D">
      <w:pPr>
        <w:spacing w:after="120"/>
        <w:rPr>
          <w:rFonts w:eastAsiaTheme="minorHAnsi"/>
          <w:lang w:eastAsia="en-US"/>
        </w:rPr>
      </w:pPr>
      <w:r>
        <w:rPr>
          <w:rFonts w:eastAsiaTheme="minorHAnsi"/>
          <w:lang w:eastAsia="en-US"/>
        </w:rPr>
        <w:t>E</w:t>
      </w:r>
      <w:r w:rsidR="00ED6E37" w:rsidRPr="00FB79F2">
        <w:rPr>
          <w:rFonts w:eastAsiaTheme="minorHAnsi"/>
          <w:lang w:eastAsia="en-US"/>
        </w:rPr>
        <w:t>xporters and importers</w:t>
      </w:r>
      <w:r w:rsidR="00D36A22">
        <w:rPr>
          <w:rFonts w:eastAsiaTheme="minorHAnsi"/>
          <w:lang w:eastAsia="en-US"/>
        </w:rPr>
        <w:t xml:space="preserve"> </w:t>
      </w:r>
      <w:r>
        <w:rPr>
          <w:rFonts w:eastAsiaTheme="minorHAnsi"/>
          <w:lang w:eastAsia="en-US"/>
        </w:rPr>
        <w:t xml:space="preserve">that </w:t>
      </w:r>
      <w:r w:rsidR="00ED6E37" w:rsidRPr="00FB79F2">
        <w:rPr>
          <w:rFonts w:eastAsiaTheme="minorHAnsi"/>
          <w:lang w:eastAsia="en-US"/>
        </w:rPr>
        <w:t>circumvent</w:t>
      </w:r>
      <w:r w:rsidR="001E54D5">
        <w:rPr>
          <w:rFonts w:eastAsiaTheme="minorHAnsi"/>
          <w:lang w:eastAsia="en-US"/>
        </w:rPr>
        <w:t xml:space="preserve"> </w:t>
      </w:r>
      <w:r w:rsidR="001E54D5">
        <w:t>anti-dumping or countervailing</w:t>
      </w:r>
      <w:r w:rsidR="00ED6E37" w:rsidRPr="00FB79F2">
        <w:rPr>
          <w:rFonts w:eastAsiaTheme="minorHAnsi"/>
          <w:lang w:eastAsia="en-US"/>
        </w:rPr>
        <w:t xml:space="preserve"> measures</w:t>
      </w:r>
      <w:r>
        <w:rPr>
          <w:rFonts w:eastAsiaTheme="minorHAnsi"/>
          <w:lang w:eastAsia="en-US"/>
        </w:rPr>
        <w:t xml:space="preserve"> undermine these measures’ effectiveness</w:t>
      </w:r>
      <w:r w:rsidR="00ED6E37" w:rsidRPr="00FB79F2">
        <w:rPr>
          <w:rFonts w:eastAsiaTheme="minorHAnsi"/>
          <w:lang w:eastAsia="en-US"/>
        </w:rPr>
        <w:t xml:space="preserve"> in addressing material injury caused by dumping and subsidisation</w:t>
      </w:r>
      <w:r>
        <w:rPr>
          <w:rFonts w:eastAsiaTheme="minorHAnsi"/>
          <w:lang w:eastAsia="en-US"/>
        </w:rPr>
        <w:t>.</w:t>
      </w:r>
      <w:r w:rsidR="00D36A22">
        <w:rPr>
          <w:rFonts w:eastAsiaTheme="minorHAnsi"/>
          <w:lang w:eastAsia="en-US"/>
        </w:rPr>
        <w:t xml:space="preserve"> It is imperative that </w:t>
      </w:r>
      <w:r w:rsidR="005055A2">
        <w:rPr>
          <w:rFonts w:eastAsiaTheme="minorHAnsi"/>
          <w:lang w:eastAsia="en-US"/>
        </w:rPr>
        <w:t xml:space="preserve">trade remedy </w:t>
      </w:r>
      <w:r w:rsidR="00D36A22">
        <w:rPr>
          <w:rFonts w:eastAsiaTheme="minorHAnsi"/>
          <w:lang w:eastAsia="en-US"/>
        </w:rPr>
        <w:t xml:space="preserve">investigating authorities have in place a strong and effective anti-circumvention regime. </w:t>
      </w:r>
    </w:p>
    <w:p w14:paraId="1D7C95FC" w14:textId="00434B98" w:rsidR="00CA6B13" w:rsidRDefault="00CA6B13" w:rsidP="009B3D9D">
      <w:pPr>
        <w:spacing w:after="120"/>
        <w:rPr>
          <w:lang w:eastAsia="en-US"/>
        </w:rPr>
      </w:pPr>
      <w:r>
        <w:rPr>
          <w:lang w:eastAsia="en-US"/>
        </w:rPr>
        <w:t xml:space="preserve">Trans-shipment </w:t>
      </w:r>
      <w:r w:rsidR="001E54D5">
        <w:rPr>
          <w:lang w:eastAsia="en-US"/>
        </w:rPr>
        <w:t xml:space="preserve">may involve </w:t>
      </w:r>
      <w:r w:rsidR="00D64CE2">
        <w:rPr>
          <w:lang w:eastAsia="en-US"/>
        </w:rPr>
        <w:t xml:space="preserve">the export of goods through one or more countries for the purpose of avoiding anti-dumping </w:t>
      </w:r>
      <w:r w:rsidR="00D80092">
        <w:rPr>
          <w:lang w:eastAsia="en-US"/>
        </w:rPr>
        <w:t xml:space="preserve">or countervailing </w:t>
      </w:r>
      <w:r w:rsidR="00D64CE2">
        <w:rPr>
          <w:lang w:eastAsia="en-US"/>
        </w:rPr>
        <w:t xml:space="preserve">duties.  </w:t>
      </w:r>
      <w:r>
        <w:rPr>
          <w:lang w:eastAsia="en-US"/>
        </w:rPr>
        <w:t xml:space="preserve"> </w:t>
      </w:r>
    </w:p>
    <w:p w14:paraId="067C943D" w14:textId="260B1A1F" w:rsidR="00D912AB" w:rsidRPr="00FB79F2" w:rsidRDefault="005055A2" w:rsidP="00D912AB">
      <w:pPr>
        <w:spacing w:after="120"/>
        <w:rPr>
          <w:rFonts w:eastAsiaTheme="minorHAnsi"/>
          <w:lang w:eastAsia="en-US"/>
        </w:rPr>
      </w:pPr>
      <w:r>
        <w:rPr>
          <w:lang w:eastAsia="en-US"/>
        </w:rPr>
        <w:t>The Australian</w:t>
      </w:r>
      <w:r w:rsidRPr="00C94F3E">
        <w:rPr>
          <w:lang w:eastAsia="en-US"/>
        </w:rPr>
        <w:t xml:space="preserve"> </w:t>
      </w:r>
      <w:r w:rsidR="00E61EFE" w:rsidRPr="00C94F3E">
        <w:rPr>
          <w:lang w:eastAsia="en-US"/>
        </w:rPr>
        <w:t xml:space="preserve">anti-circumvention </w:t>
      </w:r>
      <w:r w:rsidR="001E54D5">
        <w:rPr>
          <w:lang w:eastAsia="en-US"/>
        </w:rPr>
        <w:t>framework</w:t>
      </w:r>
      <w:r>
        <w:rPr>
          <w:lang w:eastAsia="en-US"/>
        </w:rPr>
        <w:t xml:space="preserve"> is</w:t>
      </w:r>
      <w:r w:rsidR="00E61EFE" w:rsidRPr="00C94F3E">
        <w:rPr>
          <w:lang w:eastAsia="en-US"/>
        </w:rPr>
        <w:t xml:space="preserve"> sufficiently </w:t>
      </w:r>
      <w:r w:rsidR="00E61EFE">
        <w:rPr>
          <w:lang w:eastAsia="en-US"/>
        </w:rPr>
        <w:t xml:space="preserve">mature and </w:t>
      </w:r>
      <w:r w:rsidR="00E61EFE" w:rsidRPr="00C94F3E">
        <w:rPr>
          <w:lang w:eastAsia="en-US"/>
        </w:rPr>
        <w:t xml:space="preserve">robust to deal with </w:t>
      </w:r>
      <w:r w:rsidR="00E61EFE">
        <w:rPr>
          <w:lang w:eastAsia="en-US"/>
        </w:rPr>
        <w:t>such</w:t>
      </w:r>
      <w:r w:rsidR="00E61EFE" w:rsidRPr="00C94F3E">
        <w:rPr>
          <w:lang w:eastAsia="en-US"/>
        </w:rPr>
        <w:t xml:space="preserve"> </w:t>
      </w:r>
      <w:r w:rsidR="007036D5">
        <w:rPr>
          <w:lang w:eastAsia="en-US"/>
        </w:rPr>
        <w:t>concerns</w:t>
      </w:r>
      <w:r w:rsidR="00E61EFE" w:rsidRPr="00C94F3E">
        <w:rPr>
          <w:lang w:eastAsia="en-US"/>
        </w:rPr>
        <w:t xml:space="preserve">. </w:t>
      </w:r>
      <w:r w:rsidR="00E61EFE">
        <w:rPr>
          <w:lang w:eastAsia="en-US"/>
        </w:rPr>
        <w:t xml:space="preserve">The existing anti-dumping and countervailing measures Australia has in place mitigate against Australia being used as a trans-shipment point. </w:t>
      </w:r>
      <w:r w:rsidR="00ED6E37" w:rsidRPr="00FB79F2">
        <w:rPr>
          <w:rFonts w:eastAsiaTheme="minorHAnsi"/>
          <w:lang w:eastAsia="en-US"/>
        </w:rPr>
        <w:t>Australia’s anti</w:t>
      </w:r>
      <w:r w:rsidR="00ED6E37" w:rsidRPr="00FB79F2">
        <w:rPr>
          <w:rFonts w:eastAsiaTheme="minorHAnsi"/>
          <w:lang w:eastAsia="en-US"/>
        </w:rPr>
        <w:noBreakHyphen/>
        <w:t>circumvention framework was established in June </w:t>
      </w:r>
      <w:r w:rsidR="00D912AB" w:rsidRPr="00FB79F2">
        <w:rPr>
          <w:rFonts w:eastAsiaTheme="minorHAnsi"/>
          <w:lang w:eastAsia="en-US"/>
        </w:rPr>
        <w:t xml:space="preserve">2013 and expanded in April 2015. </w:t>
      </w:r>
      <w:r w:rsidR="00D64CE2">
        <w:rPr>
          <w:rFonts w:eastAsiaTheme="minorHAnsi"/>
          <w:lang w:eastAsia="en-US"/>
        </w:rPr>
        <w:t>In addition to trans-shipment</w:t>
      </w:r>
      <w:r w:rsidR="001E54D5">
        <w:rPr>
          <w:rFonts w:eastAsiaTheme="minorHAnsi"/>
          <w:lang w:eastAsia="en-US"/>
        </w:rPr>
        <w:t xml:space="preserve"> which is intended to avoid </w:t>
      </w:r>
      <w:r w:rsidR="001E54D5">
        <w:t>anti-dumping or countervailing duties</w:t>
      </w:r>
      <w:r w:rsidR="00D64CE2">
        <w:rPr>
          <w:rFonts w:eastAsiaTheme="minorHAnsi"/>
          <w:lang w:eastAsia="en-US"/>
        </w:rPr>
        <w:t>, t</w:t>
      </w:r>
      <w:r w:rsidR="00D912AB" w:rsidRPr="00FB79F2">
        <w:rPr>
          <w:rFonts w:eastAsiaTheme="minorHAnsi"/>
          <w:lang w:eastAsia="en-US"/>
        </w:rPr>
        <w:t xml:space="preserve">he framework </w:t>
      </w:r>
      <w:r w:rsidR="001E54D5">
        <w:rPr>
          <w:rFonts w:eastAsiaTheme="minorHAnsi"/>
          <w:lang w:eastAsia="en-US"/>
        </w:rPr>
        <w:t xml:space="preserve">also </w:t>
      </w:r>
      <w:r w:rsidR="00D912AB" w:rsidRPr="00FB79F2">
        <w:rPr>
          <w:rFonts w:eastAsiaTheme="minorHAnsi"/>
          <w:lang w:eastAsia="en-US"/>
        </w:rPr>
        <w:t>includes prescribed circumvention activities covering:</w:t>
      </w:r>
    </w:p>
    <w:p w14:paraId="744FA8E5" w14:textId="77777777" w:rsidR="00D912AB" w:rsidRPr="005D792D" w:rsidRDefault="00D912AB" w:rsidP="005D792D">
      <w:pPr>
        <w:numPr>
          <w:ilvl w:val="0"/>
          <w:numId w:val="18"/>
        </w:numPr>
        <w:tabs>
          <w:tab w:val="clear" w:pos="567"/>
        </w:tabs>
        <w:spacing w:after="120"/>
        <w:ind w:left="720" w:hanging="360"/>
      </w:pPr>
      <w:r w:rsidRPr="005D792D">
        <w:t>assembly of parts in Australia – parts of goods subject to measures are imported to Australia and assembled domestically</w:t>
      </w:r>
    </w:p>
    <w:p w14:paraId="7A894D93" w14:textId="7C17A636" w:rsidR="00D912AB" w:rsidRPr="005D792D" w:rsidRDefault="00D912AB" w:rsidP="005D792D">
      <w:pPr>
        <w:numPr>
          <w:ilvl w:val="0"/>
          <w:numId w:val="18"/>
        </w:numPr>
        <w:tabs>
          <w:tab w:val="clear" w:pos="567"/>
        </w:tabs>
        <w:spacing w:after="120"/>
        <w:ind w:left="720" w:hanging="360"/>
      </w:pPr>
      <w:r w:rsidRPr="005D792D">
        <w:t>assembly of parts in third country – parts of goods subject to measures are exported to a third country for assembly prior to export to Australia</w:t>
      </w:r>
    </w:p>
    <w:p w14:paraId="0071F18C" w14:textId="77777777" w:rsidR="00D912AB" w:rsidRPr="005D792D" w:rsidRDefault="00D912AB" w:rsidP="005D792D">
      <w:pPr>
        <w:numPr>
          <w:ilvl w:val="0"/>
          <w:numId w:val="18"/>
        </w:numPr>
        <w:tabs>
          <w:tab w:val="clear" w:pos="567"/>
        </w:tabs>
        <w:spacing w:after="120"/>
        <w:ind w:left="720" w:hanging="360"/>
      </w:pPr>
      <w:r w:rsidRPr="005D792D">
        <w:t>arrangements between exporters – goods are exported under an arrangement between exporters whereby the exported goods improperly attract the more favourable rate of measures applicable to an exporter than the rate applicable to the actual exporter of the goods</w:t>
      </w:r>
    </w:p>
    <w:p w14:paraId="2E4C4620" w14:textId="76C36488" w:rsidR="00D912AB" w:rsidRPr="005D792D" w:rsidRDefault="00D912AB" w:rsidP="005D792D">
      <w:pPr>
        <w:numPr>
          <w:ilvl w:val="0"/>
          <w:numId w:val="18"/>
        </w:numPr>
        <w:tabs>
          <w:tab w:val="clear" w:pos="567"/>
        </w:tabs>
        <w:spacing w:after="120"/>
        <w:ind w:left="720" w:hanging="360"/>
      </w:pPr>
      <w:r w:rsidRPr="005D792D">
        <w:t xml:space="preserve">avoidance of the intended effect of duty </w:t>
      </w:r>
      <w:r w:rsidR="00656DB6" w:rsidRPr="005D792D">
        <w:t>–</w:t>
      </w:r>
      <w:r w:rsidRPr="005D792D">
        <w:t xml:space="preserve"> the price of the goods does not increase commensurate with the anti-dumping</w:t>
      </w:r>
      <w:r w:rsidR="00D80092" w:rsidRPr="005D792D">
        <w:t xml:space="preserve"> or countervailing</w:t>
      </w:r>
      <w:r w:rsidRPr="005D792D">
        <w:t xml:space="preserve"> duties payable. This is an expedited </w:t>
      </w:r>
      <w:bookmarkStart w:id="75" w:name="CursorPositionBM"/>
      <w:bookmarkEnd w:id="75"/>
      <w:r w:rsidRPr="005D792D">
        <w:t>inquiry and is subject to a 100 day legislative timeframe</w:t>
      </w:r>
    </w:p>
    <w:p w14:paraId="59A90F09" w14:textId="4E304917" w:rsidR="005144C4" w:rsidRPr="005D792D" w:rsidRDefault="00D912AB" w:rsidP="005D792D">
      <w:pPr>
        <w:numPr>
          <w:ilvl w:val="0"/>
          <w:numId w:val="18"/>
        </w:numPr>
        <w:tabs>
          <w:tab w:val="clear" w:pos="567"/>
        </w:tabs>
        <w:spacing w:after="120"/>
        <w:ind w:left="720" w:hanging="360"/>
      </w:pPr>
      <w:r w:rsidRPr="00FB79F2">
        <w:lastRenderedPageBreak/>
        <w:t xml:space="preserve">slight modification of goods regulation </w:t>
      </w:r>
      <w:r w:rsidR="00656DB6" w:rsidRPr="005D792D">
        <w:t>–</w:t>
      </w:r>
      <w:r w:rsidRPr="00FB79F2">
        <w:t xml:space="preserve"> circumstances where exporters slightly modify their goods in order to circumvent duties that apply to the original (or unmodified) goods</w:t>
      </w:r>
    </w:p>
    <w:p w14:paraId="15AFB012" w14:textId="45B2A06A" w:rsidR="00E362E1" w:rsidRPr="005D792D" w:rsidRDefault="00D912AB" w:rsidP="005D792D">
      <w:pPr>
        <w:numPr>
          <w:ilvl w:val="0"/>
          <w:numId w:val="18"/>
        </w:numPr>
        <w:tabs>
          <w:tab w:val="clear" w:pos="567"/>
        </w:tabs>
        <w:spacing w:after="120"/>
        <w:ind w:left="720" w:hanging="360"/>
      </w:pPr>
      <w:r w:rsidRPr="005D792D">
        <w:t>any additional circumstances prescribed by regulation.</w:t>
      </w:r>
    </w:p>
    <w:p w14:paraId="39950D33" w14:textId="533AE6A8" w:rsidR="00E362E1" w:rsidRPr="002963D0" w:rsidRDefault="00E362E1" w:rsidP="00116B8A">
      <w:pPr>
        <w:spacing w:after="120"/>
        <w:rPr>
          <w:lang w:eastAsia="en-US"/>
        </w:rPr>
      </w:pPr>
      <w:r w:rsidRPr="00E362E1">
        <w:rPr>
          <w:lang w:eastAsia="en-US"/>
        </w:rPr>
        <w:t xml:space="preserve">Australia’s strong anti-circumvention framework has been established to enable quick and decisive action to be taken when allegations of anti-circumvention arise. </w:t>
      </w:r>
    </w:p>
    <w:p w14:paraId="1D2F6035" w14:textId="2425E280" w:rsidR="00E362E1" w:rsidRDefault="006E18E9" w:rsidP="0083063A">
      <w:pPr>
        <w:spacing w:after="120"/>
        <w:rPr>
          <w:lang w:eastAsia="en-US"/>
        </w:rPr>
      </w:pPr>
      <w:r>
        <w:rPr>
          <w:lang w:eastAsia="en-US"/>
        </w:rPr>
        <w:t>To</w:t>
      </w:r>
      <w:r w:rsidR="00E362E1">
        <w:rPr>
          <w:lang w:eastAsia="en-US"/>
        </w:rPr>
        <w:t xml:space="preserve"> </w:t>
      </w:r>
      <w:r w:rsidR="00A13E6F">
        <w:rPr>
          <w:lang w:eastAsia="en-US"/>
        </w:rPr>
        <w:t>2</w:t>
      </w:r>
      <w:r w:rsidR="00E362E1">
        <w:rPr>
          <w:lang w:eastAsia="en-US"/>
        </w:rPr>
        <w:t xml:space="preserve">0 June 2018, the ADC has concluded </w:t>
      </w:r>
      <w:r>
        <w:rPr>
          <w:lang w:eastAsia="en-US"/>
        </w:rPr>
        <w:t>nine anti-circumvention inquiries. I was satisfied that circumvention had occurred in six of those inquiries</w:t>
      </w:r>
      <w:r w:rsidR="00F91007">
        <w:rPr>
          <w:lang w:eastAsia="en-US"/>
        </w:rPr>
        <w:t xml:space="preserve">, covering imports of zinc coated (galvanised) steel, </w:t>
      </w:r>
      <w:r w:rsidR="003876D3">
        <w:rPr>
          <w:lang w:eastAsia="en-US"/>
        </w:rPr>
        <w:t>hollow structural sections</w:t>
      </w:r>
      <w:r w:rsidR="00F91007">
        <w:rPr>
          <w:lang w:eastAsia="en-US"/>
        </w:rPr>
        <w:t xml:space="preserve"> and aluminium extrusions</w:t>
      </w:r>
      <w:r w:rsidR="003876D3">
        <w:rPr>
          <w:lang w:eastAsia="en-US"/>
        </w:rPr>
        <w:t>.</w:t>
      </w:r>
      <w:r>
        <w:rPr>
          <w:lang w:eastAsia="en-US"/>
        </w:rPr>
        <w:t xml:space="preserve"> </w:t>
      </w:r>
      <w:r w:rsidR="00720871">
        <w:t>As a result of these inquiries, the notices were amended to ensure that appropriate duties were paid on imports on these goods.</w:t>
      </w:r>
      <w:r w:rsidR="00720871">
        <w:rPr>
          <w:lang w:eastAsia="en-US"/>
        </w:rPr>
        <w:t xml:space="preserve"> </w:t>
      </w:r>
      <w:r>
        <w:rPr>
          <w:lang w:eastAsia="en-US"/>
        </w:rPr>
        <w:t>The other three inquiries resulted in no change to the measures or other action</w:t>
      </w:r>
      <w:r w:rsidR="002838CB">
        <w:rPr>
          <w:lang w:eastAsia="en-US"/>
        </w:rPr>
        <w:t>, as no circumvention activity was found</w:t>
      </w:r>
      <w:r>
        <w:rPr>
          <w:lang w:eastAsia="en-US"/>
        </w:rPr>
        <w:t xml:space="preserve">. </w:t>
      </w:r>
      <w:r w:rsidR="00A13E6F">
        <w:t>Three</w:t>
      </w:r>
      <w:r w:rsidR="00A13E6F" w:rsidRPr="00A13E6F">
        <w:t xml:space="preserve"> inquiries are in progress</w:t>
      </w:r>
      <w:r w:rsidR="0033115C">
        <w:t xml:space="preserve"> covering aluminium extrusions</w:t>
      </w:r>
      <w:r w:rsidR="007B2078">
        <w:t xml:space="preserve">, </w:t>
      </w:r>
      <w:r w:rsidR="0033115C">
        <w:t>clear float glass</w:t>
      </w:r>
      <w:r w:rsidR="007B2078">
        <w:t xml:space="preserve"> and wire rope</w:t>
      </w:r>
      <w:r w:rsidR="00A13E6F">
        <w:t>.</w:t>
      </w:r>
      <w:r w:rsidR="00A13E6F">
        <w:rPr>
          <w:rStyle w:val="FootnoteReference"/>
        </w:rPr>
        <w:footnoteReference w:id="19"/>
      </w:r>
    </w:p>
    <w:p w14:paraId="520FC5E5" w14:textId="7650341B" w:rsidR="0050581D" w:rsidRPr="0050581D" w:rsidRDefault="0050581D" w:rsidP="009B3D9D">
      <w:pPr>
        <w:keepNext/>
        <w:spacing w:after="120"/>
        <w:rPr>
          <w:lang w:eastAsia="en-US"/>
        </w:rPr>
      </w:pPr>
      <w:r w:rsidRPr="00EC13D3">
        <w:t>Home Affairs</w:t>
      </w:r>
      <w:r w:rsidR="00E61EFE">
        <w:t xml:space="preserve"> </w:t>
      </w:r>
      <w:r w:rsidRPr="00EC13D3">
        <w:t xml:space="preserve">through its operational arm, the Australian Border Force (ABF), is responsible for collecting dumping and countervailing duties and for enforcing compliance with measures. The ABF’s activities are focused on ensuring a high level of </w:t>
      </w:r>
      <w:r w:rsidRPr="0050581D">
        <w:t>voluntary</w:t>
      </w:r>
      <w:r w:rsidRPr="00EC13D3">
        <w:t xml:space="preserve"> compliance while dealing effectively with those who do not comply with </w:t>
      </w:r>
      <w:r w:rsidR="007036D5">
        <w:t>c</w:t>
      </w:r>
      <w:r w:rsidRPr="00EC13D3">
        <w:t>ustoms-related law including anti</w:t>
      </w:r>
      <w:r w:rsidRPr="00EC13D3">
        <w:noBreakHyphen/>
        <w:t>dumping</w:t>
      </w:r>
      <w:r w:rsidR="00D80092">
        <w:t xml:space="preserve"> or countervailing</w:t>
      </w:r>
      <w:r w:rsidRPr="00EC13D3">
        <w:t xml:space="preserve"> measures.</w:t>
      </w:r>
      <w:r>
        <w:t xml:space="preserve"> </w:t>
      </w:r>
      <w:r w:rsidRPr="0050581D">
        <w:t>It achieves this by:</w:t>
      </w:r>
    </w:p>
    <w:p w14:paraId="4227CE8A" w14:textId="77777777" w:rsidR="0050581D" w:rsidRPr="0050581D" w:rsidRDefault="0050581D" w:rsidP="0050581D">
      <w:pPr>
        <w:numPr>
          <w:ilvl w:val="0"/>
          <w:numId w:val="18"/>
        </w:numPr>
        <w:tabs>
          <w:tab w:val="clear" w:pos="567"/>
        </w:tabs>
        <w:spacing w:after="120"/>
        <w:ind w:left="720" w:hanging="360"/>
      </w:pPr>
      <w:r w:rsidRPr="0050581D">
        <w:t>providing timely information, guidance and advice</w:t>
      </w:r>
    </w:p>
    <w:p w14:paraId="0C2B50A3" w14:textId="77777777" w:rsidR="0050581D" w:rsidRPr="0050581D" w:rsidRDefault="0050581D" w:rsidP="0050581D">
      <w:pPr>
        <w:numPr>
          <w:ilvl w:val="0"/>
          <w:numId w:val="18"/>
        </w:numPr>
        <w:tabs>
          <w:tab w:val="clear" w:pos="567"/>
        </w:tabs>
        <w:spacing w:after="120"/>
        <w:ind w:left="720" w:hanging="360"/>
      </w:pPr>
      <w:r w:rsidRPr="0050581D">
        <w:t>working collaboratively with industry and, where appropriate, advising industry in advance of its areas of focus</w:t>
      </w:r>
    </w:p>
    <w:p w14:paraId="74C14225" w14:textId="77777777" w:rsidR="0050581D" w:rsidRPr="0050581D" w:rsidRDefault="0050581D" w:rsidP="0050581D">
      <w:pPr>
        <w:numPr>
          <w:ilvl w:val="0"/>
          <w:numId w:val="18"/>
        </w:numPr>
        <w:tabs>
          <w:tab w:val="clear" w:pos="567"/>
        </w:tabs>
        <w:spacing w:after="120"/>
        <w:ind w:left="720" w:hanging="360"/>
      </w:pPr>
      <w:r w:rsidRPr="0050581D">
        <w:t>being open, fair, transparent and nationally consistent with its compliance activities</w:t>
      </w:r>
    </w:p>
    <w:p w14:paraId="351389D7" w14:textId="77777777" w:rsidR="0050581D" w:rsidRPr="0050581D" w:rsidRDefault="0050581D" w:rsidP="0050581D">
      <w:pPr>
        <w:numPr>
          <w:ilvl w:val="0"/>
          <w:numId w:val="18"/>
        </w:numPr>
        <w:tabs>
          <w:tab w:val="clear" w:pos="567"/>
        </w:tabs>
        <w:spacing w:after="120"/>
        <w:ind w:left="720" w:hanging="360"/>
      </w:pPr>
      <w:r w:rsidRPr="0050581D">
        <w:t>ensuring its compliance is intelligence-informed and risk based, and responds proportionately to non-compliance</w:t>
      </w:r>
    </w:p>
    <w:p w14:paraId="499BD572" w14:textId="50568220" w:rsidR="0050581D" w:rsidRPr="0050581D" w:rsidRDefault="0050581D" w:rsidP="0050581D">
      <w:pPr>
        <w:numPr>
          <w:ilvl w:val="0"/>
          <w:numId w:val="18"/>
        </w:numPr>
        <w:tabs>
          <w:tab w:val="clear" w:pos="567"/>
        </w:tabs>
        <w:ind w:left="714" w:hanging="357"/>
      </w:pPr>
      <w:r w:rsidRPr="0050581D">
        <w:t>working with external regulatory, intelligence and enforcement bodies</w:t>
      </w:r>
      <w:r>
        <w:t>, including the ADC,</w:t>
      </w:r>
      <w:r w:rsidRPr="0050581D">
        <w:t xml:space="preserve"> through information sharing and joint activities.</w:t>
      </w:r>
    </w:p>
    <w:p w14:paraId="7A58562B" w14:textId="77777777" w:rsidR="0050581D" w:rsidRPr="0050581D" w:rsidRDefault="0050581D" w:rsidP="0050581D">
      <w:pPr>
        <w:pStyle w:val="BodyText"/>
      </w:pPr>
      <w:r w:rsidRPr="0050581D">
        <w:rPr>
          <w:lang w:val="en-US"/>
        </w:rPr>
        <w:t xml:space="preserve">The ABF’s </w:t>
      </w:r>
      <w:r w:rsidRPr="0050581D">
        <w:t xml:space="preserve">compliance framework ensures that work is done ahead, at, and after the border to facilitate legitimate trade and to deter and prevent non-compliance. </w:t>
      </w:r>
    </w:p>
    <w:p w14:paraId="7AE3A533" w14:textId="58ECA7C7" w:rsidR="009B3D9D" w:rsidRDefault="007B2078" w:rsidP="009B3D9D">
      <w:r>
        <w:t>Evasion</w:t>
      </w:r>
      <w:r w:rsidRPr="0050581D">
        <w:t xml:space="preserve"> </w:t>
      </w:r>
      <w:r w:rsidR="006F38BA" w:rsidRPr="0050581D">
        <w:t xml:space="preserve">of anti-dumping </w:t>
      </w:r>
      <w:r w:rsidR="00D80092">
        <w:t xml:space="preserve">or countervailing </w:t>
      </w:r>
      <w:r w:rsidR="006F38BA" w:rsidRPr="0050581D">
        <w:t xml:space="preserve">measures, </w:t>
      </w:r>
      <w:r>
        <w:t>which could include</w:t>
      </w:r>
      <w:r w:rsidR="006F38BA" w:rsidRPr="0050581D">
        <w:t xml:space="preserve"> trans</w:t>
      </w:r>
      <w:r w:rsidR="00146794">
        <w:t>-s</w:t>
      </w:r>
      <w:r w:rsidR="006F38BA" w:rsidRPr="0050581D">
        <w:t>hipment, may also breach other Customs laws which are administered by the ABF. For example, the ABF</w:t>
      </w:r>
      <w:r w:rsidR="00CA6F58">
        <w:t xml:space="preserve"> may issue a demand for unpaid c</w:t>
      </w:r>
      <w:r w:rsidR="006F38BA" w:rsidRPr="0050581D">
        <w:t>ustoms, dumping or countervailing duties under s</w:t>
      </w:r>
      <w:r w:rsidR="002564FE">
        <w:t>.</w:t>
      </w:r>
      <w:r w:rsidR="006F38BA" w:rsidRPr="0050581D">
        <w:t xml:space="preserve"> 165 of the </w:t>
      </w:r>
      <w:r w:rsidR="00146794" w:rsidRPr="00285C31">
        <w:rPr>
          <w:i/>
        </w:rPr>
        <w:t>Customs Act 1901</w:t>
      </w:r>
      <w:r w:rsidR="00146794">
        <w:t xml:space="preserve"> </w:t>
      </w:r>
      <w:r w:rsidR="006F38BA" w:rsidRPr="0050581D">
        <w:t>for debts payable to the Commonwealth. Persons who trans</w:t>
      </w:r>
      <w:r w:rsidR="00146794">
        <w:t>-s</w:t>
      </w:r>
      <w:r w:rsidR="006F38BA" w:rsidRPr="0050581D">
        <w:t xml:space="preserve">hip goods to circumvent anti-dumping </w:t>
      </w:r>
      <w:r w:rsidR="00D80092">
        <w:t xml:space="preserve">or countervailing </w:t>
      </w:r>
      <w:r w:rsidR="006F38BA" w:rsidRPr="0050581D">
        <w:t xml:space="preserve">measures may also be subject to other penalties under that </w:t>
      </w:r>
      <w:r w:rsidR="006F38BA" w:rsidRPr="002564FE">
        <w:t xml:space="preserve">Act. </w:t>
      </w:r>
    </w:p>
    <w:p w14:paraId="13E2B388" w14:textId="3A5E6018" w:rsidR="00234A8E" w:rsidRPr="00234A8E" w:rsidRDefault="002564FE" w:rsidP="00234A8E">
      <w:r w:rsidRPr="0010103B">
        <w:t xml:space="preserve">The ADC and Home Affairs work collaboratively to ensure that </w:t>
      </w:r>
      <w:r w:rsidRPr="002564FE">
        <w:t>importers and exporters are complying with their obligations</w:t>
      </w:r>
      <w:r>
        <w:t xml:space="preserve">, including </w:t>
      </w:r>
      <w:r w:rsidR="007B2078">
        <w:t>behaviours</w:t>
      </w:r>
      <w:r>
        <w:t xml:space="preserve"> </w:t>
      </w:r>
      <w:r w:rsidR="0010103B">
        <w:t>to</w:t>
      </w:r>
      <w:r>
        <w:t xml:space="preserve"> avoid the payment of anti-dumping and countervailing duties.</w:t>
      </w:r>
      <w:r w:rsidR="009B3D9D">
        <w:t xml:space="preserve"> </w:t>
      </w:r>
    </w:p>
    <w:p w14:paraId="50E793BA" w14:textId="72E005C4" w:rsidR="00004B4B" w:rsidRPr="00C3180D" w:rsidRDefault="002C511D" w:rsidP="00004B4B">
      <w:pPr>
        <w:pStyle w:val="Heading1"/>
        <w:shd w:val="clear" w:color="auto" w:fill="E0E0E0"/>
        <w:tabs>
          <w:tab w:val="num" w:pos="540"/>
        </w:tabs>
        <w:ind w:left="540" w:hanging="540"/>
        <w:jc w:val="left"/>
      </w:pPr>
      <w:bookmarkStart w:id="76" w:name="_Ref516644150"/>
      <w:bookmarkStart w:id="77" w:name="_Toc517257525"/>
      <w:bookmarkStart w:id="78" w:name="_Toc520359267"/>
      <w:bookmarkEnd w:id="68"/>
      <w:bookmarkEnd w:id="69"/>
      <w:bookmarkEnd w:id="70"/>
      <w:r>
        <w:lastRenderedPageBreak/>
        <w:t>CONSULTATION</w:t>
      </w:r>
      <w:bookmarkEnd w:id="76"/>
      <w:bookmarkEnd w:id="77"/>
      <w:bookmarkEnd w:id="78"/>
    </w:p>
    <w:p w14:paraId="49563C69" w14:textId="11189DC7" w:rsidR="001A49DF" w:rsidRPr="00EA0A96" w:rsidRDefault="001A49DF" w:rsidP="00812174">
      <w:pPr>
        <w:rPr>
          <w:b/>
        </w:rPr>
      </w:pPr>
      <w:bookmarkStart w:id="79" w:name="_Toc225240743"/>
      <w:r w:rsidRPr="00EA0A96">
        <w:t xml:space="preserve">I invited members of the International Trade Remedies Forum to comment on the analysis conducted by Cadence and provide any further information or evidence to inform my consideration. Below is a summary of comments received. </w:t>
      </w:r>
    </w:p>
    <w:p w14:paraId="67160D03" w14:textId="0BF2D445" w:rsidR="004103DE" w:rsidRDefault="00271072" w:rsidP="00661C06">
      <w:pPr>
        <w:pStyle w:val="Heading2"/>
      </w:pPr>
      <w:bookmarkStart w:id="80" w:name="_Toc517257526"/>
      <w:bookmarkStart w:id="81" w:name="_Toc520359268"/>
      <w:r>
        <w:t>Query on e</w:t>
      </w:r>
      <w:r w:rsidR="004103DE">
        <w:t>mployment impacts</w:t>
      </w:r>
      <w:r w:rsidR="00B7367F">
        <w:t xml:space="preserve"> at the ITRF meeting</w:t>
      </w:r>
      <w:bookmarkEnd w:id="80"/>
      <w:bookmarkEnd w:id="81"/>
    </w:p>
    <w:p w14:paraId="403BFDAF" w14:textId="645C573B" w:rsidR="00812174" w:rsidRDefault="00CB494B" w:rsidP="00812174">
      <w:r>
        <w:t xml:space="preserve">At the April </w:t>
      </w:r>
      <w:r w:rsidR="004509AF">
        <w:t>ITRF</w:t>
      </w:r>
      <w:r>
        <w:t>, one</w:t>
      </w:r>
      <w:r w:rsidR="00812174">
        <w:t xml:space="preserve"> member queried whether employment impacts could be examined. </w:t>
      </w:r>
    </w:p>
    <w:p w14:paraId="1B6A25C6" w14:textId="77777777" w:rsidR="00E80563" w:rsidRPr="00C655D8" w:rsidRDefault="00E80563" w:rsidP="00661C06">
      <w:pPr>
        <w:pStyle w:val="Heading2"/>
      </w:pPr>
      <w:bookmarkStart w:id="82" w:name="_Toc517257527"/>
      <w:bookmarkStart w:id="83" w:name="_Toc520359269"/>
      <w:r>
        <w:t xml:space="preserve">Submission by </w:t>
      </w:r>
      <w:r w:rsidRPr="00C655D8">
        <w:t>Australian Steel Association</w:t>
      </w:r>
      <w:bookmarkEnd w:id="82"/>
      <w:bookmarkEnd w:id="83"/>
      <w:r w:rsidRPr="00C655D8">
        <w:t xml:space="preserve"> </w:t>
      </w:r>
    </w:p>
    <w:p w14:paraId="5237CDDB" w14:textId="77777777" w:rsidR="00E80563" w:rsidRDefault="00E80563" w:rsidP="00E80563">
      <w:r>
        <w:t xml:space="preserve">Acknowledges the quality of the analysis and does not consider that further analysis needs to be undertaken. </w:t>
      </w:r>
    </w:p>
    <w:p w14:paraId="6C84A64B" w14:textId="062E2149" w:rsidR="00E80563" w:rsidRPr="00C655D8" w:rsidRDefault="00E80563" w:rsidP="00661C06">
      <w:pPr>
        <w:pStyle w:val="Heading2"/>
      </w:pPr>
      <w:bookmarkStart w:id="84" w:name="_Toc517257528"/>
      <w:bookmarkStart w:id="85" w:name="_Toc520359270"/>
      <w:r>
        <w:t xml:space="preserve">Submission by </w:t>
      </w:r>
      <w:r w:rsidRPr="00C655D8">
        <w:t>Blue</w:t>
      </w:r>
      <w:r w:rsidR="007B2078">
        <w:t>S</w:t>
      </w:r>
      <w:r w:rsidRPr="00C655D8">
        <w:t>cope</w:t>
      </w:r>
      <w:r>
        <w:t xml:space="preserve"> Steel</w:t>
      </w:r>
      <w:bookmarkEnd w:id="84"/>
      <w:bookmarkEnd w:id="85"/>
      <w:r w:rsidRPr="00C655D8">
        <w:t xml:space="preserve"> </w:t>
      </w:r>
    </w:p>
    <w:p w14:paraId="37EC6AC8" w14:textId="77777777" w:rsidR="00E80563" w:rsidRPr="001C4CE8" w:rsidRDefault="00E80563" w:rsidP="00E80563">
      <w:r>
        <w:t>Considers</w:t>
      </w:r>
      <w:r w:rsidRPr="001C4CE8">
        <w:t xml:space="preserve"> that steel markets do not follow micro economic theory</w:t>
      </w:r>
      <w:r>
        <w:t xml:space="preserve"> and </w:t>
      </w:r>
      <w:r w:rsidRPr="001C4CE8">
        <w:t>that there are incorrect assumptions</w:t>
      </w:r>
      <w:r>
        <w:t xml:space="preserve"> in the model</w:t>
      </w:r>
      <w:r w:rsidRPr="001C4CE8">
        <w:t xml:space="preserve"> in relation to the flat steel market</w:t>
      </w:r>
      <w:r>
        <w:t xml:space="preserve">. </w:t>
      </w:r>
      <w:r w:rsidRPr="001C4CE8">
        <w:t xml:space="preserve">The market is price sensitive. </w:t>
      </w:r>
    </w:p>
    <w:p w14:paraId="03C944EA" w14:textId="77777777" w:rsidR="00E80563" w:rsidRPr="001C4CE8" w:rsidRDefault="00E80563" w:rsidP="00E80563">
      <w:r w:rsidRPr="001C4CE8">
        <w:t>Would like to have seen the actual modelling an</w:t>
      </w:r>
      <w:r>
        <w:t>d</w:t>
      </w:r>
      <w:r w:rsidRPr="001C4CE8">
        <w:t xml:space="preserve"> assumptions.</w:t>
      </w:r>
      <w:r>
        <w:t xml:space="preserve"> Considers that t</w:t>
      </w:r>
      <w:r w:rsidRPr="001C4CE8">
        <w:t xml:space="preserve">here are some inconsistencies with some of the data used and ABS data in relation to imports into Australia. </w:t>
      </w:r>
    </w:p>
    <w:p w14:paraId="5B6578B5" w14:textId="023B8D05" w:rsidR="00E80563" w:rsidRPr="001C4CE8" w:rsidRDefault="00E80563" w:rsidP="00E80563">
      <w:r w:rsidRPr="001C4CE8">
        <w:t>Blue</w:t>
      </w:r>
      <w:r w:rsidR="007B2078">
        <w:t>S</w:t>
      </w:r>
      <w:r w:rsidRPr="001C4CE8">
        <w:t xml:space="preserve">cope only produces a limited category of goods and many of the categories analysed are not produced in Australia. </w:t>
      </w:r>
    </w:p>
    <w:p w14:paraId="5ED49E54" w14:textId="77777777" w:rsidR="00E80563" w:rsidRPr="001C4CE8" w:rsidRDefault="00E80563" w:rsidP="00E80563">
      <w:r w:rsidRPr="001C4CE8">
        <w:t xml:space="preserve">The environment has changed since the analysis was done rendering the modelling obsolete.  Safeguards and retaliatory actions have not been modelled. </w:t>
      </w:r>
    </w:p>
    <w:p w14:paraId="1DCAEFE8" w14:textId="77777777" w:rsidR="00E80563" w:rsidRPr="001C4CE8" w:rsidRDefault="00E80563" w:rsidP="00E80563">
      <w:r w:rsidRPr="001C4CE8">
        <w:t xml:space="preserve">Attaches importance to the ADC’s commitment to tracking of trade flows.  </w:t>
      </w:r>
    </w:p>
    <w:p w14:paraId="0D6266A2" w14:textId="3CAFDC44" w:rsidR="00E80563" w:rsidRPr="001C4CE8" w:rsidRDefault="00E80563" w:rsidP="00E80563">
      <w:pPr>
        <w:spacing w:after="0"/>
      </w:pPr>
      <w:r w:rsidRPr="001C4CE8">
        <w:t>Blue</w:t>
      </w:r>
      <w:r w:rsidR="007B2078">
        <w:t>S</w:t>
      </w:r>
      <w:r w:rsidRPr="001C4CE8">
        <w:t>cope’s export performance will be impacted by other factors and Blue</w:t>
      </w:r>
      <w:r w:rsidR="007B2078">
        <w:t>S</w:t>
      </w:r>
      <w:r w:rsidRPr="001C4CE8">
        <w:t xml:space="preserve">cope is at capacity.  Australian export prices are unrelated to the Australian domestic price. </w:t>
      </w:r>
    </w:p>
    <w:p w14:paraId="1308160B" w14:textId="77777777" w:rsidR="00E80563" w:rsidRPr="001C4CE8" w:rsidRDefault="00E80563" w:rsidP="00E80563">
      <w:pPr>
        <w:spacing w:after="0"/>
      </w:pPr>
    </w:p>
    <w:p w14:paraId="38425886" w14:textId="73A36056" w:rsidR="00E80563" w:rsidRPr="001C4CE8" w:rsidRDefault="00E80563" w:rsidP="00E80563">
      <w:r w:rsidRPr="001C4CE8">
        <w:t xml:space="preserve">Countries that have sold minor quantities into Australia, but retain trade links could increase volumes, and other countries may also divert volumes to Australia. The modelling underestimates </w:t>
      </w:r>
      <w:r w:rsidR="00A54F45">
        <w:t xml:space="preserve">South </w:t>
      </w:r>
      <w:r w:rsidRPr="001C4CE8">
        <w:t xml:space="preserve">Korea. </w:t>
      </w:r>
    </w:p>
    <w:p w14:paraId="644ACCD1" w14:textId="77777777" w:rsidR="00E80563" w:rsidRPr="001C4CE8" w:rsidRDefault="00E80563" w:rsidP="00E80563">
      <w:r w:rsidRPr="001C4CE8">
        <w:t>The 35</w:t>
      </w:r>
      <w:r>
        <w:t xml:space="preserve"> per cent</w:t>
      </w:r>
      <w:r w:rsidRPr="001C4CE8">
        <w:t xml:space="preserve"> of the steel imports in the ‘rest of world’ classification would include existing and long term key steel exporting countries to Australia. </w:t>
      </w:r>
    </w:p>
    <w:p w14:paraId="24A05A59" w14:textId="77777777" w:rsidR="00E80563" w:rsidRPr="001C4CE8" w:rsidRDefault="00E80563" w:rsidP="00E80563">
      <w:r w:rsidRPr="001C4CE8">
        <w:t>The assumption in the report that increases in domestic pricing as a result of exempted country exports to the US will flow on to other markets.</w:t>
      </w:r>
      <w:r>
        <w:t xml:space="preserve"> Considers that t</w:t>
      </w:r>
      <w:r w:rsidRPr="001C4CE8">
        <w:t>his is incorrect given the finite sales of commodity product volumes in Australia. Prices will be driven down to secure volume.</w:t>
      </w:r>
    </w:p>
    <w:p w14:paraId="36B6DBCE" w14:textId="77777777" w:rsidR="00E80563" w:rsidRPr="001C4CE8" w:rsidRDefault="00E80563" w:rsidP="00E80563">
      <w:r>
        <w:t>Considers that a</w:t>
      </w:r>
      <w:r w:rsidRPr="001C4CE8">
        <w:t xml:space="preserve">n incorrect assumption is made that countries without exemptions will reduce output. Such behaviour has not been witnessed over the recent history of global steel oversupply (or since </w:t>
      </w:r>
      <w:r>
        <w:t>global financial crisis</w:t>
      </w:r>
      <w:r w:rsidRPr="001C4CE8">
        <w:t>)</w:t>
      </w:r>
      <w:r>
        <w:t xml:space="preserve">. </w:t>
      </w:r>
    </w:p>
    <w:p w14:paraId="201B2EA7" w14:textId="77777777" w:rsidR="00E80563" w:rsidRDefault="00E80563" w:rsidP="00E80563">
      <w:r w:rsidRPr="001C4CE8">
        <w:lastRenderedPageBreak/>
        <w:t xml:space="preserve">Provides an example of pricing being reduced by a Chinese exporter after their anti-dumping margins were adjusted to zero and increase market share being obtained by China. Increased volumes cannot be reconciled with the estimate in the </w:t>
      </w:r>
      <w:r>
        <w:t>r</w:t>
      </w:r>
      <w:r w:rsidRPr="001C4CE8">
        <w:t>eport.</w:t>
      </w:r>
      <w:r>
        <w:t xml:space="preserve"> </w:t>
      </w:r>
    </w:p>
    <w:p w14:paraId="79F220F8" w14:textId="77777777" w:rsidR="00E80563" w:rsidRPr="00781148" w:rsidRDefault="00E80563" w:rsidP="00661C06">
      <w:pPr>
        <w:pStyle w:val="Heading2"/>
      </w:pPr>
      <w:bookmarkStart w:id="86" w:name="_Toc517257529"/>
      <w:bookmarkStart w:id="87" w:name="_Toc520359271"/>
      <w:r>
        <w:t xml:space="preserve">Submission by </w:t>
      </w:r>
      <w:r w:rsidRPr="00781148">
        <w:t xml:space="preserve">Capral </w:t>
      </w:r>
      <w:r>
        <w:t>Limited</w:t>
      </w:r>
      <w:bookmarkEnd w:id="86"/>
      <w:bookmarkEnd w:id="87"/>
      <w:r>
        <w:t xml:space="preserve"> </w:t>
      </w:r>
    </w:p>
    <w:p w14:paraId="58E7C0A1" w14:textId="3F185004" w:rsidR="00E80563" w:rsidRDefault="00E80563" w:rsidP="00E80563">
      <w:r>
        <w:t xml:space="preserve">Notes that anti-dumping in Australia applies to a small portion of the aluminium categories examined and that the modelling doesn’t include fabricated goods such as windows which were imported at significant levels </w:t>
      </w:r>
      <w:r w:rsidR="005055A2">
        <w:t xml:space="preserve">to </w:t>
      </w:r>
      <w:r>
        <w:t xml:space="preserve">Australia. </w:t>
      </w:r>
    </w:p>
    <w:p w14:paraId="4DD5C81D" w14:textId="77777777" w:rsidR="00E80563" w:rsidRDefault="00E80563" w:rsidP="00E80563">
      <w:r>
        <w:t xml:space="preserve">The report does not take into account other developments such as the US Section 301 investigations involving intellectual property and sanctions on Russia. London Metal Exchange (LME) aluminium prices have moved in April and May 2018 as a result of this speculation. </w:t>
      </w:r>
    </w:p>
    <w:p w14:paraId="1D6AE265" w14:textId="40E5453C" w:rsidR="00E80563" w:rsidRDefault="00E80563" w:rsidP="00E80563">
      <w:r>
        <w:t xml:space="preserve">Concerned about the removal or reduction by the Government of China </w:t>
      </w:r>
      <w:r w:rsidR="005055A2">
        <w:t xml:space="preserve">of </w:t>
      </w:r>
      <w:r>
        <w:t xml:space="preserve">export tariffs on certain aluminium alloys, which will increase Chinese exports. </w:t>
      </w:r>
    </w:p>
    <w:p w14:paraId="287BF8B6" w14:textId="77777777" w:rsidR="00E80563" w:rsidRDefault="00E80563" w:rsidP="00E80563">
      <w:r>
        <w:t xml:space="preserve">Agrees that import prices in aggregate will decline as non-exempt countries seek out new export destinations. The Australian industry is therefore vulnerable. Volumes will exceed estimated increases of 240 tonnes as categories mentioned above weren’t included in the analysis. </w:t>
      </w:r>
    </w:p>
    <w:p w14:paraId="3701248D" w14:textId="77777777" w:rsidR="00E80563" w:rsidRDefault="00E80563" w:rsidP="00E80563">
      <w:r>
        <w:t xml:space="preserve">Supportive of ongoing vigilance of the ADC, expanded trade flow tracking and remaining alert to circumvention practices. </w:t>
      </w:r>
    </w:p>
    <w:p w14:paraId="235F3088" w14:textId="77777777" w:rsidR="00E80563" w:rsidRPr="009023AE" w:rsidRDefault="00E80563" w:rsidP="00661C06">
      <w:pPr>
        <w:pStyle w:val="Heading2"/>
      </w:pPr>
      <w:bookmarkStart w:id="88" w:name="_Toc517257530"/>
      <w:bookmarkStart w:id="89" w:name="_Toc520359272"/>
      <w:r>
        <w:t>Submission by the Constructions, Forestry, Maritime, Mining and Energy Union (CFMEU), the Australian Manufacturing Workers’ Union (AMWU) and the Australian Workers Union</w:t>
      </w:r>
      <w:bookmarkEnd w:id="88"/>
      <w:bookmarkEnd w:id="89"/>
      <w:r w:rsidRPr="009023AE">
        <w:t xml:space="preserve"> </w:t>
      </w:r>
    </w:p>
    <w:p w14:paraId="15D58808" w14:textId="77777777" w:rsidR="00E80563" w:rsidRDefault="00E80563" w:rsidP="008F1751">
      <w:pPr>
        <w:spacing w:after="0"/>
      </w:pPr>
      <w:r>
        <w:t>Notes:</w:t>
      </w:r>
    </w:p>
    <w:p w14:paraId="3BD05E58" w14:textId="77777777" w:rsidR="00E80563" w:rsidRDefault="00E80563" w:rsidP="00E80563">
      <w:pPr>
        <w:pStyle w:val="ListParagraph"/>
        <w:numPr>
          <w:ilvl w:val="0"/>
          <w:numId w:val="53"/>
        </w:numPr>
      </w:pPr>
      <w:r>
        <w:t>the difficulty in modelling in a changing environment</w:t>
      </w:r>
    </w:p>
    <w:p w14:paraId="43C01BBA" w14:textId="77777777" w:rsidR="00E80563" w:rsidRDefault="00E80563" w:rsidP="00E80563">
      <w:pPr>
        <w:pStyle w:val="ListParagraph"/>
        <w:numPr>
          <w:ilvl w:val="0"/>
          <w:numId w:val="53"/>
        </w:numPr>
      </w:pPr>
      <w:r>
        <w:t xml:space="preserve">that the current state of affairs as at the 31 May 2018 proclamations and the impact of quotas were not specifically modelled. </w:t>
      </w:r>
    </w:p>
    <w:p w14:paraId="3BF48C88" w14:textId="77777777" w:rsidR="00E80563" w:rsidRDefault="00E80563" w:rsidP="00E80563">
      <w:r>
        <w:t xml:space="preserve">Considers this would result in a larger drop in imports than envisaged in the report, which would be significant in the context of the Australian market. </w:t>
      </w:r>
    </w:p>
    <w:p w14:paraId="2FC00EB4" w14:textId="77777777" w:rsidR="00E80563" w:rsidRDefault="00E80563" w:rsidP="00E80563">
      <w:r>
        <w:t xml:space="preserve">The expectation of a general reduction in output is unduly optimistic given recent manufacturer behaviour. Global overcapacity has resulted in an increase in dumping activity. </w:t>
      </w:r>
    </w:p>
    <w:p w14:paraId="7600EC4C" w14:textId="77777777" w:rsidR="00E80563" w:rsidRDefault="00E80563" w:rsidP="00E80563">
      <w:r>
        <w:t xml:space="preserve">Notes that the report does not factor in retaliation and other developments, such as the EU safeguards investigation. Australia is the one exempt country without quotas for steel and aluminium which may result in Australia becoming a target for trans-shipment. </w:t>
      </w:r>
    </w:p>
    <w:p w14:paraId="1C7628CE" w14:textId="77777777" w:rsidR="00E80563" w:rsidRDefault="00E80563" w:rsidP="00E80563">
      <w:r>
        <w:t xml:space="preserve">What is more important than modelling is monitoring what is happening with imports, including ongoing analysis. </w:t>
      </w:r>
    </w:p>
    <w:p w14:paraId="7C0830C9" w14:textId="1441D13F" w:rsidR="00E80563" w:rsidRDefault="00E80563" w:rsidP="00E80563">
      <w:r>
        <w:t>The submission also covers a range of matters outside of the scope of this note including: access to import data, administration of safeguards, funding for the ADC and reforms of the anti-dumping and countervailing system. These have been passed on for appropriate consideration</w:t>
      </w:r>
      <w:r w:rsidR="005055A2">
        <w:t xml:space="preserve"> by other agencies</w:t>
      </w:r>
      <w:r>
        <w:t xml:space="preserve">. </w:t>
      </w:r>
    </w:p>
    <w:p w14:paraId="3A013F82" w14:textId="7290FBF5" w:rsidR="00C655D8" w:rsidRPr="00E670FE" w:rsidRDefault="00CB494B" w:rsidP="00661C06">
      <w:pPr>
        <w:pStyle w:val="Heading2"/>
      </w:pPr>
      <w:bookmarkStart w:id="90" w:name="_Toc517097241"/>
      <w:bookmarkStart w:id="91" w:name="_Toc517257531"/>
      <w:bookmarkStart w:id="92" w:name="_Toc520359273"/>
      <w:bookmarkEnd w:id="90"/>
      <w:r>
        <w:lastRenderedPageBreak/>
        <w:t xml:space="preserve">Submission by </w:t>
      </w:r>
      <w:r w:rsidR="00C655D8" w:rsidRPr="00E670FE">
        <w:t>Liberty Onesteel</w:t>
      </w:r>
      <w:bookmarkEnd w:id="91"/>
      <w:bookmarkEnd w:id="92"/>
      <w:r w:rsidR="00C655D8" w:rsidRPr="00E670FE">
        <w:t xml:space="preserve"> </w:t>
      </w:r>
    </w:p>
    <w:p w14:paraId="6F72E9CB" w14:textId="6B8DFEA1" w:rsidR="00C655D8" w:rsidRPr="00934522" w:rsidRDefault="00E670FE" w:rsidP="00812174">
      <w:r w:rsidRPr="00934522">
        <w:t>The changing nature of the Trump Administration</w:t>
      </w:r>
      <w:r w:rsidR="00146794">
        <w:t>’</w:t>
      </w:r>
      <w:r w:rsidRPr="00934522">
        <w:t>s actions impact the reliability of the analysis.</w:t>
      </w:r>
    </w:p>
    <w:p w14:paraId="60F8D0F5" w14:textId="4D163142" w:rsidR="00E670FE" w:rsidRPr="00934522" w:rsidRDefault="00E670FE" w:rsidP="00812174">
      <w:r w:rsidRPr="00934522">
        <w:t>The report does not consider subsequent retaliatory actions such as the EU safeguards inquiry</w:t>
      </w:r>
      <w:r w:rsidR="00285C31">
        <w:t xml:space="preserve">, and </w:t>
      </w:r>
      <w:r w:rsidRPr="00934522">
        <w:t xml:space="preserve">Cadence’s analysis includes products not manufactured in Australia. </w:t>
      </w:r>
    </w:p>
    <w:p w14:paraId="3FE5B904" w14:textId="11EC57D8" w:rsidR="00E670FE" w:rsidRPr="00934522" w:rsidRDefault="004E40B6" w:rsidP="00812174">
      <w:r>
        <w:t>Considers that t</w:t>
      </w:r>
      <w:r w:rsidR="00E670FE" w:rsidRPr="00934522">
        <w:t xml:space="preserve">he basis for the scenarios modelled is difficult to comprehend. The predictions are lower and counter-intuitive to what would be expected. Increases in imports are already being seen in the Australian market. </w:t>
      </w:r>
    </w:p>
    <w:p w14:paraId="5FC50D0B" w14:textId="159C22A7" w:rsidR="00E670FE" w:rsidRPr="00934522" w:rsidRDefault="00E670FE" w:rsidP="00812174">
      <w:r w:rsidRPr="00934522">
        <w:t xml:space="preserve">The model considers bilateral rather than multilateral trade. Exporting producers may vary volumes between export markets on a month-by-month basis. </w:t>
      </w:r>
    </w:p>
    <w:p w14:paraId="21EA0D8D" w14:textId="32F2A920" w:rsidR="00E670FE" w:rsidRPr="00934522" w:rsidRDefault="004E40B6" w:rsidP="00812174">
      <w:r>
        <w:t>Considers that t</w:t>
      </w:r>
      <w:r w:rsidR="00E670FE" w:rsidRPr="00934522">
        <w:t xml:space="preserve">he assumption that Australian domestic prices will increase as a result of increased exports to the US, irrespective of import prices into Australia is flawed. Australian manufactures price relative to import prices entering the Australian market. </w:t>
      </w:r>
      <w:r w:rsidR="007E2C52" w:rsidRPr="00934522">
        <w:t xml:space="preserve">To maintain market share, Australian manufacturers will need to reduce prices to compete with imports at lower prices. </w:t>
      </w:r>
    </w:p>
    <w:p w14:paraId="2445F064" w14:textId="09B95BBA" w:rsidR="007E2C52" w:rsidRDefault="007E2C52" w:rsidP="00812174">
      <w:r w:rsidRPr="00934522">
        <w:t>Supports a greater focus on t</w:t>
      </w:r>
      <w:r w:rsidR="00934522" w:rsidRPr="00934522">
        <w:t>r</w:t>
      </w:r>
      <w:r w:rsidRPr="00934522">
        <w:t xml:space="preserve">acking volumes of key steel and aluminium product groups. </w:t>
      </w:r>
    </w:p>
    <w:p w14:paraId="5C25B06A" w14:textId="266E287A" w:rsidR="00C655D8" w:rsidRDefault="00CB494B" w:rsidP="00661C06">
      <w:pPr>
        <w:pStyle w:val="Heading2"/>
      </w:pPr>
      <w:bookmarkStart w:id="93" w:name="_Toc517097243"/>
      <w:bookmarkStart w:id="94" w:name="_Toc517097247"/>
      <w:bookmarkStart w:id="95" w:name="_Toc517097248"/>
      <w:bookmarkStart w:id="96" w:name="_Toc517097250"/>
      <w:bookmarkStart w:id="97" w:name="_Toc517097256"/>
      <w:bookmarkStart w:id="98" w:name="_Toc517097260"/>
      <w:bookmarkStart w:id="99" w:name="_Toc517097261"/>
      <w:bookmarkStart w:id="100" w:name="_Toc517097267"/>
      <w:bookmarkStart w:id="101" w:name="_Toc517257532"/>
      <w:bookmarkStart w:id="102" w:name="_Toc520359274"/>
      <w:bookmarkStart w:id="103" w:name="_Ref520446681"/>
      <w:bookmarkEnd w:id="93"/>
      <w:bookmarkEnd w:id="94"/>
      <w:bookmarkEnd w:id="95"/>
      <w:bookmarkEnd w:id="96"/>
      <w:bookmarkEnd w:id="97"/>
      <w:bookmarkEnd w:id="98"/>
      <w:bookmarkEnd w:id="99"/>
      <w:bookmarkEnd w:id="100"/>
      <w:r>
        <w:t>Commissioner’s observations</w:t>
      </w:r>
      <w:bookmarkEnd w:id="101"/>
      <w:bookmarkEnd w:id="102"/>
      <w:bookmarkEnd w:id="103"/>
    </w:p>
    <w:p w14:paraId="52428444" w14:textId="55569320" w:rsidR="006C6D88" w:rsidRDefault="006C6D88" w:rsidP="00812174">
      <w:r w:rsidRPr="00383086">
        <w:t xml:space="preserve">This Note brings evidence into a </w:t>
      </w:r>
      <w:r w:rsidRPr="00C21769">
        <w:t>space in which there were many</w:t>
      </w:r>
      <w:r w:rsidR="00820278">
        <w:t xml:space="preserve"> reasonably held</w:t>
      </w:r>
      <w:r w:rsidRPr="00C21769">
        <w:t xml:space="preserve"> fears</w:t>
      </w:r>
      <w:r w:rsidR="00820278">
        <w:t xml:space="preserve"> that deserve proper consideration</w:t>
      </w:r>
      <w:r w:rsidRPr="00C21769">
        <w:t xml:space="preserve">. </w:t>
      </w:r>
      <w:r w:rsidRPr="00E73BB3">
        <w:t xml:space="preserve">I find the expert </w:t>
      </w:r>
      <w:r w:rsidR="004E40B6" w:rsidRPr="00A748B1">
        <w:t>analysis</w:t>
      </w:r>
      <w:r w:rsidR="004D69EE">
        <w:t xml:space="preserve"> prepared</w:t>
      </w:r>
      <w:r w:rsidR="004E40B6" w:rsidRPr="00A748B1">
        <w:t xml:space="preserve"> by Cadence</w:t>
      </w:r>
      <w:r w:rsidR="00820278">
        <w:t xml:space="preserve"> at my request</w:t>
      </w:r>
      <w:r w:rsidR="004E40B6" w:rsidRPr="00A748B1">
        <w:t xml:space="preserve"> to be</w:t>
      </w:r>
      <w:r w:rsidRPr="00383086">
        <w:t xml:space="preserve"> the best source of evidence at present.</w:t>
      </w:r>
      <w:r w:rsidRPr="00C21769">
        <w:t xml:space="preserve"> </w:t>
      </w:r>
      <w:r w:rsidR="005A1499" w:rsidRPr="00C21769">
        <w:t xml:space="preserve">There is no evidence before </w:t>
      </w:r>
      <w:r w:rsidR="00820278">
        <w:t>me</w:t>
      </w:r>
      <w:r w:rsidR="005A1499" w:rsidRPr="00C21769">
        <w:t xml:space="preserve"> that the economy-wide impacts as a result of the US tariffs will be significant. </w:t>
      </w:r>
      <w:r w:rsidRPr="00C21769">
        <w:t xml:space="preserve">However, limitations on time and data meant that the analysis was not conducted at product level, where impacts could be somewhat different. </w:t>
      </w:r>
    </w:p>
    <w:p w14:paraId="1646E43B" w14:textId="05956927" w:rsidR="00B70468" w:rsidRDefault="006C6D88" w:rsidP="00812174">
      <w:r>
        <w:t xml:space="preserve">Equally, </w:t>
      </w:r>
      <w:r w:rsidR="00B7367F">
        <w:t>I recognise that there are in</w:t>
      </w:r>
      <w:r w:rsidR="00E117BC">
        <w:t>herent limitations to modelling, and the changing application of the tariffs has compounded this.</w:t>
      </w:r>
      <w:r w:rsidR="00997912">
        <w:t xml:space="preserve"> Real-world market dynamics and results </w:t>
      </w:r>
      <w:r w:rsidR="00847838">
        <w:t>may differ from the projected modelled</w:t>
      </w:r>
      <w:r w:rsidR="00B70468">
        <w:t xml:space="preserve"> assumptions and</w:t>
      </w:r>
      <w:r w:rsidR="00847838">
        <w:t xml:space="preserve"> outcomes. </w:t>
      </w:r>
    </w:p>
    <w:p w14:paraId="074F3AF4" w14:textId="518D7868" w:rsidR="006C6D88" w:rsidRDefault="006C6D88" w:rsidP="00812174">
      <w:r>
        <w:t>In response to the query on employment impacts, the ADC asked Cadence to interrogate the model to examine these impacts. On an economy-wide basis, the model estimated increases in full-time equivalent employees of 49 in 2018 and 90 in 2020 under scenario 1 (with exemptions) and reductions of 46 in 2018 and 65 in 2020 under scenario 2 (without exemptions).</w:t>
      </w:r>
    </w:p>
    <w:p w14:paraId="0B41D350" w14:textId="643A0692" w:rsidR="00847838" w:rsidRDefault="00847838" w:rsidP="00812174">
      <w:r>
        <w:t>The products examined are those covered by proclamations and do include products that are not manufactured in Australia. In relation to Capral’s comments</w:t>
      </w:r>
      <w:r w:rsidR="00997912">
        <w:t xml:space="preserve"> on the inclusion of fabricated aluminium products, I note that these </w:t>
      </w:r>
      <w:r w:rsidR="006C6D88">
        <w:t xml:space="preserve">are </w:t>
      </w:r>
      <w:r w:rsidR="00997912">
        <w:t>not included in the US proclamations</w:t>
      </w:r>
      <w:r w:rsidR="003242F8">
        <w:t xml:space="preserve"> and therefore were not modelled</w:t>
      </w:r>
      <w:r w:rsidR="00997912">
        <w:t xml:space="preserve">. </w:t>
      </w:r>
    </w:p>
    <w:p w14:paraId="61CE87CA" w14:textId="4DFC74F6" w:rsidR="00345A6F" w:rsidRDefault="00D5016F" w:rsidP="00034233">
      <w:r>
        <w:t xml:space="preserve">I consciously did not </w:t>
      </w:r>
      <w:r w:rsidR="00847838">
        <w:t>include</w:t>
      </w:r>
      <w:r>
        <w:t xml:space="preserve"> existing or potential retaliatory measures in this analysis. </w:t>
      </w:r>
      <w:r w:rsidR="00847838">
        <w:t>It would go beyond my remit to examine practices</w:t>
      </w:r>
      <w:r w:rsidR="00F75445">
        <w:t xml:space="preserve"> not</w:t>
      </w:r>
      <w:r w:rsidR="00847838">
        <w:t xml:space="preserve"> directly relating to dumping and subsidisation</w:t>
      </w:r>
      <w:r w:rsidR="004E40B6">
        <w:t>. Further</w:t>
      </w:r>
      <w:r w:rsidR="00847838">
        <w:t>, it would be difficult to craft a static retaliation scenario to model</w:t>
      </w:r>
      <w:r w:rsidR="00997912">
        <w:t xml:space="preserve"> </w:t>
      </w:r>
      <w:r w:rsidR="004E40B6">
        <w:t xml:space="preserve">in the current dynamic circumstances. </w:t>
      </w:r>
      <w:bookmarkEnd w:id="79"/>
    </w:p>
    <w:p w14:paraId="5F8588FC" w14:textId="292DD8DB" w:rsidR="00235B6A" w:rsidRPr="007148A4" w:rsidRDefault="00235B6A" w:rsidP="00235B6A">
      <w:pPr>
        <w:pStyle w:val="Heading2"/>
      </w:pPr>
      <w:bookmarkStart w:id="104" w:name="_Toc520359275"/>
      <w:r w:rsidRPr="007148A4">
        <w:lastRenderedPageBreak/>
        <w:t>Consultation draft</w:t>
      </w:r>
      <w:bookmarkStart w:id="105" w:name="_GoBack"/>
      <w:bookmarkEnd w:id="104"/>
      <w:bookmarkEnd w:id="105"/>
    </w:p>
    <w:p w14:paraId="21DFD81B" w14:textId="1DF472CF" w:rsidR="008A6AC7" w:rsidRPr="007148A4" w:rsidRDefault="00235B6A" w:rsidP="00034233">
      <w:r w:rsidRPr="007148A4">
        <w:t xml:space="preserve">On 19 July 2018, I published a consultation draft of this Note on the ADC website and circulated it to ITRF members to enable any final comments to be made before the Note is finalised. </w:t>
      </w:r>
      <w:r w:rsidR="008A6AC7" w:rsidRPr="007148A4">
        <w:t xml:space="preserve">The submissions received provided </w:t>
      </w:r>
      <w:r w:rsidR="00B94385" w:rsidRPr="007148A4">
        <w:t xml:space="preserve">commentary </w:t>
      </w:r>
      <w:r w:rsidR="008A6AC7" w:rsidRPr="007148A4">
        <w:t>on:</w:t>
      </w:r>
    </w:p>
    <w:p w14:paraId="2BAC1546" w14:textId="00869A3F" w:rsidR="008A6AC7" w:rsidRPr="007148A4" w:rsidRDefault="008A6AC7" w:rsidP="001B3200">
      <w:pPr>
        <w:pStyle w:val="ListParagraph"/>
        <w:numPr>
          <w:ilvl w:val="0"/>
          <w:numId w:val="59"/>
        </w:numPr>
      </w:pPr>
      <w:r w:rsidRPr="007148A4">
        <w:t xml:space="preserve">the </w:t>
      </w:r>
      <w:r w:rsidR="004B1B1D" w:rsidRPr="007148A4">
        <w:t>nature</w:t>
      </w:r>
      <w:r w:rsidRPr="007148A4">
        <w:t xml:space="preserve"> of the Note and the modelling</w:t>
      </w:r>
      <w:r w:rsidR="001B3200" w:rsidRPr="007148A4">
        <w:t>, specifically</w:t>
      </w:r>
      <w:r w:rsidR="004B1B1D" w:rsidRPr="007148A4">
        <w:t xml:space="preserve"> regarding</w:t>
      </w:r>
      <w:r w:rsidR="001B3200" w:rsidRPr="007148A4">
        <w:t xml:space="preserve"> </w:t>
      </w:r>
      <w:r w:rsidRPr="007148A4">
        <w:t>safeguards action taken by the European Union</w:t>
      </w:r>
      <w:r w:rsidR="00B94385" w:rsidRPr="007148A4">
        <w:t xml:space="preserve"> and potential trade diversion</w:t>
      </w:r>
    </w:p>
    <w:p w14:paraId="69DCE374" w14:textId="786522E1" w:rsidR="008A6AC7" w:rsidRPr="007148A4" w:rsidRDefault="008A6AC7" w:rsidP="00B94385">
      <w:pPr>
        <w:pStyle w:val="ListParagraph"/>
        <w:numPr>
          <w:ilvl w:val="0"/>
          <w:numId w:val="59"/>
        </w:numPr>
      </w:pPr>
      <w:r w:rsidRPr="007148A4">
        <w:t>trade flow tacking</w:t>
      </w:r>
      <w:r w:rsidR="00B94385" w:rsidRPr="007148A4">
        <w:t xml:space="preserve">. </w:t>
      </w:r>
    </w:p>
    <w:p w14:paraId="08895911" w14:textId="0BDEBE13" w:rsidR="00235B6A" w:rsidRDefault="001B3200" w:rsidP="00034233">
      <w:r w:rsidRPr="007148A4">
        <w:t xml:space="preserve">I have considered the comments made in the submissions. I </w:t>
      </w:r>
      <w:r w:rsidR="004B1B1D" w:rsidRPr="007148A4">
        <w:t>have</w:t>
      </w:r>
      <w:r w:rsidR="00567DFA" w:rsidRPr="007148A4">
        <w:t xml:space="preserve"> </w:t>
      </w:r>
      <w:r w:rsidRPr="007148A4">
        <w:t xml:space="preserve">outlined in paragraph </w:t>
      </w:r>
      <w:r w:rsidRPr="007148A4">
        <w:fldChar w:fldCharType="begin"/>
      </w:r>
      <w:r w:rsidRPr="007148A4">
        <w:instrText xml:space="preserve"> REF _Ref520446681 \r \h </w:instrText>
      </w:r>
      <w:r w:rsidR="007148A4">
        <w:instrText xml:space="preserve"> \* MERGEFORMAT </w:instrText>
      </w:r>
      <w:r w:rsidRPr="007148A4">
        <w:fldChar w:fldCharType="separate"/>
      </w:r>
      <w:r w:rsidRPr="007148A4">
        <w:t>7.7</w:t>
      </w:r>
      <w:r w:rsidRPr="007148A4">
        <w:fldChar w:fldCharType="end"/>
      </w:r>
      <w:r w:rsidRPr="007148A4">
        <w:t xml:space="preserve"> why potential retaliatory measures were not modelled. The comments received were supportive of the tracking of trade flows discussed at paragraphs </w:t>
      </w:r>
      <w:r w:rsidRPr="007148A4">
        <w:fldChar w:fldCharType="begin"/>
      </w:r>
      <w:r w:rsidRPr="007148A4">
        <w:instrText xml:space="preserve"> REF _Ref520444804 \r \h </w:instrText>
      </w:r>
      <w:r w:rsidR="007148A4">
        <w:instrText xml:space="preserve"> \* MERGEFORMAT </w:instrText>
      </w:r>
      <w:r w:rsidRPr="007148A4">
        <w:fldChar w:fldCharType="separate"/>
      </w:r>
      <w:r w:rsidRPr="007148A4">
        <w:t>6.1.1</w:t>
      </w:r>
      <w:r w:rsidRPr="007148A4">
        <w:fldChar w:fldCharType="end"/>
      </w:r>
      <w:r w:rsidRPr="007148A4">
        <w:t xml:space="preserve"> and </w:t>
      </w:r>
      <w:r w:rsidRPr="007148A4">
        <w:fldChar w:fldCharType="begin"/>
      </w:r>
      <w:r w:rsidRPr="007148A4">
        <w:instrText xml:space="preserve"> REF _Ref520444815 \r \h </w:instrText>
      </w:r>
      <w:r w:rsidR="007148A4">
        <w:instrText xml:space="preserve"> \* MERGEFORMAT </w:instrText>
      </w:r>
      <w:r w:rsidRPr="007148A4">
        <w:fldChar w:fldCharType="separate"/>
      </w:r>
      <w:r w:rsidRPr="007148A4">
        <w:t>8.2</w:t>
      </w:r>
      <w:r w:rsidRPr="007148A4">
        <w:fldChar w:fldCharType="end"/>
      </w:r>
      <w:r w:rsidR="00567DFA" w:rsidRPr="007148A4">
        <w:t xml:space="preserve">. I have therefore </w:t>
      </w:r>
      <w:r w:rsidRPr="007148A4">
        <w:t xml:space="preserve">decided that adjustments to the Note are not required. </w:t>
      </w:r>
      <w:r w:rsidR="00B94385" w:rsidRPr="007148A4">
        <w:t xml:space="preserve">  </w:t>
      </w:r>
    </w:p>
    <w:p w14:paraId="3AE61F5D" w14:textId="3638C336" w:rsidR="005055A2" w:rsidRDefault="005055A2" w:rsidP="008D2AA1">
      <w:pPr>
        <w:pStyle w:val="Heading1"/>
      </w:pPr>
      <w:bookmarkStart w:id="106" w:name="_Ref517251752"/>
      <w:bookmarkStart w:id="107" w:name="_Toc517257533"/>
      <w:bookmarkStart w:id="108" w:name="_Toc520359276"/>
      <w:r>
        <w:lastRenderedPageBreak/>
        <w:t>FUTURE ACTIONS PROPOSED</w:t>
      </w:r>
      <w:bookmarkEnd w:id="106"/>
      <w:bookmarkEnd w:id="107"/>
      <w:bookmarkEnd w:id="108"/>
    </w:p>
    <w:p w14:paraId="73B4D402" w14:textId="79DFFC2B" w:rsidR="008D2AA1" w:rsidRDefault="008D2AA1" w:rsidP="00661C06">
      <w:pPr>
        <w:pStyle w:val="Heading2"/>
      </w:pPr>
      <w:bookmarkStart w:id="109" w:name="_Toc517257534"/>
      <w:bookmarkStart w:id="110" w:name="_Toc520359277"/>
      <w:r>
        <w:t>Reflection</w:t>
      </w:r>
      <w:r w:rsidR="0064310A">
        <w:t>s</w:t>
      </w:r>
      <w:r>
        <w:t xml:space="preserve"> on modelled impacts</w:t>
      </w:r>
      <w:bookmarkEnd w:id="109"/>
      <w:bookmarkEnd w:id="110"/>
    </w:p>
    <w:p w14:paraId="33161E7D" w14:textId="7B36405E" w:rsidR="005055A2" w:rsidRDefault="005055A2" w:rsidP="00116B8A">
      <w:r w:rsidRPr="008D2AA1">
        <w:t xml:space="preserve">As </w:t>
      </w:r>
      <w:r>
        <w:t xml:space="preserve">Commissioner of the Anti-Dumping Commission, I am committed to maintaining a strong and robust </w:t>
      </w:r>
      <w:r w:rsidR="004D72FC">
        <w:t xml:space="preserve">anti-dumping and countervailing trade remedies system. </w:t>
      </w:r>
    </w:p>
    <w:p w14:paraId="75A528B9" w14:textId="0F3019CC" w:rsidR="004D72FC" w:rsidRDefault="00A2332A" w:rsidP="00116B8A">
      <w:r>
        <w:t>B</w:t>
      </w:r>
      <w:r w:rsidR="004D72FC">
        <w:t xml:space="preserve">ased on the evidence provided to me </w:t>
      </w:r>
      <w:r w:rsidR="004D72FC" w:rsidRPr="00A336FE">
        <w:t xml:space="preserve">through this </w:t>
      </w:r>
      <w:r w:rsidR="00A336FE">
        <w:t>matter</w:t>
      </w:r>
      <w:r w:rsidR="004D72FC">
        <w:t>, it is clear</w:t>
      </w:r>
      <w:r w:rsidR="00820278">
        <w:t xml:space="preserve"> </w:t>
      </w:r>
      <w:r w:rsidR="004D72FC">
        <w:t xml:space="preserve">that the economy-wide impacts of certain trade actions taken by the </w:t>
      </w:r>
      <w:r w:rsidR="00A54F45">
        <w:t>Trump</w:t>
      </w:r>
      <w:r w:rsidR="004D72FC">
        <w:t xml:space="preserve"> administration</w:t>
      </w:r>
      <w:r w:rsidR="00A54F45">
        <w:t xml:space="preserve"> which have been analysed in this exercise  </w:t>
      </w:r>
      <w:r w:rsidR="004D72FC">
        <w:t>are considered immaterial</w:t>
      </w:r>
      <w:r w:rsidR="00820278">
        <w:t>. T</w:t>
      </w:r>
      <w:r>
        <w:t xml:space="preserve">here remains, however, in my view </w:t>
      </w:r>
      <w:r w:rsidR="00820278">
        <w:t>some</w:t>
      </w:r>
      <w:r w:rsidR="004D72FC">
        <w:t xml:space="preserve"> concern at a product-specific level</w:t>
      </w:r>
      <w:r w:rsidR="00895F9C">
        <w:t>,</w:t>
      </w:r>
      <w:r w:rsidR="004D72FC">
        <w:t xml:space="preserve"> </w:t>
      </w:r>
      <w:r w:rsidR="00820278">
        <w:t xml:space="preserve">that </w:t>
      </w:r>
      <w:r w:rsidR="004D72FC">
        <w:t xml:space="preserve">there may be a more significant impact on Australian manufacturers as firms seek to redistribute their products globally. </w:t>
      </w:r>
    </w:p>
    <w:p w14:paraId="6049BCAF" w14:textId="52376310" w:rsidR="004D72FC" w:rsidRDefault="00820278" w:rsidP="00116B8A">
      <w:r>
        <w:t>I agree with these concerns</w:t>
      </w:r>
      <w:r w:rsidR="00CE5585">
        <w:t>.</w:t>
      </w:r>
      <w:r w:rsidR="00A2332A">
        <w:t xml:space="preserve"> </w:t>
      </w:r>
      <w:r w:rsidR="00CE5585">
        <w:t xml:space="preserve">Should there be </w:t>
      </w:r>
      <w:r w:rsidR="004D72FC">
        <w:t>actions</w:t>
      </w:r>
      <w:r w:rsidR="00A54F45">
        <w:t xml:space="preserve"> taken by exporters</w:t>
      </w:r>
      <w:r w:rsidR="00CE5585">
        <w:t>,</w:t>
      </w:r>
      <w:r w:rsidR="004D72FC">
        <w:t xml:space="preserve"> include dumping </w:t>
      </w:r>
      <w:r w:rsidR="00A336FE">
        <w:t>or</w:t>
      </w:r>
      <w:r w:rsidR="004D72FC">
        <w:t xml:space="preserve"> subsidisation, the ADC will act </w:t>
      </w:r>
      <w:r>
        <w:t>appropriately</w:t>
      </w:r>
      <w:r w:rsidR="004D72FC">
        <w:t xml:space="preserve"> in response. </w:t>
      </w:r>
    </w:p>
    <w:p w14:paraId="7E840A75" w14:textId="32D82EF3" w:rsidR="004D72FC" w:rsidRDefault="004D72FC" w:rsidP="00116B8A">
      <w:r>
        <w:t>In order to do this effectively, the ADC will continue to monitor and track trade flows</w:t>
      </w:r>
      <w:r w:rsidR="00927F30">
        <w:t>, using a risk-based approach,</w:t>
      </w:r>
      <w:r>
        <w:t xml:space="preserve"> </w:t>
      </w:r>
      <w:r w:rsidR="00895F9C">
        <w:t xml:space="preserve">of </w:t>
      </w:r>
      <w:r>
        <w:t>those products</w:t>
      </w:r>
      <w:r w:rsidR="00927F30">
        <w:t xml:space="preserve"> subject to trade remedy measures, and collaborate with other government agencies more broadly as required. </w:t>
      </w:r>
    </w:p>
    <w:p w14:paraId="66810259" w14:textId="18E6A407" w:rsidR="00927F30" w:rsidRDefault="00927F30" w:rsidP="00661C06">
      <w:pPr>
        <w:pStyle w:val="Heading2"/>
      </w:pPr>
      <w:bookmarkStart w:id="111" w:name="_Toc517257535"/>
      <w:bookmarkStart w:id="112" w:name="_Toc520359278"/>
      <w:bookmarkStart w:id="113" w:name="_Ref520444815"/>
      <w:r>
        <w:t>Trade Remedy Index</w:t>
      </w:r>
      <w:bookmarkEnd w:id="111"/>
      <w:bookmarkEnd w:id="112"/>
      <w:bookmarkEnd w:id="113"/>
      <w:r w:rsidR="00965C26">
        <w:t xml:space="preserve"> </w:t>
      </w:r>
    </w:p>
    <w:p w14:paraId="31061D8A" w14:textId="5CBA29A8" w:rsidR="00927F30" w:rsidRDefault="00927F30" w:rsidP="00116B8A">
      <w:r>
        <w:t xml:space="preserve">I have determined that the best and most effective way to properly track and monitor existing trade remedy measures is </w:t>
      </w:r>
      <w:r w:rsidRPr="0023085B">
        <w:t xml:space="preserve">to </w:t>
      </w:r>
      <w:r w:rsidR="0023085B" w:rsidRPr="0023085B">
        <w:t>establish statistically</w:t>
      </w:r>
      <w:r w:rsidR="00AE3784">
        <w:t xml:space="preserve"> based and data-</w:t>
      </w:r>
      <w:r>
        <w:t>drive</w:t>
      </w:r>
      <w:r w:rsidR="00AE3784">
        <w:t>n</w:t>
      </w:r>
      <w:r>
        <w:t xml:space="preserve"> </w:t>
      </w:r>
      <w:r w:rsidR="00AE3784" w:rsidRPr="0023085B">
        <w:t>indices</w:t>
      </w:r>
      <w:r w:rsidR="00AE3784">
        <w:t xml:space="preserve"> that would:</w:t>
      </w:r>
    </w:p>
    <w:p w14:paraId="56A81F33" w14:textId="77777777" w:rsidR="006545CD" w:rsidRDefault="00AE3784" w:rsidP="00116B8A">
      <w:pPr>
        <w:pStyle w:val="ListParagraph"/>
        <w:numPr>
          <w:ilvl w:val="0"/>
          <w:numId w:val="55"/>
        </w:numPr>
      </w:pPr>
      <w:r>
        <w:t xml:space="preserve">be compiled by the </w:t>
      </w:r>
      <w:r w:rsidR="00CA6B13">
        <w:t>ADC</w:t>
      </w:r>
      <w:r>
        <w:t xml:space="preserve"> for volumes an</w:t>
      </w:r>
      <w:r w:rsidR="00CA6B13">
        <w:t xml:space="preserve">d pricing </w:t>
      </w:r>
      <w:r w:rsidR="006545CD">
        <w:t>using 2017 as a base year</w:t>
      </w:r>
    </w:p>
    <w:p w14:paraId="76FF30CC" w14:textId="2841FFEE" w:rsidR="00AE3784" w:rsidRPr="00116B8A" w:rsidRDefault="006545CD" w:rsidP="00116B8A">
      <w:pPr>
        <w:pStyle w:val="ListParagraph"/>
        <w:numPr>
          <w:ilvl w:val="0"/>
          <w:numId w:val="55"/>
        </w:numPr>
      </w:pPr>
      <w:r>
        <w:t xml:space="preserve">separately identify and track </w:t>
      </w:r>
      <w:r w:rsidR="00CA6B13">
        <w:t>i</w:t>
      </w:r>
      <w:r w:rsidR="00AE3784">
        <w:t>mport</w:t>
      </w:r>
      <w:r w:rsidR="00895F9C">
        <w:t xml:space="preserve"> </w:t>
      </w:r>
      <w:r w:rsidR="00AE3784">
        <w:t>sources great</w:t>
      </w:r>
      <w:r w:rsidR="00CA6B13">
        <w:t>er than 3 per cent</w:t>
      </w:r>
      <w:r>
        <w:t xml:space="preserve"> of 2017</w:t>
      </w:r>
      <w:r w:rsidR="00CA6B13">
        <w:t xml:space="preserve"> volume</w:t>
      </w:r>
      <w:r>
        <w:t xml:space="preserve">s and emerging significant new sources </w:t>
      </w:r>
    </w:p>
    <w:p w14:paraId="01132B0A" w14:textId="14D60709" w:rsidR="00AE3784" w:rsidRPr="00116B8A" w:rsidRDefault="00AE3784" w:rsidP="00116B8A">
      <w:pPr>
        <w:pStyle w:val="ListParagraph"/>
        <w:numPr>
          <w:ilvl w:val="0"/>
          <w:numId w:val="55"/>
        </w:numPr>
      </w:pPr>
      <w:r>
        <w:t xml:space="preserve">cover </w:t>
      </w:r>
      <w:r w:rsidR="00A336FE">
        <w:t>a range of</w:t>
      </w:r>
      <w:r>
        <w:t xml:space="preserve"> goods which are subject to anti-dumping/countervailing measures</w:t>
      </w:r>
    </w:p>
    <w:p w14:paraId="0DF2D970" w14:textId="2096359B" w:rsidR="00AE3784" w:rsidRPr="00116B8A" w:rsidRDefault="00CA6B13" w:rsidP="00116B8A">
      <w:pPr>
        <w:pStyle w:val="ListParagraph"/>
        <w:numPr>
          <w:ilvl w:val="0"/>
          <w:numId w:val="55"/>
        </w:numPr>
      </w:pPr>
      <w:r>
        <w:t xml:space="preserve">be used to </w:t>
      </w:r>
      <w:r w:rsidR="00AE3784">
        <w:t>provide updates to me on movements in volumes and pricing on a monthly basis</w:t>
      </w:r>
      <w:r>
        <w:t>.</w:t>
      </w:r>
      <w:r w:rsidR="00AE3784">
        <w:t xml:space="preserve"> </w:t>
      </w:r>
    </w:p>
    <w:p w14:paraId="39FC2AAD" w14:textId="12BAF28A" w:rsidR="00927F30" w:rsidRPr="00760C39" w:rsidRDefault="00927F30" w:rsidP="00116B8A">
      <w:r>
        <w:t xml:space="preserve">In addition I will increase </w:t>
      </w:r>
      <w:r w:rsidR="00760C39">
        <w:t xml:space="preserve">my </w:t>
      </w:r>
      <w:r w:rsidR="0023085B" w:rsidRPr="00116B8A">
        <w:t>efforts</w:t>
      </w:r>
      <w:r w:rsidR="00760C39" w:rsidRPr="00116B8A">
        <w:t xml:space="preserve"> taken</w:t>
      </w:r>
      <w:r w:rsidRPr="00116B8A">
        <w:t xml:space="preserve"> </w:t>
      </w:r>
      <w:r w:rsidR="00760C39" w:rsidRPr="00116B8A">
        <w:t>on</w:t>
      </w:r>
      <w:r w:rsidR="00760C39">
        <w:t xml:space="preserve"> </w:t>
      </w:r>
      <w:r>
        <w:t>anti-circumvention</w:t>
      </w:r>
      <w:r w:rsidR="00760C39">
        <w:t xml:space="preserve"> matters </w:t>
      </w:r>
      <w:r>
        <w:t>and will work with</w:t>
      </w:r>
      <w:r w:rsidR="00AE3784">
        <w:t xml:space="preserve"> other government agencies t</w:t>
      </w:r>
      <w:r>
        <w:t>o</w:t>
      </w:r>
      <w:r w:rsidR="00AE3784">
        <w:t xml:space="preserve"> </w:t>
      </w:r>
      <w:r>
        <w:t xml:space="preserve">ensure that </w:t>
      </w:r>
      <w:r w:rsidR="00A336FE">
        <w:t xml:space="preserve">the </w:t>
      </w:r>
      <w:r>
        <w:t xml:space="preserve">powers </w:t>
      </w:r>
      <w:r w:rsidR="00CA6B13">
        <w:t xml:space="preserve">available to me </w:t>
      </w:r>
      <w:r>
        <w:t xml:space="preserve">under the Customs Act are </w:t>
      </w:r>
      <w:r w:rsidR="00CA6B13">
        <w:t xml:space="preserve">applied </w:t>
      </w:r>
      <w:r>
        <w:t xml:space="preserve">effectively to ensure </w:t>
      </w:r>
      <w:r w:rsidRPr="008F1136">
        <w:t>that</w:t>
      </w:r>
      <w:r w:rsidR="00A54F45" w:rsidRPr="008F1136">
        <w:t xml:space="preserve"> circumvention</w:t>
      </w:r>
      <w:r w:rsidRPr="008F1136">
        <w:t xml:space="preserve"> practices</w:t>
      </w:r>
      <w:r w:rsidR="00CA187E" w:rsidRPr="008F1136">
        <w:t>,</w:t>
      </w:r>
      <w:r w:rsidRPr="008F1136">
        <w:t xml:space="preserve"> such as trans-shipment</w:t>
      </w:r>
      <w:r w:rsidR="009F7D7B" w:rsidRPr="008F1136">
        <w:t xml:space="preserve"> </w:t>
      </w:r>
      <w:r w:rsidR="008F1136" w:rsidRPr="008F1136">
        <w:t xml:space="preserve">aimed at avoiding </w:t>
      </w:r>
      <w:r w:rsidR="009F7D7B" w:rsidRPr="008F1136">
        <w:t>duties</w:t>
      </w:r>
      <w:r w:rsidR="00CA187E" w:rsidRPr="008F1136">
        <w:t>,</w:t>
      </w:r>
      <w:r w:rsidRPr="008F1136">
        <w:t xml:space="preserve"> are properly acted</w:t>
      </w:r>
      <w:r>
        <w:t xml:space="preserve"> </w:t>
      </w:r>
      <w:r w:rsidR="00CA6B13">
        <w:t xml:space="preserve">against in order to </w:t>
      </w:r>
      <w:r>
        <w:t xml:space="preserve">provide for an effective </w:t>
      </w:r>
      <w:r w:rsidR="0023085B">
        <w:t>Australian</w:t>
      </w:r>
      <w:r w:rsidR="00CA6B13">
        <w:t xml:space="preserve"> </w:t>
      </w:r>
      <w:r>
        <w:t xml:space="preserve">trade remedy system. </w:t>
      </w:r>
    </w:p>
    <w:p w14:paraId="28F3B468" w14:textId="294E1205" w:rsidR="005055A2" w:rsidRPr="00760C39" w:rsidRDefault="005055A2" w:rsidP="00116B8A">
      <w:r w:rsidRPr="00760C39">
        <w:br w:type="page"/>
      </w:r>
    </w:p>
    <w:p w14:paraId="7EF6BA5C" w14:textId="3C050DEB" w:rsidR="00345A6F" w:rsidRPr="000215C3" w:rsidRDefault="00F0225C" w:rsidP="00F07281">
      <w:pPr>
        <w:pStyle w:val="Heading1"/>
        <w:rPr>
          <w:caps/>
        </w:rPr>
      </w:pPr>
      <w:bookmarkStart w:id="114" w:name="_Toc517257536"/>
      <w:bookmarkStart w:id="115" w:name="_Toc520359279"/>
      <w:r w:rsidRPr="000215C3">
        <w:rPr>
          <w:caps/>
        </w:rPr>
        <w:lastRenderedPageBreak/>
        <w:t>Appendi</w:t>
      </w:r>
      <w:r w:rsidR="001E07BD" w:rsidRPr="000215C3">
        <w:rPr>
          <w:caps/>
        </w:rPr>
        <w:t>ces and attachments</w:t>
      </w:r>
      <w:bookmarkEnd w:id="114"/>
      <w:bookmarkEnd w:id="115"/>
      <w:r w:rsidR="001E07BD" w:rsidRPr="000215C3">
        <w:rPr>
          <w:caps/>
        </w:rPr>
        <w:t xml:space="preserve"> </w:t>
      </w:r>
    </w:p>
    <w:p w14:paraId="309E6A77" w14:textId="0CCF1E45" w:rsidR="001E07BD" w:rsidRPr="001E07BD" w:rsidRDefault="001E07BD" w:rsidP="001E07BD">
      <w:pPr>
        <w:rPr>
          <w:b/>
          <w:lang w:eastAsia="en-US"/>
        </w:rPr>
      </w:pPr>
      <w:r w:rsidRPr="001E07BD">
        <w:rPr>
          <w:b/>
        </w:rPr>
        <w:t>Appendix 1 - Steel and aluminium products and countries covered by measures with rates of duties (as at 30 April 2018)</w:t>
      </w:r>
    </w:p>
    <w:tbl>
      <w:tblPr>
        <w:tblStyle w:val="TableGrid"/>
        <w:tblW w:w="10343" w:type="dxa"/>
        <w:tblLayout w:type="fixed"/>
        <w:tblLook w:val="04A0" w:firstRow="1" w:lastRow="0" w:firstColumn="1" w:lastColumn="0" w:noHBand="0" w:noVBand="1"/>
      </w:tblPr>
      <w:tblGrid>
        <w:gridCol w:w="2263"/>
        <w:gridCol w:w="1701"/>
        <w:gridCol w:w="1418"/>
        <w:gridCol w:w="3402"/>
        <w:gridCol w:w="1559"/>
      </w:tblGrid>
      <w:tr w:rsidR="00345A6F" w:rsidRPr="003E159E" w14:paraId="659C97FB" w14:textId="77777777" w:rsidTr="00265079">
        <w:tc>
          <w:tcPr>
            <w:tcW w:w="2263" w:type="dxa"/>
            <w:shd w:val="clear" w:color="auto" w:fill="F2F2F2" w:themeFill="background1" w:themeFillShade="F2"/>
          </w:tcPr>
          <w:p w14:paraId="36DE66BB" w14:textId="3E403F2E" w:rsidR="00345A6F" w:rsidRPr="00592260" w:rsidRDefault="00345A6F" w:rsidP="00F0225C">
            <w:pPr>
              <w:keepNext/>
              <w:keepLines/>
              <w:spacing w:after="200"/>
              <w:contextualSpacing/>
              <w:rPr>
                <w:rFonts w:eastAsia="Times New Roman" w:cs="Arial"/>
                <w:b/>
                <w:sz w:val="22"/>
              </w:rPr>
            </w:pPr>
            <w:r w:rsidRPr="00592260">
              <w:rPr>
                <w:rFonts w:eastAsia="Times New Roman" w:cs="Arial"/>
                <w:b/>
                <w:sz w:val="22"/>
              </w:rPr>
              <w:t>Product</w:t>
            </w:r>
          </w:p>
        </w:tc>
        <w:tc>
          <w:tcPr>
            <w:tcW w:w="1701" w:type="dxa"/>
            <w:shd w:val="clear" w:color="auto" w:fill="F2F2F2" w:themeFill="background1" w:themeFillShade="F2"/>
          </w:tcPr>
          <w:p w14:paraId="0D17D31A" w14:textId="77777777" w:rsidR="00345A6F" w:rsidRPr="00592260" w:rsidRDefault="00345A6F" w:rsidP="00F0225C">
            <w:pPr>
              <w:keepNext/>
              <w:keepLines/>
              <w:spacing w:after="200"/>
              <w:contextualSpacing/>
              <w:rPr>
                <w:rFonts w:eastAsia="Times New Roman" w:cs="Arial"/>
                <w:b/>
                <w:sz w:val="22"/>
              </w:rPr>
            </w:pPr>
            <w:r w:rsidRPr="00592260">
              <w:rPr>
                <w:rFonts w:eastAsia="Times New Roman" w:cs="Arial"/>
                <w:b/>
                <w:sz w:val="22"/>
              </w:rPr>
              <w:t>Date imposed</w:t>
            </w:r>
          </w:p>
        </w:tc>
        <w:tc>
          <w:tcPr>
            <w:tcW w:w="1418" w:type="dxa"/>
            <w:shd w:val="clear" w:color="auto" w:fill="F2F2F2" w:themeFill="background1" w:themeFillShade="F2"/>
          </w:tcPr>
          <w:p w14:paraId="660A44A4" w14:textId="77777777" w:rsidR="00345A6F" w:rsidRPr="00592260" w:rsidRDefault="00345A6F" w:rsidP="00F0225C">
            <w:pPr>
              <w:keepNext/>
              <w:keepLines/>
              <w:spacing w:after="200"/>
              <w:contextualSpacing/>
              <w:rPr>
                <w:rFonts w:eastAsia="Times New Roman" w:cs="Arial"/>
                <w:b/>
                <w:sz w:val="22"/>
              </w:rPr>
            </w:pPr>
            <w:r w:rsidRPr="00592260">
              <w:rPr>
                <w:rFonts w:eastAsia="Times New Roman" w:cs="Arial"/>
                <w:b/>
                <w:sz w:val="22"/>
              </w:rPr>
              <w:t>Date expire</w:t>
            </w:r>
          </w:p>
        </w:tc>
        <w:tc>
          <w:tcPr>
            <w:tcW w:w="3402" w:type="dxa"/>
            <w:shd w:val="clear" w:color="auto" w:fill="F2F2F2" w:themeFill="background1" w:themeFillShade="F2"/>
          </w:tcPr>
          <w:p w14:paraId="32F82A43" w14:textId="77777777" w:rsidR="00345A6F" w:rsidRPr="00592260" w:rsidRDefault="00345A6F" w:rsidP="00F0225C">
            <w:pPr>
              <w:keepNext/>
              <w:keepLines/>
              <w:spacing w:after="200"/>
              <w:contextualSpacing/>
              <w:rPr>
                <w:rFonts w:eastAsia="Times New Roman" w:cs="Arial"/>
                <w:b/>
                <w:sz w:val="22"/>
              </w:rPr>
            </w:pPr>
            <w:r w:rsidRPr="00592260">
              <w:rPr>
                <w:rFonts w:eastAsia="Times New Roman" w:cs="Arial"/>
                <w:b/>
                <w:sz w:val="22"/>
              </w:rPr>
              <w:t>Countries covered</w:t>
            </w:r>
            <w:r w:rsidRPr="00592260">
              <w:rPr>
                <w:rStyle w:val="FootnoteReference"/>
                <w:rFonts w:eastAsia="Times New Roman" w:cs="Arial"/>
                <w:b/>
                <w:sz w:val="22"/>
              </w:rPr>
              <w:footnoteReference w:id="20"/>
            </w:r>
          </w:p>
        </w:tc>
        <w:tc>
          <w:tcPr>
            <w:tcW w:w="1559" w:type="dxa"/>
            <w:shd w:val="clear" w:color="auto" w:fill="F2F2F2" w:themeFill="background1" w:themeFillShade="F2"/>
          </w:tcPr>
          <w:p w14:paraId="757A0848" w14:textId="1ABFE073" w:rsidR="00345A6F" w:rsidRPr="00592260" w:rsidRDefault="00345A6F" w:rsidP="00F0225C">
            <w:pPr>
              <w:keepNext/>
              <w:keepLines/>
              <w:spacing w:after="200"/>
              <w:contextualSpacing/>
              <w:rPr>
                <w:rFonts w:eastAsia="Times New Roman" w:cs="Arial"/>
                <w:b/>
                <w:sz w:val="22"/>
              </w:rPr>
            </w:pPr>
            <w:r w:rsidRPr="00592260">
              <w:rPr>
                <w:rFonts w:eastAsia="Times New Roman" w:cs="Arial"/>
                <w:b/>
                <w:sz w:val="22"/>
              </w:rPr>
              <w:t>Effective rates (%)</w:t>
            </w:r>
          </w:p>
        </w:tc>
      </w:tr>
      <w:tr w:rsidR="00345A6F" w:rsidRPr="003E159E" w14:paraId="6EB53FC4" w14:textId="77777777" w:rsidTr="00265079">
        <w:tc>
          <w:tcPr>
            <w:tcW w:w="2263" w:type="dxa"/>
          </w:tcPr>
          <w:p w14:paraId="437F72B1"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Aluminium extrusions</w:t>
            </w:r>
          </w:p>
        </w:tc>
        <w:tc>
          <w:tcPr>
            <w:tcW w:w="1701" w:type="dxa"/>
          </w:tcPr>
          <w:p w14:paraId="0B5FC978"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28/10/2010</w:t>
            </w:r>
          </w:p>
        </w:tc>
        <w:tc>
          <w:tcPr>
            <w:tcW w:w="1418" w:type="dxa"/>
          </w:tcPr>
          <w:p w14:paraId="74C0B9E9"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28/10/2020</w:t>
            </w:r>
          </w:p>
        </w:tc>
        <w:tc>
          <w:tcPr>
            <w:tcW w:w="3402" w:type="dxa"/>
          </w:tcPr>
          <w:p w14:paraId="20A91E20"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China (D) China (C)</w:t>
            </w:r>
          </w:p>
        </w:tc>
        <w:tc>
          <w:tcPr>
            <w:tcW w:w="1559" w:type="dxa"/>
          </w:tcPr>
          <w:p w14:paraId="12F57C7B"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0.1 to 64.4</w:t>
            </w:r>
          </w:p>
        </w:tc>
      </w:tr>
      <w:tr w:rsidR="00345A6F" w:rsidRPr="00BB4CE1" w14:paraId="5B0015EA" w14:textId="77777777" w:rsidTr="00265079">
        <w:tc>
          <w:tcPr>
            <w:tcW w:w="2263" w:type="dxa"/>
          </w:tcPr>
          <w:p w14:paraId="3A5C2E2D"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Aluminium extrusions</w:t>
            </w:r>
          </w:p>
        </w:tc>
        <w:tc>
          <w:tcPr>
            <w:tcW w:w="1701" w:type="dxa"/>
          </w:tcPr>
          <w:p w14:paraId="7D644471"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27/06/2017</w:t>
            </w:r>
          </w:p>
        </w:tc>
        <w:tc>
          <w:tcPr>
            <w:tcW w:w="1418" w:type="dxa"/>
          </w:tcPr>
          <w:p w14:paraId="0AA2A9ED"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27/06/2022</w:t>
            </w:r>
          </w:p>
        </w:tc>
        <w:tc>
          <w:tcPr>
            <w:tcW w:w="3402" w:type="dxa"/>
          </w:tcPr>
          <w:p w14:paraId="1D5D9AC7"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Malaysia (D), Malaysia (C) Vietnam (D)</w:t>
            </w:r>
          </w:p>
        </w:tc>
        <w:tc>
          <w:tcPr>
            <w:tcW w:w="1559" w:type="dxa"/>
          </w:tcPr>
          <w:p w14:paraId="2B07882E"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7.7 to 34.9</w:t>
            </w:r>
          </w:p>
        </w:tc>
      </w:tr>
      <w:tr w:rsidR="00345A6F" w:rsidRPr="003E159E" w14:paraId="556BB9BA" w14:textId="77777777" w:rsidTr="00265079">
        <w:tc>
          <w:tcPr>
            <w:tcW w:w="2263" w:type="dxa"/>
          </w:tcPr>
          <w:p w14:paraId="2D559D9B"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Aluminium road wheels</w:t>
            </w:r>
          </w:p>
        </w:tc>
        <w:tc>
          <w:tcPr>
            <w:tcW w:w="1701" w:type="dxa"/>
          </w:tcPr>
          <w:p w14:paraId="488C16DA"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05/07/2017</w:t>
            </w:r>
          </w:p>
        </w:tc>
        <w:tc>
          <w:tcPr>
            <w:tcW w:w="1418" w:type="dxa"/>
          </w:tcPr>
          <w:p w14:paraId="41559757"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04/07/2022</w:t>
            </w:r>
          </w:p>
        </w:tc>
        <w:tc>
          <w:tcPr>
            <w:tcW w:w="3402" w:type="dxa"/>
          </w:tcPr>
          <w:p w14:paraId="0B9BBEE6"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China (D) China (C)</w:t>
            </w:r>
          </w:p>
        </w:tc>
        <w:tc>
          <w:tcPr>
            <w:tcW w:w="1559" w:type="dxa"/>
          </w:tcPr>
          <w:p w14:paraId="70F72C4F"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0.8 to 111.8</w:t>
            </w:r>
          </w:p>
        </w:tc>
      </w:tr>
      <w:tr w:rsidR="00345A6F" w:rsidRPr="003E159E" w14:paraId="01E36B52" w14:textId="77777777" w:rsidTr="00265079">
        <w:tc>
          <w:tcPr>
            <w:tcW w:w="2263" w:type="dxa"/>
          </w:tcPr>
          <w:p w14:paraId="20C0E51F"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Aluminium zinc coated steel</w:t>
            </w:r>
          </w:p>
        </w:tc>
        <w:tc>
          <w:tcPr>
            <w:tcW w:w="1701" w:type="dxa"/>
          </w:tcPr>
          <w:p w14:paraId="232293DB"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05/08/2013</w:t>
            </w:r>
          </w:p>
        </w:tc>
        <w:tc>
          <w:tcPr>
            <w:tcW w:w="1418" w:type="dxa"/>
          </w:tcPr>
          <w:p w14:paraId="008EF7E1"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05/08/2018</w:t>
            </w:r>
          </w:p>
        </w:tc>
        <w:tc>
          <w:tcPr>
            <w:tcW w:w="3402" w:type="dxa"/>
          </w:tcPr>
          <w:p w14:paraId="07C81283" w14:textId="2891C20D"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 xml:space="preserve">China (D) China (C) </w:t>
            </w:r>
            <w:r w:rsidR="00A54F45">
              <w:rPr>
                <w:rFonts w:eastAsia="Times New Roman" w:cs="Arial"/>
                <w:sz w:val="22"/>
                <w:szCs w:val="22"/>
              </w:rPr>
              <w:t xml:space="preserve">South </w:t>
            </w:r>
            <w:r w:rsidRPr="00592260">
              <w:rPr>
                <w:rFonts w:eastAsia="Times New Roman" w:cs="Arial"/>
                <w:sz w:val="22"/>
                <w:szCs w:val="22"/>
              </w:rPr>
              <w:t>Korea (D)</w:t>
            </w:r>
          </w:p>
        </w:tc>
        <w:tc>
          <w:tcPr>
            <w:tcW w:w="1559" w:type="dxa"/>
          </w:tcPr>
          <w:p w14:paraId="217ADFAB"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 to 29.6</w:t>
            </w:r>
          </w:p>
        </w:tc>
      </w:tr>
      <w:tr w:rsidR="00345A6F" w:rsidRPr="003E159E" w14:paraId="1CACC95B" w14:textId="77777777" w:rsidTr="00265079">
        <w:tc>
          <w:tcPr>
            <w:tcW w:w="2263" w:type="dxa"/>
          </w:tcPr>
          <w:p w14:paraId="0C98C980"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Chrome-plated steel bars</w:t>
            </w:r>
          </w:p>
        </w:tc>
        <w:tc>
          <w:tcPr>
            <w:tcW w:w="1701" w:type="dxa"/>
          </w:tcPr>
          <w:p w14:paraId="5C76DEC6"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07/09/2016</w:t>
            </w:r>
          </w:p>
        </w:tc>
        <w:tc>
          <w:tcPr>
            <w:tcW w:w="1418" w:type="dxa"/>
          </w:tcPr>
          <w:p w14:paraId="574D2BA5"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07/09/2021</w:t>
            </w:r>
          </w:p>
        </w:tc>
        <w:tc>
          <w:tcPr>
            <w:tcW w:w="3402" w:type="dxa"/>
          </w:tcPr>
          <w:p w14:paraId="46904A75"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Romania (D)</w:t>
            </w:r>
          </w:p>
        </w:tc>
        <w:tc>
          <w:tcPr>
            <w:tcW w:w="1559" w:type="dxa"/>
          </w:tcPr>
          <w:p w14:paraId="28854B76"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22.4 to 66.9</w:t>
            </w:r>
          </w:p>
        </w:tc>
      </w:tr>
      <w:tr w:rsidR="00345A6F" w:rsidRPr="003E159E" w14:paraId="4853F01A" w14:textId="77777777" w:rsidTr="00265079">
        <w:tc>
          <w:tcPr>
            <w:tcW w:w="2263" w:type="dxa"/>
          </w:tcPr>
          <w:p w14:paraId="2BB57995"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Deep drawn stainless steel sinks</w:t>
            </w:r>
          </w:p>
        </w:tc>
        <w:tc>
          <w:tcPr>
            <w:tcW w:w="1701" w:type="dxa"/>
          </w:tcPr>
          <w:p w14:paraId="6C061494"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26/03/2015</w:t>
            </w:r>
          </w:p>
        </w:tc>
        <w:tc>
          <w:tcPr>
            <w:tcW w:w="1418" w:type="dxa"/>
          </w:tcPr>
          <w:p w14:paraId="40506E99"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26/03/2020</w:t>
            </w:r>
          </w:p>
        </w:tc>
        <w:tc>
          <w:tcPr>
            <w:tcW w:w="3402" w:type="dxa"/>
          </w:tcPr>
          <w:p w14:paraId="68AFAEBC"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China (D) China (C)</w:t>
            </w:r>
          </w:p>
        </w:tc>
        <w:tc>
          <w:tcPr>
            <w:tcW w:w="1559" w:type="dxa"/>
          </w:tcPr>
          <w:p w14:paraId="36CF4341" w14:textId="77777777" w:rsidR="00345A6F" w:rsidRPr="00592260" w:rsidRDefault="00345A6F" w:rsidP="00F0225C">
            <w:pPr>
              <w:keepNext/>
              <w:keepLines/>
              <w:spacing w:after="200"/>
              <w:contextualSpacing/>
              <w:rPr>
                <w:rFonts w:eastAsia="Times New Roman" w:cs="Arial"/>
                <w:sz w:val="22"/>
                <w:szCs w:val="22"/>
              </w:rPr>
            </w:pPr>
            <w:r w:rsidRPr="00592260">
              <w:rPr>
                <w:rFonts w:eastAsia="Times New Roman" w:cs="Arial"/>
                <w:sz w:val="22"/>
                <w:szCs w:val="22"/>
              </w:rPr>
              <w:t>5.0 to 46.2</w:t>
            </w:r>
          </w:p>
        </w:tc>
      </w:tr>
      <w:tr w:rsidR="00345A6F" w:rsidRPr="00BB4CE1" w14:paraId="53D014F9" w14:textId="77777777" w:rsidTr="00265079">
        <w:tc>
          <w:tcPr>
            <w:tcW w:w="2263" w:type="dxa"/>
          </w:tcPr>
          <w:p w14:paraId="572EE6F7"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Grinding balls</w:t>
            </w:r>
          </w:p>
        </w:tc>
        <w:tc>
          <w:tcPr>
            <w:tcW w:w="1701" w:type="dxa"/>
          </w:tcPr>
          <w:p w14:paraId="3D5F838C"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09/09/2016</w:t>
            </w:r>
          </w:p>
        </w:tc>
        <w:tc>
          <w:tcPr>
            <w:tcW w:w="1418" w:type="dxa"/>
          </w:tcPr>
          <w:p w14:paraId="14466854"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09/09/2021</w:t>
            </w:r>
          </w:p>
        </w:tc>
        <w:tc>
          <w:tcPr>
            <w:tcW w:w="3402" w:type="dxa"/>
          </w:tcPr>
          <w:p w14:paraId="6C1D2984"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China (D) China (C)</w:t>
            </w:r>
          </w:p>
        </w:tc>
        <w:tc>
          <w:tcPr>
            <w:tcW w:w="1559" w:type="dxa"/>
          </w:tcPr>
          <w:p w14:paraId="35CEA657"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3.0 to 103.6</w:t>
            </w:r>
          </w:p>
        </w:tc>
      </w:tr>
      <w:tr w:rsidR="00345A6F" w14:paraId="5C0D91E3" w14:textId="77777777" w:rsidTr="00265079">
        <w:tc>
          <w:tcPr>
            <w:tcW w:w="2263" w:type="dxa"/>
          </w:tcPr>
          <w:p w14:paraId="70C1653A"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Hollow structural sections</w:t>
            </w:r>
          </w:p>
        </w:tc>
        <w:tc>
          <w:tcPr>
            <w:tcW w:w="1701" w:type="dxa"/>
          </w:tcPr>
          <w:p w14:paraId="46555AEE"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03/07/2017</w:t>
            </w:r>
          </w:p>
        </w:tc>
        <w:tc>
          <w:tcPr>
            <w:tcW w:w="1418" w:type="dxa"/>
          </w:tcPr>
          <w:p w14:paraId="538E35D9"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02/07/2022</w:t>
            </w:r>
          </w:p>
        </w:tc>
        <w:tc>
          <w:tcPr>
            <w:tcW w:w="3402" w:type="dxa"/>
          </w:tcPr>
          <w:p w14:paraId="11B4BA6C" w14:textId="41D66539"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 xml:space="preserve">China (D) China (C) </w:t>
            </w:r>
            <w:r w:rsidR="00A54F45">
              <w:rPr>
                <w:rFonts w:eastAsia="Times New Roman" w:cs="Arial"/>
                <w:sz w:val="22"/>
                <w:szCs w:val="22"/>
              </w:rPr>
              <w:t xml:space="preserve">South </w:t>
            </w:r>
            <w:r w:rsidRPr="00592260">
              <w:rPr>
                <w:rFonts w:eastAsia="Times New Roman" w:cs="Arial"/>
                <w:sz w:val="22"/>
                <w:szCs w:val="22"/>
              </w:rPr>
              <w:t>Korea (D) Malaysia (D) Taiwan (D)</w:t>
            </w:r>
          </w:p>
        </w:tc>
        <w:tc>
          <w:tcPr>
            <w:tcW w:w="1559" w:type="dxa"/>
          </w:tcPr>
          <w:p w14:paraId="5D608CFC"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3.0 to 143.7</w:t>
            </w:r>
          </w:p>
        </w:tc>
      </w:tr>
      <w:tr w:rsidR="00345A6F" w:rsidRPr="00BB4CE1" w14:paraId="35FB2F50" w14:textId="77777777" w:rsidTr="00265079">
        <w:tc>
          <w:tcPr>
            <w:tcW w:w="2263" w:type="dxa"/>
          </w:tcPr>
          <w:p w14:paraId="0FA2925A"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Hollow structural sections</w:t>
            </w:r>
          </w:p>
        </w:tc>
        <w:tc>
          <w:tcPr>
            <w:tcW w:w="1701" w:type="dxa"/>
          </w:tcPr>
          <w:p w14:paraId="6AD534D9"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20/08/2015</w:t>
            </w:r>
          </w:p>
        </w:tc>
        <w:tc>
          <w:tcPr>
            <w:tcW w:w="1418" w:type="dxa"/>
          </w:tcPr>
          <w:p w14:paraId="105964D7"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20/08/2020</w:t>
            </w:r>
          </w:p>
        </w:tc>
        <w:tc>
          <w:tcPr>
            <w:tcW w:w="3402" w:type="dxa"/>
          </w:tcPr>
          <w:p w14:paraId="507E5742"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Thailand (D)</w:t>
            </w:r>
          </w:p>
        </w:tc>
        <w:tc>
          <w:tcPr>
            <w:tcW w:w="1559" w:type="dxa"/>
          </w:tcPr>
          <w:p w14:paraId="19E65FF0"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5.7 to 29.7</w:t>
            </w:r>
          </w:p>
        </w:tc>
      </w:tr>
      <w:tr w:rsidR="00345A6F" w:rsidRPr="00BB4CE1" w14:paraId="6BB1585F" w14:textId="77777777" w:rsidTr="00265079">
        <w:tc>
          <w:tcPr>
            <w:tcW w:w="2263" w:type="dxa"/>
          </w:tcPr>
          <w:p w14:paraId="0052E197"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Hot rolled coil steel</w:t>
            </w:r>
          </w:p>
        </w:tc>
        <w:tc>
          <w:tcPr>
            <w:tcW w:w="1701" w:type="dxa"/>
          </w:tcPr>
          <w:p w14:paraId="06A502F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20/12/2017</w:t>
            </w:r>
          </w:p>
        </w:tc>
        <w:tc>
          <w:tcPr>
            <w:tcW w:w="1418" w:type="dxa"/>
          </w:tcPr>
          <w:p w14:paraId="036ED46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20/12/2022</w:t>
            </w:r>
          </w:p>
        </w:tc>
        <w:tc>
          <w:tcPr>
            <w:tcW w:w="3402" w:type="dxa"/>
          </w:tcPr>
          <w:p w14:paraId="4DD68CFA"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Taiwan (D)</w:t>
            </w:r>
          </w:p>
        </w:tc>
        <w:tc>
          <w:tcPr>
            <w:tcW w:w="1559" w:type="dxa"/>
          </w:tcPr>
          <w:p w14:paraId="3AEB3086"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Confidential</w:t>
            </w:r>
          </w:p>
        </w:tc>
      </w:tr>
      <w:tr w:rsidR="00345A6F" w14:paraId="7764C691" w14:textId="77777777" w:rsidTr="00265079">
        <w:tc>
          <w:tcPr>
            <w:tcW w:w="2263" w:type="dxa"/>
          </w:tcPr>
          <w:p w14:paraId="0D983099"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Hot rolled plate steel</w:t>
            </w:r>
          </w:p>
        </w:tc>
        <w:tc>
          <w:tcPr>
            <w:tcW w:w="1701" w:type="dxa"/>
          </w:tcPr>
          <w:p w14:paraId="228D0944"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19/12/2013</w:t>
            </w:r>
          </w:p>
        </w:tc>
        <w:tc>
          <w:tcPr>
            <w:tcW w:w="1418" w:type="dxa"/>
          </w:tcPr>
          <w:p w14:paraId="17A94B9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19/12/2018</w:t>
            </w:r>
          </w:p>
        </w:tc>
        <w:tc>
          <w:tcPr>
            <w:tcW w:w="3402" w:type="dxa"/>
          </w:tcPr>
          <w:p w14:paraId="54C50005" w14:textId="584DF25C"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 xml:space="preserve">China (D) China (C) Japan (D) Indonesia (D) </w:t>
            </w:r>
            <w:r w:rsidR="00A54F45">
              <w:rPr>
                <w:rFonts w:eastAsia="Times New Roman" w:cs="Arial"/>
                <w:sz w:val="22"/>
                <w:szCs w:val="22"/>
              </w:rPr>
              <w:t xml:space="preserve">South </w:t>
            </w:r>
            <w:r w:rsidRPr="00592260">
              <w:rPr>
                <w:rFonts w:eastAsia="Times New Roman" w:cs="Arial"/>
                <w:sz w:val="22"/>
                <w:szCs w:val="22"/>
              </w:rPr>
              <w:t>Korea (D)</w:t>
            </w:r>
          </w:p>
        </w:tc>
        <w:tc>
          <w:tcPr>
            <w:tcW w:w="1559" w:type="dxa"/>
          </w:tcPr>
          <w:p w14:paraId="249EB3CF"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8.6 to 54.9</w:t>
            </w:r>
          </w:p>
        </w:tc>
      </w:tr>
      <w:tr w:rsidR="00345A6F" w:rsidRPr="003E159E" w14:paraId="5B90C72E" w14:textId="77777777" w:rsidTr="00265079">
        <w:tc>
          <w:tcPr>
            <w:tcW w:w="2263" w:type="dxa"/>
          </w:tcPr>
          <w:p w14:paraId="7022959E"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Hot rolled structural steel sections</w:t>
            </w:r>
          </w:p>
        </w:tc>
        <w:tc>
          <w:tcPr>
            <w:tcW w:w="1701" w:type="dxa"/>
          </w:tcPr>
          <w:p w14:paraId="79D2D2CB"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20/11/2014</w:t>
            </w:r>
          </w:p>
        </w:tc>
        <w:tc>
          <w:tcPr>
            <w:tcW w:w="1418" w:type="dxa"/>
          </w:tcPr>
          <w:p w14:paraId="27EDB474"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20/11/2019</w:t>
            </w:r>
          </w:p>
        </w:tc>
        <w:tc>
          <w:tcPr>
            <w:tcW w:w="3402" w:type="dxa"/>
          </w:tcPr>
          <w:p w14:paraId="65307F9C" w14:textId="2801C750"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 xml:space="preserve">Taiwan (D) </w:t>
            </w:r>
            <w:r w:rsidR="00A54F45">
              <w:rPr>
                <w:rFonts w:eastAsia="Times New Roman" w:cs="Arial"/>
                <w:sz w:val="22"/>
                <w:szCs w:val="22"/>
              </w:rPr>
              <w:t xml:space="preserve">South </w:t>
            </w:r>
            <w:r w:rsidRPr="00592260">
              <w:rPr>
                <w:rFonts w:eastAsia="Times New Roman" w:cs="Arial"/>
                <w:sz w:val="22"/>
                <w:szCs w:val="22"/>
              </w:rPr>
              <w:t>Korea (D) Thailand (D) Japan (D)</w:t>
            </w:r>
          </w:p>
        </w:tc>
        <w:tc>
          <w:tcPr>
            <w:tcW w:w="1559" w:type="dxa"/>
          </w:tcPr>
          <w:p w14:paraId="109C69BA"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2.5 to 19.5</w:t>
            </w:r>
          </w:p>
        </w:tc>
      </w:tr>
      <w:tr w:rsidR="00345A6F" w:rsidRPr="007E25B1" w14:paraId="7F1A609D" w14:textId="77777777" w:rsidTr="00265079">
        <w:tc>
          <w:tcPr>
            <w:tcW w:w="2263" w:type="dxa"/>
          </w:tcPr>
          <w:p w14:paraId="5C361BE8"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Quenched and tempered steel plate</w:t>
            </w:r>
          </w:p>
        </w:tc>
        <w:tc>
          <w:tcPr>
            <w:tcW w:w="1701" w:type="dxa"/>
          </w:tcPr>
          <w:p w14:paraId="22D97836"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05/11/2014</w:t>
            </w:r>
          </w:p>
        </w:tc>
        <w:tc>
          <w:tcPr>
            <w:tcW w:w="1418" w:type="dxa"/>
          </w:tcPr>
          <w:p w14:paraId="0BE57CCC"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05/11/2019</w:t>
            </w:r>
          </w:p>
        </w:tc>
        <w:tc>
          <w:tcPr>
            <w:tcW w:w="3402" w:type="dxa"/>
          </w:tcPr>
          <w:p w14:paraId="7DF15507"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Finland (D) Japan (D) Sweden (D)</w:t>
            </w:r>
          </w:p>
        </w:tc>
        <w:tc>
          <w:tcPr>
            <w:tcW w:w="1559" w:type="dxa"/>
          </w:tcPr>
          <w:p w14:paraId="2E57F337"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9.6 to 26.1</w:t>
            </w:r>
          </w:p>
        </w:tc>
      </w:tr>
      <w:tr w:rsidR="00345A6F" w14:paraId="34BE9D33" w14:textId="77777777" w:rsidTr="00265079">
        <w:tc>
          <w:tcPr>
            <w:tcW w:w="2263" w:type="dxa"/>
          </w:tcPr>
          <w:p w14:paraId="31F96CDC"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Resealable can end closures</w:t>
            </w:r>
          </w:p>
        </w:tc>
        <w:tc>
          <w:tcPr>
            <w:tcW w:w="1701" w:type="dxa"/>
          </w:tcPr>
          <w:p w14:paraId="48D1F748"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24/03/2017</w:t>
            </w:r>
          </w:p>
        </w:tc>
        <w:tc>
          <w:tcPr>
            <w:tcW w:w="1418" w:type="dxa"/>
          </w:tcPr>
          <w:p w14:paraId="3A086A4F"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24/03/2022</w:t>
            </w:r>
          </w:p>
        </w:tc>
        <w:tc>
          <w:tcPr>
            <w:tcW w:w="3402" w:type="dxa"/>
          </w:tcPr>
          <w:p w14:paraId="6FE33AC7"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Malaysia (D) the Philippines (D) Singapore (D)</w:t>
            </w:r>
          </w:p>
        </w:tc>
        <w:tc>
          <w:tcPr>
            <w:tcW w:w="1559" w:type="dxa"/>
          </w:tcPr>
          <w:p w14:paraId="7B52DB9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Confidential</w:t>
            </w:r>
          </w:p>
        </w:tc>
      </w:tr>
      <w:tr w:rsidR="00345A6F" w:rsidRPr="007E25B1" w14:paraId="06DCFDE2" w14:textId="77777777" w:rsidTr="00265079">
        <w:tc>
          <w:tcPr>
            <w:tcW w:w="2263" w:type="dxa"/>
          </w:tcPr>
          <w:p w14:paraId="0FA17EAE"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Rod in coils</w:t>
            </w:r>
          </w:p>
        </w:tc>
        <w:tc>
          <w:tcPr>
            <w:tcW w:w="1701" w:type="dxa"/>
          </w:tcPr>
          <w:p w14:paraId="418581D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17/06/2015</w:t>
            </w:r>
          </w:p>
        </w:tc>
        <w:tc>
          <w:tcPr>
            <w:tcW w:w="1418" w:type="dxa"/>
          </w:tcPr>
          <w:p w14:paraId="39D2405D"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17/06/2020</w:t>
            </w:r>
          </w:p>
        </w:tc>
        <w:tc>
          <w:tcPr>
            <w:tcW w:w="3402" w:type="dxa"/>
          </w:tcPr>
          <w:p w14:paraId="51FBF8EA"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Taiwan (D)</w:t>
            </w:r>
          </w:p>
        </w:tc>
        <w:tc>
          <w:tcPr>
            <w:tcW w:w="1559" w:type="dxa"/>
          </w:tcPr>
          <w:p w14:paraId="4A890DA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2.7</w:t>
            </w:r>
          </w:p>
        </w:tc>
      </w:tr>
      <w:tr w:rsidR="00345A6F" w:rsidRPr="007E25B1" w14:paraId="256564E0" w14:textId="77777777" w:rsidTr="00265079">
        <w:tc>
          <w:tcPr>
            <w:tcW w:w="2263" w:type="dxa"/>
          </w:tcPr>
          <w:p w14:paraId="67048E82"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Rod in coils</w:t>
            </w:r>
          </w:p>
        </w:tc>
        <w:tc>
          <w:tcPr>
            <w:tcW w:w="1701" w:type="dxa"/>
          </w:tcPr>
          <w:p w14:paraId="34DBEF0A"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22/04/2016</w:t>
            </w:r>
          </w:p>
        </w:tc>
        <w:tc>
          <w:tcPr>
            <w:tcW w:w="1418" w:type="dxa"/>
          </w:tcPr>
          <w:p w14:paraId="746E15FE"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22/04/2021</w:t>
            </w:r>
          </w:p>
        </w:tc>
        <w:tc>
          <w:tcPr>
            <w:tcW w:w="3402" w:type="dxa"/>
          </w:tcPr>
          <w:p w14:paraId="3E4E966D"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China (D)</w:t>
            </w:r>
          </w:p>
        </w:tc>
        <w:tc>
          <w:tcPr>
            <w:tcW w:w="1559" w:type="dxa"/>
          </w:tcPr>
          <w:p w14:paraId="67EDB5D4"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24.2 to 49.0</w:t>
            </w:r>
          </w:p>
        </w:tc>
      </w:tr>
      <w:tr w:rsidR="00345A6F" w:rsidRPr="007E25B1" w14:paraId="37D09EFB" w14:textId="77777777" w:rsidTr="00265079">
        <w:tc>
          <w:tcPr>
            <w:tcW w:w="2263" w:type="dxa"/>
          </w:tcPr>
          <w:p w14:paraId="3DDBBD91"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Steel reinforcing bar</w:t>
            </w:r>
          </w:p>
        </w:tc>
        <w:tc>
          <w:tcPr>
            <w:tcW w:w="1701" w:type="dxa"/>
          </w:tcPr>
          <w:p w14:paraId="32043580"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19/11/2015</w:t>
            </w:r>
          </w:p>
        </w:tc>
        <w:tc>
          <w:tcPr>
            <w:tcW w:w="1418" w:type="dxa"/>
          </w:tcPr>
          <w:p w14:paraId="66853076"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19/11/2020</w:t>
            </w:r>
          </w:p>
        </w:tc>
        <w:tc>
          <w:tcPr>
            <w:tcW w:w="3402" w:type="dxa"/>
          </w:tcPr>
          <w:p w14:paraId="1EA10B37" w14:textId="7ACDCE6F" w:rsidR="00345A6F" w:rsidRPr="00592260" w:rsidRDefault="00A54F45" w:rsidP="00F0225C">
            <w:pPr>
              <w:spacing w:after="200"/>
              <w:contextualSpacing/>
              <w:rPr>
                <w:rFonts w:eastAsia="Times New Roman" w:cs="Arial"/>
                <w:sz w:val="22"/>
                <w:szCs w:val="22"/>
              </w:rPr>
            </w:pPr>
            <w:r>
              <w:rPr>
                <w:rFonts w:eastAsia="Times New Roman" w:cs="Arial"/>
                <w:sz w:val="22"/>
                <w:szCs w:val="22"/>
              </w:rPr>
              <w:t xml:space="preserve">South </w:t>
            </w:r>
            <w:r w:rsidR="00345A6F" w:rsidRPr="00592260">
              <w:rPr>
                <w:rFonts w:eastAsia="Times New Roman" w:cs="Arial"/>
                <w:sz w:val="22"/>
                <w:szCs w:val="22"/>
              </w:rPr>
              <w:t>Korea (D) Singapore (D) Spain (D) Taiwan (D)</w:t>
            </w:r>
          </w:p>
        </w:tc>
        <w:tc>
          <w:tcPr>
            <w:tcW w:w="1559" w:type="dxa"/>
          </w:tcPr>
          <w:p w14:paraId="2338097C"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2.8 to 14.3</w:t>
            </w:r>
          </w:p>
        </w:tc>
      </w:tr>
      <w:tr w:rsidR="00345A6F" w:rsidRPr="007E25B1" w14:paraId="66AE9E51" w14:textId="77777777" w:rsidTr="00265079">
        <w:trPr>
          <w:trHeight w:val="418"/>
        </w:trPr>
        <w:tc>
          <w:tcPr>
            <w:tcW w:w="2263" w:type="dxa"/>
          </w:tcPr>
          <w:p w14:paraId="596FE138"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Steel reinforcing bar</w:t>
            </w:r>
          </w:p>
        </w:tc>
        <w:tc>
          <w:tcPr>
            <w:tcW w:w="1701" w:type="dxa"/>
          </w:tcPr>
          <w:p w14:paraId="341FF99C"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13/04/2016</w:t>
            </w:r>
          </w:p>
        </w:tc>
        <w:tc>
          <w:tcPr>
            <w:tcW w:w="1418" w:type="dxa"/>
          </w:tcPr>
          <w:p w14:paraId="49B7AE76"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13/04/2021</w:t>
            </w:r>
          </w:p>
        </w:tc>
        <w:tc>
          <w:tcPr>
            <w:tcW w:w="3402" w:type="dxa"/>
          </w:tcPr>
          <w:p w14:paraId="26ACC81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China (D)</w:t>
            </w:r>
          </w:p>
        </w:tc>
        <w:tc>
          <w:tcPr>
            <w:tcW w:w="1559" w:type="dxa"/>
          </w:tcPr>
          <w:p w14:paraId="4D844742"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6.1 to 30.0</w:t>
            </w:r>
          </w:p>
        </w:tc>
      </w:tr>
      <w:tr w:rsidR="00345A6F" w14:paraId="1EE660BB" w14:textId="77777777" w:rsidTr="00265079">
        <w:tc>
          <w:tcPr>
            <w:tcW w:w="2263" w:type="dxa"/>
          </w:tcPr>
          <w:p w14:paraId="53FC867B"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Steel reinforcing bar</w:t>
            </w:r>
          </w:p>
        </w:tc>
        <w:tc>
          <w:tcPr>
            <w:tcW w:w="1701" w:type="dxa"/>
          </w:tcPr>
          <w:p w14:paraId="19BFFC98"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07/03/18</w:t>
            </w:r>
          </w:p>
        </w:tc>
        <w:tc>
          <w:tcPr>
            <w:tcW w:w="1418" w:type="dxa"/>
          </w:tcPr>
          <w:p w14:paraId="754A19E0"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07/03/23</w:t>
            </w:r>
          </w:p>
        </w:tc>
        <w:tc>
          <w:tcPr>
            <w:tcW w:w="3402" w:type="dxa"/>
          </w:tcPr>
          <w:p w14:paraId="36CF8B3B"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Greece (D), Indonesia (D), Thailand (D)</w:t>
            </w:r>
          </w:p>
        </w:tc>
        <w:tc>
          <w:tcPr>
            <w:tcW w:w="1559" w:type="dxa"/>
          </w:tcPr>
          <w:p w14:paraId="531D1CCA"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9.3 to 42.1</w:t>
            </w:r>
          </w:p>
        </w:tc>
      </w:tr>
      <w:tr w:rsidR="00345A6F" w:rsidRPr="007E25B1" w14:paraId="38958708" w14:textId="77777777" w:rsidTr="00265079">
        <w:tc>
          <w:tcPr>
            <w:tcW w:w="2263" w:type="dxa"/>
          </w:tcPr>
          <w:p w14:paraId="07199644"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Wind towers</w:t>
            </w:r>
          </w:p>
        </w:tc>
        <w:tc>
          <w:tcPr>
            <w:tcW w:w="1701" w:type="dxa"/>
          </w:tcPr>
          <w:p w14:paraId="7BA6683F"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16/04/2014</w:t>
            </w:r>
          </w:p>
        </w:tc>
        <w:tc>
          <w:tcPr>
            <w:tcW w:w="1418" w:type="dxa"/>
          </w:tcPr>
          <w:p w14:paraId="39FA25E8"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16/04/2019</w:t>
            </w:r>
          </w:p>
        </w:tc>
        <w:tc>
          <w:tcPr>
            <w:tcW w:w="3402" w:type="dxa"/>
          </w:tcPr>
          <w:p w14:paraId="4C8D1A36" w14:textId="3255923C"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 xml:space="preserve">China (D) </w:t>
            </w:r>
            <w:r w:rsidR="00A54F45">
              <w:rPr>
                <w:rFonts w:eastAsia="Times New Roman" w:cs="Arial"/>
                <w:sz w:val="22"/>
                <w:szCs w:val="22"/>
              </w:rPr>
              <w:t xml:space="preserve">South </w:t>
            </w:r>
            <w:r w:rsidRPr="00592260">
              <w:rPr>
                <w:rFonts w:eastAsia="Times New Roman" w:cs="Arial"/>
                <w:sz w:val="22"/>
                <w:szCs w:val="22"/>
              </w:rPr>
              <w:t>Korea(D)</w:t>
            </w:r>
          </w:p>
        </w:tc>
        <w:tc>
          <w:tcPr>
            <w:tcW w:w="1559" w:type="dxa"/>
          </w:tcPr>
          <w:p w14:paraId="5C3356CB"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15.0 to 18.8</w:t>
            </w:r>
          </w:p>
        </w:tc>
      </w:tr>
      <w:tr w:rsidR="00345A6F" w14:paraId="2FFF4900" w14:textId="77777777" w:rsidTr="00265079">
        <w:tc>
          <w:tcPr>
            <w:tcW w:w="2263" w:type="dxa"/>
          </w:tcPr>
          <w:p w14:paraId="5B6A1D37"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Wire rope</w:t>
            </w:r>
          </w:p>
        </w:tc>
        <w:tc>
          <w:tcPr>
            <w:tcW w:w="1701" w:type="dxa"/>
          </w:tcPr>
          <w:p w14:paraId="10EFA29F"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18/12/2017</w:t>
            </w:r>
          </w:p>
        </w:tc>
        <w:tc>
          <w:tcPr>
            <w:tcW w:w="1418" w:type="dxa"/>
          </w:tcPr>
          <w:p w14:paraId="543E66DB"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18/12/2022</w:t>
            </w:r>
          </w:p>
        </w:tc>
        <w:tc>
          <w:tcPr>
            <w:tcW w:w="3402" w:type="dxa"/>
          </w:tcPr>
          <w:p w14:paraId="78FCC921"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South Africa (D)</w:t>
            </w:r>
          </w:p>
        </w:tc>
        <w:tc>
          <w:tcPr>
            <w:tcW w:w="1559" w:type="dxa"/>
          </w:tcPr>
          <w:p w14:paraId="14BCF492"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Confidential</w:t>
            </w:r>
          </w:p>
        </w:tc>
      </w:tr>
      <w:tr w:rsidR="00345A6F" w:rsidRPr="007E25B1" w14:paraId="7DA6A935" w14:textId="77777777" w:rsidTr="00265079">
        <w:tc>
          <w:tcPr>
            <w:tcW w:w="2263" w:type="dxa"/>
          </w:tcPr>
          <w:p w14:paraId="6FA0552C"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Zinc coated (galvanised) steel</w:t>
            </w:r>
          </w:p>
        </w:tc>
        <w:tc>
          <w:tcPr>
            <w:tcW w:w="1701" w:type="dxa"/>
          </w:tcPr>
          <w:p w14:paraId="74F06075"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05/08/2013</w:t>
            </w:r>
          </w:p>
        </w:tc>
        <w:tc>
          <w:tcPr>
            <w:tcW w:w="1418" w:type="dxa"/>
          </w:tcPr>
          <w:p w14:paraId="44B162DD"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05/08/2018</w:t>
            </w:r>
          </w:p>
        </w:tc>
        <w:tc>
          <w:tcPr>
            <w:tcW w:w="3402" w:type="dxa"/>
          </w:tcPr>
          <w:p w14:paraId="642A8396" w14:textId="68E29AF6"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 xml:space="preserve">China (D) China (C) </w:t>
            </w:r>
            <w:r w:rsidR="00A54F45">
              <w:rPr>
                <w:rFonts w:eastAsia="Times New Roman" w:cs="Arial"/>
                <w:sz w:val="22"/>
                <w:szCs w:val="22"/>
              </w:rPr>
              <w:t xml:space="preserve">South </w:t>
            </w:r>
            <w:r w:rsidRPr="00592260">
              <w:rPr>
                <w:rFonts w:eastAsia="Times New Roman" w:cs="Arial"/>
                <w:sz w:val="22"/>
                <w:szCs w:val="22"/>
              </w:rPr>
              <w:t>Korea (D) Taiwan (D)</w:t>
            </w:r>
          </w:p>
        </w:tc>
        <w:tc>
          <w:tcPr>
            <w:tcW w:w="1559" w:type="dxa"/>
          </w:tcPr>
          <w:p w14:paraId="4E07006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0 to 69.9</w:t>
            </w:r>
          </w:p>
        </w:tc>
      </w:tr>
      <w:tr w:rsidR="00345A6F" w14:paraId="1F694474" w14:textId="77777777" w:rsidTr="00265079">
        <w:tc>
          <w:tcPr>
            <w:tcW w:w="2263" w:type="dxa"/>
          </w:tcPr>
          <w:p w14:paraId="7DB64EE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Zinc coated (galvanised) steel</w:t>
            </w:r>
          </w:p>
        </w:tc>
        <w:tc>
          <w:tcPr>
            <w:tcW w:w="1701" w:type="dxa"/>
          </w:tcPr>
          <w:p w14:paraId="55FD4563"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16/08/2017</w:t>
            </w:r>
          </w:p>
        </w:tc>
        <w:tc>
          <w:tcPr>
            <w:tcW w:w="1418" w:type="dxa"/>
          </w:tcPr>
          <w:p w14:paraId="705BC898"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16/08/2022</w:t>
            </w:r>
          </w:p>
        </w:tc>
        <w:tc>
          <w:tcPr>
            <w:tcW w:w="3402" w:type="dxa"/>
          </w:tcPr>
          <w:p w14:paraId="0C2B6310"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India (D) India (C) Malaysia (D) Vietnam (D)</w:t>
            </w:r>
          </w:p>
        </w:tc>
        <w:tc>
          <w:tcPr>
            <w:tcW w:w="1559" w:type="dxa"/>
          </w:tcPr>
          <w:p w14:paraId="77840964" w14:textId="77777777" w:rsidR="00345A6F" w:rsidRPr="00592260" w:rsidRDefault="00345A6F" w:rsidP="00F0225C">
            <w:pPr>
              <w:spacing w:after="200"/>
              <w:contextualSpacing/>
              <w:rPr>
                <w:rFonts w:eastAsia="Times New Roman" w:cs="Arial"/>
                <w:sz w:val="22"/>
                <w:szCs w:val="22"/>
              </w:rPr>
            </w:pPr>
            <w:r w:rsidRPr="00592260">
              <w:rPr>
                <w:rFonts w:eastAsia="Times New Roman" w:cs="Arial"/>
                <w:sz w:val="22"/>
                <w:szCs w:val="22"/>
              </w:rPr>
              <w:t>7.6 to 16.5</w:t>
            </w:r>
          </w:p>
        </w:tc>
      </w:tr>
    </w:tbl>
    <w:p w14:paraId="2FBC924F" w14:textId="14D296B8" w:rsidR="00F07281" w:rsidRPr="000215C3" w:rsidRDefault="000F1B5B" w:rsidP="00812174">
      <w:pPr>
        <w:rPr>
          <w:b/>
        </w:rPr>
      </w:pPr>
      <w:r w:rsidRPr="000215C3">
        <w:rPr>
          <w:b/>
        </w:rPr>
        <w:lastRenderedPageBreak/>
        <w:t>Attachment 1 – Cadence Report</w:t>
      </w:r>
    </w:p>
    <w:p w14:paraId="541C3713" w14:textId="3D4A25A5" w:rsidR="00345A6F" w:rsidRPr="000215C3" w:rsidRDefault="000F1B5B" w:rsidP="00812174">
      <w:pPr>
        <w:rPr>
          <w:b/>
        </w:rPr>
      </w:pPr>
      <w:r w:rsidRPr="000215C3">
        <w:rPr>
          <w:b/>
        </w:rPr>
        <w:t xml:space="preserve">Attachment </w:t>
      </w:r>
      <w:r w:rsidR="00661C06">
        <w:rPr>
          <w:b/>
        </w:rPr>
        <w:t>2 – Expanded description of CGE</w:t>
      </w:r>
      <w:r w:rsidR="00130FD0">
        <w:rPr>
          <w:b/>
        </w:rPr>
        <w:t>M</w:t>
      </w:r>
      <w:r w:rsidRPr="000215C3">
        <w:rPr>
          <w:b/>
        </w:rPr>
        <w:t xml:space="preserve"> model</w:t>
      </w:r>
    </w:p>
    <w:sectPr w:rsidR="00345A6F" w:rsidRPr="000215C3" w:rsidSect="002220E4">
      <w:headerReference w:type="default" r:id="rId13"/>
      <w:footerReference w:type="default" r:id="rId14"/>
      <w:headerReference w:type="first" r:id="rId15"/>
      <w:pgSz w:w="11906" w:h="16838" w:code="9"/>
      <w:pgMar w:top="1259" w:right="1106" w:bottom="1616" w:left="1259"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EF054" w14:textId="77777777" w:rsidR="008A6AC7" w:rsidRDefault="008A6AC7">
      <w:r>
        <w:separator/>
      </w:r>
    </w:p>
  </w:endnote>
  <w:endnote w:type="continuationSeparator" w:id="0">
    <w:p w14:paraId="758599F5" w14:textId="77777777" w:rsidR="008A6AC7" w:rsidRDefault="008A6AC7">
      <w:r>
        <w:continuationSeparator/>
      </w:r>
    </w:p>
  </w:endnote>
  <w:endnote w:type="continuationNotice" w:id="1">
    <w:p w14:paraId="6ABB4F59" w14:textId="77777777" w:rsidR="008A6AC7" w:rsidRDefault="008A6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7B565" w14:textId="36C31243" w:rsidR="008A6AC7" w:rsidRPr="00F16C4C" w:rsidRDefault="008A6AC7" w:rsidP="006F63E3">
    <w:pPr>
      <w:pStyle w:val="Header"/>
      <w:tabs>
        <w:tab w:val="clear" w:pos="8306"/>
        <w:tab w:val="left" w:pos="3715"/>
        <w:tab w:val="right" w:pos="9180"/>
        <w:tab w:val="right" w:pos="9540"/>
      </w:tabs>
      <w:jc w:val="center"/>
      <w:rPr>
        <w:b/>
        <w:noProof/>
        <w:sz w:val="36"/>
        <w:szCs w:val="36"/>
      </w:rPr>
    </w:pPr>
    <w:r w:rsidRPr="00F16C4C">
      <w:rPr>
        <w:rStyle w:val="PageNumber"/>
      </w:rPr>
      <w:fldChar w:fldCharType="begin"/>
    </w:r>
    <w:r w:rsidRPr="00F16C4C">
      <w:rPr>
        <w:rStyle w:val="PageNumber"/>
      </w:rPr>
      <w:instrText xml:space="preserve"> PAGE </w:instrText>
    </w:r>
    <w:r w:rsidRPr="00F16C4C">
      <w:rPr>
        <w:rStyle w:val="PageNumber"/>
      </w:rPr>
      <w:fldChar w:fldCharType="separate"/>
    </w:r>
    <w:r w:rsidR="007148A4">
      <w:rPr>
        <w:rStyle w:val="PageNumber"/>
        <w:noProof/>
      </w:rPr>
      <w:t>21</w:t>
    </w:r>
    <w:r w:rsidRPr="00F16C4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33F78" w14:textId="77777777" w:rsidR="008A6AC7" w:rsidRDefault="008A6AC7">
      <w:r>
        <w:separator/>
      </w:r>
    </w:p>
  </w:footnote>
  <w:footnote w:type="continuationSeparator" w:id="0">
    <w:p w14:paraId="5D566AFA" w14:textId="77777777" w:rsidR="008A6AC7" w:rsidRDefault="008A6AC7">
      <w:r>
        <w:continuationSeparator/>
      </w:r>
    </w:p>
  </w:footnote>
  <w:footnote w:type="continuationNotice" w:id="1">
    <w:p w14:paraId="2125FB06" w14:textId="77777777" w:rsidR="008A6AC7" w:rsidRDefault="008A6AC7">
      <w:pPr>
        <w:spacing w:after="0"/>
      </w:pPr>
    </w:p>
  </w:footnote>
  <w:footnote w:id="2">
    <w:p w14:paraId="79267F5C" w14:textId="69435B81" w:rsidR="008A6AC7" w:rsidRPr="00C965FE" w:rsidRDefault="008A6AC7" w:rsidP="009E3AA9">
      <w:pPr>
        <w:pStyle w:val="FootnoteText"/>
        <w:spacing w:after="0"/>
        <w:jc w:val="left"/>
        <w:rPr>
          <w:sz w:val="18"/>
          <w:szCs w:val="18"/>
        </w:rPr>
      </w:pPr>
      <w:r w:rsidRPr="00C965FE">
        <w:rPr>
          <w:rStyle w:val="FootnoteReference"/>
          <w:sz w:val="18"/>
          <w:szCs w:val="18"/>
        </w:rPr>
        <w:footnoteRef/>
      </w:r>
      <w:r w:rsidRPr="00C965FE">
        <w:rPr>
          <w:sz w:val="18"/>
          <w:szCs w:val="18"/>
        </w:rPr>
        <w:t xml:space="preserve"> Exemptions for Australia, Argentina, Brazil, Canada, Mexico, the European Union and South Korea</w:t>
      </w:r>
    </w:p>
  </w:footnote>
  <w:footnote w:id="3">
    <w:p w14:paraId="72AFB8C8" w14:textId="77777777" w:rsidR="008A6AC7" w:rsidRPr="00C965FE" w:rsidRDefault="008A6AC7" w:rsidP="001E07BD">
      <w:pPr>
        <w:pStyle w:val="FootnoteText"/>
        <w:jc w:val="left"/>
        <w:rPr>
          <w:sz w:val="18"/>
          <w:szCs w:val="18"/>
        </w:rPr>
      </w:pPr>
      <w:r w:rsidRPr="00C965FE">
        <w:rPr>
          <w:rStyle w:val="FootnoteReference"/>
          <w:sz w:val="18"/>
          <w:szCs w:val="18"/>
        </w:rPr>
        <w:footnoteRef/>
      </w:r>
      <w:r w:rsidRPr="00C965FE">
        <w:rPr>
          <w:sz w:val="18"/>
          <w:szCs w:val="18"/>
        </w:rPr>
        <w:t xml:space="preserve"> As at 30 April 2018</w:t>
      </w:r>
    </w:p>
  </w:footnote>
  <w:footnote w:id="4">
    <w:p w14:paraId="5572124D" w14:textId="0FEAD0E9"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hyperlink r:id="rId1" w:history="1">
        <w:r w:rsidRPr="00C965FE">
          <w:rPr>
            <w:rStyle w:val="Hyperlink"/>
            <w:sz w:val="18"/>
            <w:szCs w:val="18"/>
          </w:rPr>
          <w:t>https://www.whitehouse.gov/presidential-actions/presidential-proclamation-adjusting-imports-steel-united-states/</w:t>
        </w:r>
      </w:hyperlink>
      <w:r w:rsidRPr="00C965FE">
        <w:rPr>
          <w:sz w:val="18"/>
          <w:szCs w:val="18"/>
        </w:rPr>
        <w:t xml:space="preserve"> </w:t>
      </w:r>
    </w:p>
  </w:footnote>
  <w:footnote w:id="5">
    <w:p w14:paraId="49BA609B" w14:textId="11EA7F42"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hyperlink r:id="rId2" w:history="1">
        <w:r w:rsidRPr="00C965FE">
          <w:rPr>
            <w:rStyle w:val="Hyperlink"/>
            <w:sz w:val="18"/>
            <w:szCs w:val="18"/>
          </w:rPr>
          <w:t>https://www.whitehouse.gov/presidential-actions/presidential-proclamation-adjusting-imports-aluminum-united-states/</w:t>
        </w:r>
      </w:hyperlink>
      <w:r w:rsidRPr="00C965FE">
        <w:rPr>
          <w:sz w:val="18"/>
          <w:szCs w:val="18"/>
        </w:rPr>
        <w:t xml:space="preserve"> </w:t>
      </w:r>
    </w:p>
  </w:footnote>
  <w:footnote w:id="6">
    <w:p w14:paraId="4B88C364" w14:textId="1032CCF6"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hyperlink r:id="rId3" w:history="1">
        <w:r w:rsidRPr="00C965FE">
          <w:rPr>
            <w:rStyle w:val="Hyperlink"/>
            <w:sz w:val="18"/>
            <w:szCs w:val="18"/>
          </w:rPr>
          <w:t>https://www.whitehouse.gov/presidential-actions/presidential-proclamation-adjusting-imports-steel-united-states-2/</w:t>
        </w:r>
      </w:hyperlink>
      <w:r w:rsidRPr="00C965FE">
        <w:rPr>
          <w:sz w:val="18"/>
          <w:szCs w:val="18"/>
        </w:rPr>
        <w:t xml:space="preserve"> and </w:t>
      </w:r>
      <w:hyperlink r:id="rId4" w:history="1">
        <w:r w:rsidRPr="00C965FE">
          <w:rPr>
            <w:rStyle w:val="Hyperlink"/>
            <w:sz w:val="18"/>
            <w:szCs w:val="18"/>
          </w:rPr>
          <w:t>https://www.whitehouse.gov/presidential-actions/presidential-proclamation-adjusting-imports-aluminum-united-states-2/</w:t>
        </w:r>
      </w:hyperlink>
      <w:r w:rsidRPr="00C965FE">
        <w:rPr>
          <w:sz w:val="18"/>
          <w:szCs w:val="18"/>
        </w:rPr>
        <w:t xml:space="preserve"> </w:t>
      </w:r>
    </w:p>
  </w:footnote>
  <w:footnote w:id="7">
    <w:p w14:paraId="10D68FE1" w14:textId="77777777"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hyperlink r:id="rId5" w:history="1">
        <w:r w:rsidRPr="00C965FE">
          <w:rPr>
            <w:rStyle w:val="Hyperlink"/>
            <w:sz w:val="18"/>
            <w:szCs w:val="18"/>
          </w:rPr>
          <w:t>https://www.whitehouse.gov/presidential-actions/presidential-proclamation-adjusting-imports-steel-united-states-3/</w:t>
        </w:r>
      </w:hyperlink>
    </w:p>
    <w:p w14:paraId="1424184C" w14:textId="225EFCAE" w:rsidR="008A6AC7" w:rsidRPr="00C965FE" w:rsidRDefault="007148A4" w:rsidP="001E07BD">
      <w:pPr>
        <w:pStyle w:val="FootnoteText"/>
        <w:spacing w:after="0"/>
        <w:jc w:val="left"/>
        <w:rPr>
          <w:sz w:val="18"/>
          <w:szCs w:val="18"/>
        </w:rPr>
      </w:pPr>
      <w:hyperlink r:id="rId6" w:history="1">
        <w:r w:rsidR="008A6AC7" w:rsidRPr="00C965FE">
          <w:rPr>
            <w:rStyle w:val="Hyperlink"/>
            <w:sz w:val="18"/>
            <w:szCs w:val="18"/>
          </w:rPr>
          <w:t>https://www.whitehouse.gov/presidential-actions/presidential-proclamation-adjusting-imports-aluminum-united-states-3/</w:t>
        </w:r>
      </w:hyperlink>
      <w:r w:rsidR="008A6AC7" w:rsidRPr="00C965FE">
        <w:rPr>
          <w:sz w:val="18"/>
          <w:szCs w:val="18"/>
        </w:rPr>
        <w:t xml:space="preserve"> </w:t>
      </w:r>
    </w:p>
  </w:footnote>
  <w:footnote w:id="8">
    <w:p w14:paraId="404C850C" w14:textId="1D292138"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rStyle w:val="FootnoteReference"/>
          <w:sz w:val="18"/>
          <w:szCs w:val="18"/>
        </w:rPr>
        <w:t xml:space="preserve"> </w:t>
      </w:r>
      <w:hyperlink r:id="rId7" w:history="1">
        <w:r w:rsidRPr="00C965FE">
          <w:rPr>
            <w:rStyle w:val="Hyperlink"/>
            <w:position w:val="6"/>
            <w:sz w:val="18"/>
            <w:szCs w:val="18"/>
          </w:rPr>
          <w:t>https://www.whitehouse.gov/presidential-actions/presidential-proclamation-adjusting-imports-steel-united-states-4/</w:t>
        </w:r>
      </w:hyperlink>
      <w:r w:rsidRPr="00C965FE">
        <w:rPr>
          <w:sz w:val="18"/>
          <w:szCs w:val="18"/>
        </w:rPr>
        <w:t xml:space="preserve"> and </w:t>
      </w:r>
      <w:hyperlink r:id="rId8" w:history="1">
        <w:r w:rsidRPr="00C965FE">
          <w:rPr>
            <w:rStyle w:val="Hyperlink"/>
            <w:sz w:val="18"/>
            <w:szCs w:val="18"/>
          </w:rPr>
          <w:t>https://www.whitehouse.gov/presidential-actions/presidential-proclamation-adjusting-imports-aluminum-united-states-4/</w:t>
        </w:r>
      </w:hyperlink>
      <w:r w:rsidRPr="00C965FE">
        <w:rPr>
          <w:sz w:val="18"/>
          <w:szCs w:val="18"/>
        </w:rPr>
        <w:t xml:space="preserve"> </w:t>
      </w:r>
    </w:p>
  </w:footnote>
  <w:footnote w:id="9">
    <w:p w14:paraId="17430AAC" w14:textId="1F6C2A23"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r w:rsidRPr="00C965FE">
        <w:rPr>
          <w:sz w:val="18"/>
          <w:szCs w:val="18"/>
          <w:lang w:val="en-US"/>
        </w:rPr>
        <w:t xml:space="preserve">The reference to “7304.10” in clause 1 of Proclamation 9705 is amended to read “7304.11”. The White House, </w:t>
      </w:r>
      <w:r w:rsidRPr="00C965FE">
        <w:rPr>
          <w:i/>
          <w:sz w:val="18"/>
          <w:szCs w:val="18"/>
          <w:lang w:val="en-US"/>
        </w:rPr>
        <w:t>Presidential Proclamation Adjusting Imports of Steel into the United States</w:t>
      </w:r>
      <w:r w:rsidRPr="00C965FE">
        <w:rPr>
          <w:sz w:val="18"/>
          <w:szCs w:val="18"/>
          <w:lang w:val="en-US"/>
        </w:rPr>
        <w:t>, 22 March 2018, &lt;https://www.whitehouse.gov/presidential-actions/presidential-proclamation-adjusting-imports-steel-united-states-2/&gt;.</w:t>
      </w:r>
    </w:p>
  </w:footnote>
  <w:footnote w:id="10">
    <w:p w14:paraId="0FE17018" w14:textId="4D25DBCE"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Anti-Dumping Commission, </w:t>
      </w:r>
      <w:r w:rsidRPr="00C965FE">
        <w:rPr>
          <w:i/>
          <w:sz w:val="18"/>
          <w:szCs w:val="18"/>
        </w:rPr>
        <w:t>Analysis of Australia’s steel manufacturing and fabricating markets report to the Commissioner of the Anti-Dumping Commission</w:t>
      </w:r>
      <w:r w:rsidRPr="00C965FE">
        <w:rPr>
          <w:sz w:val="18"/>
          <w:szCs w:val="18"/>
        </w:rPr>
        <w:t xml:space="preserve">, 2017, p.4, </w:t>
      </w:r>
      <w:hyperlink r:id="rId9" w:history="1">
        <w:r w:rsidRPr="00C965FE">
          <w:rPr>
            <w:rStyle w:val="Hyperlink"/>
            <w:sz w:val="18"/>
            <w:szCs w:val="18"/>
          </w:rPr>
          <w:t>http://www.adcommission.gov.au/adsystem/referencematerial/Documents/Steel%20Fabrication%20Report%20November%202017.pdf</w:t>
        </w:r>
      </w:hyperlink>
      <w:r w:rsidRPr="00C965FE">
        <w:rPr>
          <w:sz w:val="18"/>
          <w:szCs w:val="18"/>
        </w:rPr>
        <w:t xml:space="preserve">. </w:t>
      </w:r>
    </w:p>
  </w:footnote>
  <w:footnote w:id="11">
    <w:p w14:paraId="36D25140" w14:textId="4EED3F83"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r>
        <w:rPr>
          <w:sz w:val="18"/>
          <w:szCs w:val="18"/>
        </w:rPr>
        <w:t>ibid., p.4</w:t>
      </w:r>
    </w:p>
  </w:footnote>
  <w:footnote w:id="12">
    <w:p w14:paraId="6A6C841C" w14:textId="033309C7"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Anti-Dumping Commission, </w:t>
      </w:r>
      <w:r w:rsidRPr="00C965FE">
        <w:rPr>
          <w:i/>
          <w:sz w:val="18"/>
          <w:szCs w:val="18"/>
        </w:rPr>
        <w:t>Analysis of steel and aluminium markets report to the Commissioner of the Anti-Dumping Commission</w:t>
      </w:r>
      <w:r w:rsidRPr="00C965FE">
        <w:rPr>
          <w:sz w:val="18"/>
          <w:szCs w:val="18"/>
        </w:rPr>
        <w:t xml:space="preserve">, 2016, </w:t>
      </w:r>
      <w:hyperlink r:id="rId10" w:history="1">
        <w:r w:rsidRPr="00C965FE">
          <w:rPr>
            <w:rStyle w:val="Hyperlink"/>
            <w:sz w:val="18"/>
            <w:szCs w:val="18"/>
          </w:rPr>
          <w:t>http://www.adcommission.gov.au/adsystem/referencematerial/Documents/Steel.Aluminium.Report.31.August.2016.pdf</w:t>
        </w:r>
      </w:hyperlink>
      <w:r w:rsidRPr="00C965FE">
        <w:rPr>
          <w:rStyle w:val="Hyperlink"/>
          <w:sz w:val="18"/>
          <w:szCs w:val="18"/>
        </w:rPr>
        <w:t>.</w:t>
      </w:r>
    </w:p>
  </w:footnote>
  <w:footnote w:id="13">
    <w:p w14:paraId="60152240" w14:textId="5C693375"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r>
        <w:rPr>
          <w:sz w:val="18"/>
          <w:szCs w:val="18"/>
        </w:rPr>
        <w:t xml:space="preserve">See footnote 9 </w:t>
      </w:r>
    </w:p>
  </w:footnote>
  <w:footnote w:id="14">
    <w:p w14:paraId="0F63A3F1" w14:textId="6B5C1EE4"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r w:rsidRPr="00C965FE">
        <w:rPr>
          <w:i/>
          <w:sz w:val="18"/>
          <w:szCs w:val="18"/>
        </w:rPr>
        <w:t>Global Forum on steel excess capacity report 30 November 2017</w:t>
      </w:r>
      <w:r w:rsidRPr="00C965FE">
        <w:rPr>
          <w:sz w:val="18"/>
          <w:szCs w:val="18"/>
        </w:rPr>
        <w:t>,</w:t>
      </w:r>
      <w:r w:rsidRPr="00C965FE">
        <w:rPr>
          <w:bCs/>
          <w:sz w:val="18"/>
          <w:szCs w:val="18"/>
        </w:rPr>
        <w:t xml:space="preserve"> pp.3-4, </w:t>
      </w:r>
      <w:hyperlink r:id="rId11" w:history="1">
        <w:r w:rsidRPr="00C965FE">
          <w:rPr>
            <w:rStyle w:val="Hyperlink"/>
            <w:sz w:val="18"/>
            <w:szCs w:val="18"/>
          </w:rPr>
          <w:t>https://www.bmwi.de/Redaktion/EN/Downloads/global-forum-on-steel-excess-capacity-report.pdf?__blob=publicationFile</w:t>
        </w:r>
      </w:hyperlink>
      <w:r w:rsidRPr="00C965FE">
        <w:rPr>
          <w:rStyle w:val="Hyperlink"/>
          <w:sz w:val="18"/>
          <w:szCs w:val="18"/>
        </w:rPr>
        <w:t>.</w:t>
      </w:r>
    </w:p>
  </w:footnote>
  <w:footnote w:id="15">
    <w:p w14:paraId="0F083A98" w14:textId="53413FD7" w:rsidR="008A6AC7" w:rsidRPr="00C965FE" w:rsidRDefault="008A6AC7" w:rsidP="001E07BD">
      <w:pPr>
        <w:pStyle w:val="FootnoteText"/>
        <w:spacing w:after="0"/>
        <w:jc w:val="left"/>
        <w:rPr>
          <w:sz w:val="18"/>
          <w:szCs w:val="18"/>
        </w:rPr>
      </w:pPr>
      <w:r w:rsidRPr="00C965FE">
        <w:rPr>
          <w:rStyle w:val="FootnoteReference"/>
          <w:sz w:val="18"/>
          <w:szCs w:val="18"/>
        </w:rPr>
        <w:footnoteRef/>
      </w:r>
      <w:r w:rsidRPr="00C965FE">
        <w:rPr>
          <w:sz w:val="18"/>
          <w:szCs w:val="18"/>
        </w:rPr>
        <w:t xml:space="preserve"> </w:t>
      </w:r>
      <w:r w:rsidRPr="00D35EB8">
        <w:rPr>
          <w:sz w:val="18"/>
          <w:szCs w:val="18"/>
        </w:rPr>
        <w:t>See footnote 11 at p.5.</w:t>
      </w:r>
    </w:p>
  </w:footnote>
  <w:footnote w:id="16">
    <w:p w14:paraId="5E5FDB2E" w14:textId="0513C708" w:rsidR="008A6AC7" w:rsidRPr="00C965FE" w:rsidRDefault="008A6AC7" w:rsidP="00415298">
      <w:pPr>
        <w:pStyle w:val="FootnoteText"/>
        <w:spacing w:after="0"/>
        <w:rPr>
          <w:sz w:val="18"/>
          <w:szCs w:val="18"/>
          <w:lang w:val="en-US"/>
        </w:rPr>
      </w:pPr>
      <w:r w:rsidRPr="00C965FE">
        <w:rPr>
          <w:rStyle w:val="FootnoteReference"/>
          <w:sz w:val="18"/>
          <w:szCs w:val="18"/>
        </w:rPr>
        <w:footnoteRef/>
      </w:r>
      <w:r w:rsidRPr="00C965FE">
        <w:rPr>
          <w:sz w:val="18"/>
          <w:szCs w:val="18"/>
        </w:rPr>
        <w:t xml:space="preserve"> ‘Normal value’ may also be determined using either comparable prices to a third country or the cost of production plus selling, general and administrative expenses and profit</w:t>
      </w:r>
    </w:p>
  </w:footnote>
  <w:footnote w:id="17">
    <w:p w14:paraId="5531E10D" w14:textId="77777777" w:rsidR="008A6AC7" w:rsidRPr="00C965FE" w:rsidRDefault="008A6AC7" w:rsidP="00415298">
      <w:pPr>
        <w:pStyle w:val="FootnoteText"/>
        <w:spacing w:after="0"/>
        <w:rPr>
          <w:sz w:val="18"/>
          <w:szCs w:val="18"/>
          <w:lang w:val="en-US"/>
        </w:rPr>
      </w:pPr>
      <w:r w:rsidRPr="00C965FE">
        <w:rPr>
          <w:rStyle w:val="FootnoteReference"/>
          <w:sz w:val="18"/>
          <w:szCs w:val="18"/>
        </w:rPr>
        <w:footnoteRef/>
      </w:r>
      <w:r w:rsidRPr="00C965FE">
        <w:rPr>
          <w:sz w:val="18"/>
          <w:szCs w:val="18"/>
        </w:rPr>
        <w:t xml:space="preserve"> http://www.adcommission.gov.au/adsystem/Pages/Explaining-the-System.aspx</w:t>
      </w:r>
    </w:p>
  </w:footnote>
  <w:footnote w:id="18">
    <w:p w14:paraId="4A7521C2" w14:textId="6B419B3C" w:rsidR="008A6AC7" w:rsidRPr="00C965FE" w:rsidRDefault="008A6AC7" w:rsidP="00415298">
      <w:pPr>
        <w:pStyle w:val="FootnoteText"/>
        <w:spacing w:after="0"/>
        <w:rPr>
          <w:sz w:val="18"/>
          <w:szCs w:val="18"/>
          <w:lang w:val="en-US"/>
        </w:rPr>
      </w:pPr>
      <w:r w:rsidRPr="00C965FE">
        <w:rPr>
          <w:rStyle w:val="FootnoteReference"/>
          <w:sz w:val="18"/>
          <w:szCs w:val="18"/>
        </w:rPr>
        <w:footnoteRef/>
      </w:r>
      <w:r w:rsidRPr="00C965FE">
        <w:rPr>
          <w:sz w:val="18"/>
          <w:szCs w:val="18"/>
        </w:rPr>
        <w:t xml:space="preserve"> </w:t>
      </w:r>
      <w:r>
        <w:rPr>
          <w:sz w:val="18"/>
          <w:szCs w:val="18"/>
        </w:rPr>
        <w:t>ibid.</w:t>
      </w:r>
    </w:p>
  </w:footnote>
  <w:footnote w:id="19">
    <w:p w14:paraId="34BA08C3" w14:textId="77777777" w:rsidR="008A6AC7" w:rsidRPr="00C965FE" w:rsidRDefault="008A6AC7" w:rsidP="00A13E6F">
      <w:pPr>
        <w:pStyle w:val="FootnoteText"/>
        <w:rPr>
          <w:sz w:val="18"/>
          <w:szCs w:val="18"/>
        </w:rPr>
      </w:pPr>
      <w:r w:rsidRPr="00C965FE">
        <w:rPr>
          <w:rStyle w:val="FootnoteReference"/>
          <w:sz w:val="18"/>
          <w:szCs w:val="18"/>
        </w:rPr>
        <w:footnoteRef/>
      </w:r>
      <w:r w:rsidRPr="00C965FE">
        <w:rPr>
          <w:sz w:val="18"/>
          <w:szCs w:val="18"/>
        </w:rPr>
        <w:t xml:space="preserve"> WTO count.</w:t>
      </w:r>
    </w:p>
  </w:footnote>
  <w:footnote w:id="20">
    <w:p w14:paraId="2473EB30" w14:textId="77777777" w:rsidR="008A6AC7" w:rsidRPr="00C965FE" w:rsidRDefault="008A6AC7" w:rsidP="001E07BD">
      <w:pPr>
        <w:pStyle w:val="FootnoteText"/>
        <w:jc w:val="left"/>
        <w:rPr>
          <w:sz w:val="18"/>
          <w:szCs w:val="18"/>
        </w:rPr>
      </w:pPr>
      <w:r w:rsidRPr="00C965FE">
        <w:rPr>
          <w:rStyle w:val="FootnoteReference"/>
          <w:sz w:val="18"/>
          <w:szCs w:val="18"/>
        </w:rPr>
        <w:footnoteRef/>
      </w:r>
      <w:r w:rsidRPr="00C965FE">
        <w:rPr>
          <w:sz w:val="18"/>
          <w:szCs w:val="18"/>
        </w:rPr>
        <w:t xml:space="preserve"> (D) Dumping duties, (C) Countervailing duties (P) Provisional measures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700BA" w14:textId="3A2B5B9C" w:rsidR="008A6AC7" w:rsidRPr="001241B8" w:rsidRDefault="008A6AC7" w:rsidP="00235B6A">
    <w:pPr>
      <w:pStyle w:val="Header"/>
      <w:tabs>
        <w:tab w:val="center" w:pos="4770"/>
        <w:tab w:val="left" w:pos="6644"/>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21C7" w14:textId="714F797E" w:rsidR="008A6AC7" w:rsidRDefault="008A6AC7" w:rsidP="00396D7F">
    <w:pPr>
      <w:pStyle w:val="Header"/>
    </w:pPr>
    <w:r>
      <w:rPr>
        <w:noProof/>
      </w:rPr>
      <mc:AlternateContent>
        <mc:Choice Requires="wps">
          <w:drawing>
            <wp:anchor distT="0" distB="0" distL="114300" distR="114300" simplePos="0" relativeHeight="251658240" behindDoc="0" locked="0" layoutInCell="1" allowOverlap="1" wp14:anchorId="09D6B45C" wp14:editId="09D6B45D">
              <wp:simplePos x="0" y="0"/>
              <wp:positionH relativeFrom="column">
                <wp:posOffset>-2540</wp:posOffset>
              </wp:positionH>
              <wp:positionV relativeFrom="paragraph">
                <wp:posOffset>939165</wp:posOffset>
              </wp:positionV>
              <wp:extent cx="606044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0604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94A9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pt,73.95pt" to="477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nY1wEAAA0EAAAOAAAAZHJzL2Uyb0RvYy54bWysU02L2zAQvRf6H4TujZ2QhmLi7CHL7qW0&#10;odv+AK08igX6YqTGzr/vSE6cpVsKLXuRPdK8p3lvRtu70Rp2Aozau5YvFzVn4KTvtDu2/Mf3hw+f&#10;OItJuE4Y76DlZ4j8bvf+3XYIDax8700HyIjExWYILe9TCk1VRdmDFXHhAzg6VB6tSBTisepQDMRu&#10;TbWq6001eOwCegkx0u79dMh3hV8pkOmrUhESMy2n2lJZsazPea12W9EcUYRey0sZ4j+qsEI7unSm&#10;uhdJsJ+oX1FZLdFHr9JCelt5pbSEooHULOvf1Dz1IkDRQubEMNsU345WfjkdkOmOeseZE5Za9JRQ&#10;6GOf2N47RwZ6ZMvs0xBiQ+l7d8BLFMMBs+hRoc1fksPG4u159hbGxCRtbupNvV5TC+T1rLoBA8b0&#10;CN6y/NNyo12WLRpx+hwTXUap15S8bRwbWr76uK7rkha90d2DNiYfltGBvUF2EtT0NJbiieFFFkXG&#10;EW2WNIkof+lsYOL/BopMobKX0wV5HG+cQkpw6cprHGVnmKIKZuClsr8BL/kZCmVU/wU8I8rN3qUZ&#10;bLXz+Keyb1aoKf/qwKQ7W/Dsu3Npb7GGZq54f3kfeahfxgV+e8W7XwAAAP//AwBQSwMEFAAGAAgA&#10;AAAhAH96P2/cAAAACQEAAA8AAABkcnMvZG93bnJldi54bWxMj0FPwkAQhe8m/ofNmHiDLaSo1G4J&#10;MfHoAeQgt6U7tJXubOksUPz1jomJHue9lzffyxeDb9UZe24CGZiME1BIZXANVQY276+jJ1AcLTnb&#10;BkIDV2RYFLc3uc1cuNAKz+tYKSkhzqyBOsYu05rLGr3lceiQxNuH3tsoZ19p19uLlPtWT5PkQXvb&#10;kHyobYcvNZaH9ckb2H8er43HIyVb5pn/WLkvvX0z5v5uWD6DijjEvzD84As6FMK0CydyrFoDo1SC&#10;IqePc1Diz2epbNv9KrrI9f8FxTcAAAD//wMAUEsBAi0AFAAGAAgAAAAhALaDOJL+AAAA4QEAABMA&#10;AAAAAAAAAAAAAAAAAAAAAFtDb250ZW50X1R5cGVzXS54bWxQSwECLQAUAAYACAAAACEAOP0h/9YA&#10;AACUAQAACwAAAAAAAAAAAAAAAAAvAQAAX3JlbHMvLnJlbHNQSwECLQAUAAYACAAAACEAGoIJ2NcB&#10;AAANBAAADgAAAAAAAAAAAAAAAAAuAgAAZHJzL2Uyb0RvYy54bWxQSwECLQAUAAYACAAAACEAf3o/&#10;b9wAAAAJAQAADwAAAAAAAAAAAAAAAAAxBAAAZHJzL2Rvd25yZXYueG1sUEsFBgAAAAAEAAQA8wAA&#10;ADoFAAAAAA==&#10;" strokecolor="black [3213]" strokeweight="2pt"/>
          </w:pict>
        </mc:Fallback>
      </mc:AlternateContent>
    </w:r>
    <w:r>
      <w:rPr>
        <w:noProof/>
      </w:rPr>
      <w:drawing>
        <wp:inline distT="0" distB="0" distL="0" distR="0" wp14:anchorId="09D6B45E" wp14:editId="09D6B45F">
          <wp:extent cx="6060558"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100" cy="900007"/>
                  </a:xfrm>
                  <a:prstGeom prst="rect">
                    <a:avLst/>
                  </a:prstGeom>
                  <a:noFill/>
                  <a:ln>
                    <a:noFill/>
                  </a:ln>
                </pic:spPr>
              </pic:pic>
            </a:graphicData>
          </a:graphic>
        </wp:inline>
      </w:drawing>
    </w:r>
  </w:p>
  <w:p w14:paraId="2BE396ED" w14:textId="77777777" w:rsidR="008A6AC7" w:rsidRDefault="008A6AC7" w:rsidP="00396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B5A6A30"/>
    <w:lvl w:ilvl="0">
      <w:start w:val="1"/>
      <w:numFmt w:val="decimal"/>
      <w:pStyle w:val="ListNumber"/>
      <w:lvlText w:val="%1."/>
      <w:lvlJc w:val="left"/>
      <w:pPr>
        <w:tabs>
          <w:tab w:val="num" w:pos="360"/>
        </w:tabs>
        <w:ind w:left="360" w:hanging="360"/>
      </w:pPr>
    </w:lvl>
  </w:abstractNum>
  <w:abstractNum w:abstractNumId="1" w15:restartNumberingAfterBreak="0">
    <w:nsid w:val="01C47CC0"/>
    <w:multiLevelType w:val="hybridMultilevel"/>
    <w:tmpl w:val="26A0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ED0B0A"/>
    <w:multiLevelType w:val="hybridMultilevel"/>
    <w:tmpl w:val="58484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49919FC"/>
    <w:multiLevelType w:val="multilevel"/>
    <w:tmpl w:val="3B189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3E4B3E"/>
    <w:multiLevelType w:val="hybridMultilevel"/>
    <w:tmpl w:val="AC827742"/>
    <w:lvl w:ilvl="0" w:tplc="0B8A2326">
      <w:start w:val="1"/>
      <w:numFmt w:val="bullet"/>
      <w:lvlText w:val=""/>
      <w:lvlJc w:val="left"/>
      <w:pPr>
        <w:ind w:left="720" w:hanging="360"/>
      </w:pPr>
      <w:rPr>
        <w:rFonts w:ascii="Symbol" w:hAnsi="Symbol" w:hint="default"/>
        <w:color w:val="000000" w:themeColor="text1"/>
      </w:rPr>
    </w:lvl>
    <w:lvl w:ilvl="1" w:tplc="C6DA3698">
      <w:start w:val="1"/>
      <w:numFmt w:val="bullet"/>
      <w:lvlText w:val="o"/>
      <w:lvlJc w:val="left"/>
      <w:pPr>
        <w:ind w:left="1440" w:hanging="360"/>
      </w:pPr>
      <w:rPr>
        <w:rFonts w:ascii="Courier New" w:hAnsi="Courier New" w:cs="Courier New" w:hint="default"/>
        <w:color w:val="000000" w:themeColor="text1"/>
      </w:rPr>
    </w:lvl>
    <w:lvl w:ilvl="2" w:tplc="E05CE1E8">
      <w:start w:val="1"/>
      <w:numFmt w:val="bullet"/>
      <w:lvlText w:val=""/>
      <w:lvlJc w:val="left"/>
      <w:pPr>
        <w:ind w:left="2160" w:hanging="360"/>
      </w:pPr>
      <w:rPr>
        <w:rFonts w:ascii="Wingdings" w:hAnsi="Wingdings" w:hint="default"/>
      </w:rPr>
    </w:lvl>
    <w:lvl w:ilvl="3" w:tplc="2568636A" w:tentative="1">
      <w:start w:val="1"/>
      <w:numFmt w:val="bullet"/>
      <w:lvlText w:val=""/>
      <w:lvlJc w:val="left"/>
      <w:pPr>
        <w:ind w:left="2880" w:hanging="360"/>
      </w:pPr>
      <w:rPr>
        <w:rFonts w:ascii="Symbol" w:hAnsi="Symbol" w:hint="default"/>
      </w:rPr>
    </w:lvl>
    <w:lvl w:ilvl="4" w:tplc="3A228A70" w:tentative="1">
      <w:start w:val="1"/>
      <w:numFmt w:val="bullet"/>
      <w:lvlText w:val="o"/>
      <w:lvlJc w:val="left"/>
      <w:pPr>
        <w:ind w:left="3600" w:hanging="360"/>
      </w:pPr>
      <w:rPr>
        <w:rFonts w:ascii="Courier New" w:hAnsi="Courier New" w:cs="Courier New" w:hint="default"/>
      </w:rPr>
    </w:lvl>
    <w:lvl w:ilvl="5" w:tplc="7CE8697A" w:tentative="1">
      <w:start w:val="1"/>
      <w:numFmt w:val="bullet"/>
      <w:lvlText w:val=""/>
      <w:lvlJc w:val="left"/>
      <w:pPr>
        <w:ind w:left="4320" w:hanging="360"/>
      </w:pPr>
      <w:rPr>
        <w:rFonts w:ascii="Wingdings" w:hAnsi="Wingdings" w:hint="default"/>
      </w:rPr>
    </w:lvl>
    <w:lvl w:ilvl="6" w:tplc="F3CEBE20" w:tentative="1">
      <w:start w:val="1"/>
      <w:numFmt w:val="bullet"/>
      <w:lvlText w:val=""/>
      <w:lvlJc w:val="left"/>
      <w:pPr>
        <w:ind w:left="5040" w:hanging="360"/>
      </w:pPr>
      <w:rPr>
        <w:rFonts w:ascii="Symbol" w:hAnsi="Symbol" w:hint="default"/>
      </w:rPr>
    </w:lvl>
    <w:lvl w:ilvl="7" w:tplc="68A28800" w:tentative="1">
      <w:start w:val="1"/>
      <w:numFmt w:val="bullet"/>
      <w:lvlText w:val="o"/>
      <w:lvlJc w:val="left"/>
      <w:pPr>
        <w:ind w:left="5760" w:hanging="360"/>
      </w:pPr>
      <w:rPr>
        <w:rFonts w:ascii="Courier New" w:hAnsi="Courier New" w:cs="Courier New" w:hint="default"/>
      </w:rPr>
    </w:lvl>
    <w:lvl w:ilvl="8" w:tplc="F32681FA" w:tentative="1">
      <w:start w:val="1"/>
      <w:numFmt w:val="bullet"/>
      <w:lvlText w:val=""/>
      <w:lvlJc w:val="left"/>
      <w:pPr>
        <w:ind w:left="6480" w:hanging="360"/>
      </w:pPr>
      <w:rPr>
        <w:rFonts w:ascii="Wingdings" w:hAnsi="Wingdings" w:hint="default"/>
      </w:rPr>
    </w:lvl>
  </w:abstractNum>
  <w:abstractNum w:abstractNumId="5"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A1EF0"/>
    <w:multiLevelType w:val="hybridMultilevel"/>
    <w:tmpl w:val="4DB2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D02D5"/>
    <w:multiLevelType w:val="hybridMultilevel"/>
    <w:tmpl w:val="000AC55E"/>
    <w:lvl w:ilvl="0" w:tplc="4962A174">
      <w:start w:val="1"/>
      <w:numFmt w:val="decimal"/>
      <w:lvlText w:val="%1."/>
      <w:lvlJc w:val="left"/>
      <w:pPr>
        <w:ind w:left="1571" w:hanging="360"/>
      </w:pPr>
      <w:rPr>
        <w:sz w:val="24"/>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0BC247E0"/>
    <w:multiLevelType w:val="hybridMultilevel"/>
    <w:tmpl w:val="FA52AFFE"/>
    <w:lvl w:ilvl="0" w:tplc="53A8D6C0">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C3E62A2"/>
    <w:multiLevelType w:val="hybridMultilevel"/>
    <w:tmpl w:val="66C28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F12D07"/>
    <w:multiLevelType w:val="multilevel"/>
    <w:tmpl w:val="5B3ED7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9A636F"/>
    <w:multiLevelType w:val="singleLevel"/>
    <w:tmpl w:val="4BF8D1B2"/>
    <w:lvl w:ilvl="0">
      <w:start w:val="1"/>
      <w:numFmt w:val="bullet"/>
      <w:pStyle w:val="Bullet0"/>
      <w:lvlText w:val=""/>
      <w:lvlJc w:val="left"/>
      <w:pPr>
        <w:tabs>
          <w:tab w:val="num" w:pos="644"/>
        </w:tabs>
        <w:ind w:left="567" w:hanging="283"/>
      </w:pPr>
      <w:rPr>
        <w:rFonts w:ascii="Symbol" w:hAnsi="Symbol" w:hint="default"/>
      </w:rPr>
    </w:lvl>
  </w:abstractNum>
  <w:abstractNum w:abstractNumId="12" w15:restartNumberingAfterBreak="0">
    <w:nsid w:val="195A4938"/>
    <w:multiLevelType w:val="hybridMultilevel"/>
    <w:tmpl w:val="7DA485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DDD54EA"/>
    <w:multiLevelType w:val="multilevel"/>
    <w:tmpl w:val="E648ECE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67166E4"/>
    <w:multiLevelType w:val="hybridMultilevel"/>
    <w:tmpl w:val="D6145CA4"/>
    <w:lvl w:ilvl="0" w:tplc="5E46293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BB1678"/>
    <w:multiLevelType w:val="hybridMultilevel"/>
    <w:tmpl w:val="99CA7A6A"/>
    <w:lvl w:ilvl="0" w:tplc="FBF218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AD74D9"/>
    <w:multiLevelType w:val="hybridMultilevel"/>
    <w:tmpl w:val="F10E24B8"/>
    <w:lvl w:ilvl="0" w:tplc="F786959E">
      <w:start w:val="1"/>
      <w:numFmt w:val="bullet"/>
      <w:lvlText w:val=""/>
      <w:lvlJc w:val="left"/>
      <w:pPr>
        <w:tabs>
          <w:tab w:val="num" w:pos="567"/>
        </w:tabs>
        <w:ind w:left="567" w:hanging="567"/>
      </w:pPr>
      <w:rPr>
        <w:rFonts w:ascii="Symbol" w:hAnsi="Symbol" w:hint="default"/>
        <w:b w:val="0"/>
        <w:i w:val="0"/>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3C6D7B"/>
    <w:multiLevelType w:val="hybridMultilevel"/>
    <w:tmpl w:val="7DC69D32"/>
    <w:lvl w:ilvl="0" w:tplc="288CE8A6">
      <w:start w:val="1"/>
      <w:numFmt w:val="bullet"/>
      <w:lvlText w:val=""/>
      <w:lvlJc w:val="left"/>
      <w:pPr>
        <w:tabs>
          <w:tab w:val="num" w:pos="720"/>
        </w:tabs>
        <w:ind w:left="720" w:hanging="360"/>
      </w:pPr>
      <w:rPr>
        <w:rFonts w:ascii="Symbol" w:hAnsi="Symbol" w:hint="default"/>
        <w:color w:val="auto"/>
      </w:rPr>
    </w:lvl>
    <w:lvl w:ilvl="1" w:tplc="1E005718">
      <w:start w:val="501"/>
      <w:numFmt w:val="bullet"/>
      <w:lvlText w:val="-"/>
      <w:lvlJc w:val="left"/>
      <w:pPr>
        <w:tabs>
          <w:tab w:val="num" w:pos="1440"/>
        </w:tabs>
        <w:ind w:left="1440" w:hanging="360"/>
      </w:pPr>
      <w:rPr>
        <w:rFonts w:ascii="Arial" w:eastAsia="Times New Roman" w:hAnsi="Arial" w:cs="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565F16"/>
    <w:multiLevelType w:val="multilevel"/>
    <w:tmpl w:val="ED321B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0D5C8C"/>
    <w:multiLevelType w:val="hybridMultilevel"/>
    <w:tmpl w:val="52643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4F0D3F"/>
    <w:multiLevelType w:val="hybridMultilevel"/>
    <w:tmpl w:val="AB741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CB0421"/>
    <w:multiLevelType w:val="hybridMultilevel"/>
    <w:tmpl w:val="29A06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466D92"/>
    <w:multiLevelType w:val="multilevel"/>
    <w:tmpl w:val="F4DA19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E91035"/>
    <w:multiLevelType w:val="hybridMultilevel"/>
    <w:tmpl w:val="E0E0A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9DF4D9A"/>
    <w:multiLevelType w:val="hybridMultilevel"/>
    <w:tmpl w:val="9E803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20171D"/>
    <w:multiLevelType w:val="hybridMultilevel"/>
    <w:tmpl w:val="C3A2A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7B2A97"/>
    <w:multiLevelType w:val="hybridMultilevel"/>
    <w:tmpl w:val="37C02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B967515"/>
    <w:multiLevelType w:val="hybridMultilevel"/>
    <w:tmpl w:val="0F08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485F82"/>
    <w:multiLevelType w:val="hybridMultilevel"/>
    <w:tmpl w:val="8B4A1444"/>
    <w:lvl w:ilvl="0" w:tplc="0C090003">
      <w:start w:val="1"/>
      <w:numFmt w:val="bullet"/>
      <w:lvlText w:val="o"/>
      <w:lvlJc w:val="left"/>
      <w:pPr>
        <w:tabs>
          <w:tab w:val="num" w:pos="567"/>
        </w:tabs>
        <w:ind w:left="567" w:hanging="567"/>
      </w:pPr>
      <w:rPr>
        <w:rFonts w:ascii="Courier New" w:hAnsi="Courier New" w:cs="Courier New" w:hint="default"/>
        <w:b w:val="0"/>
        <w:i w:val="0"/>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2059A"/>
    <w:multiLevelType w:val="hybridMultilevel"/>
    <w:tmpl w:val="2E4A56A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8B0DCA"/>
    <w:multiLevelType w:val="hybridMultilevel"/>
    <w:tmpl w:val="0C2AF0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A63643"/>
    <w:multiLevelType w:val="hybridMultilevel"/>
    <w:tmpl w:val="8886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2631FB"/>
    <w:multiLevelType w:val="multilevel"/>
    <w:tmpl w:val="3B189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5456429"/>
    <w:multiLevelType w:val="multilevel"/>
    <w:tmpl w:val="0576E52C"/>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67835676"/>
    <w:multiLevelType w:val="hybridMultilevel"/>
    <w:tmpl w:val="FF0888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8D5A7A"/>
    <w:multiLevelType w:val="hybridMultilevel"/>
    <w:tmpl w:val="18AA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30088E"/>
    <w:multiLevelType w:val="hybridMultilevel"/>
    <w:tmpl w:val="D44CE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F2599C"/>
    <w:multiLevelType w:val="hybridMultilevel"/>
    <w:tmpl w:val="EA30E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46A85"/>
    <w:multiLevelType w:val="hybridMultilevel"/>
    <w:tmpl w:val="8EBC2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0165A"/>
    <w:multiLevelType w:val="hybridMultilevel"/>
    <w:tmpl w:val="82DA8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F40336"/>
    <w:multiLevelType w:val="hybridMultilevel"/>
    <w:tmpl w:val="BD82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99432E"/>
    <w:multiLevelType w:val="hybridMultilevel"/>
    <w:tmpl w:val="85765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ED3F97"/>
    <w:multiLevelType w:val="hybridMultilevel"/>
    <w:tmpl w:val="3B3CE226"/>
    <w:lvl w:ilvl="0" w:tplc="44A4C00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EF0B15"/>
    <w:multiLevelType w:val="hybridMultilevel"/>
    <w:tmpl w:val="BB98403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5" w15:restartNumberingAfterBreak="0">
    <w:nsid w:val="7B7348D0"/>
    <w:multiLevelType w:val="hybridMultilevel"/>
    <w:tmpl w:val="3A5EAC42"/>
    <w:lvl w:ilvl="0" w:tplc="9A4CEC9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7"/>
  </w:num>
  <w:num w:numId="5">
    <w:abstractNumId w:val="32"/>
  </w:num>
  <w:num w:numId="6">
    <w:abstractNumId w:val="39"/>
  </w:num>
  <w:num w:numId="7">
    <w:abstractNumId w:val="0"/>
  </w:num>
  <w:num w:numId="8">
    <w:abstractNumId w:val="34"/>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0"/>
  </w:num>
  <w:num w:numId="12">
    <w:abstractNumId w:val="10"/>
  </w:num>
  <w:num w:numId="13">
    <w:abstractNumId w:val="33"/>
  </w:num>
  <w:num w:numId="14">
    <w:abstractNumId w:val="43"/>
  </w:num>
  <w:num w:numId="15">
    <w:abstractNumId w:val="3"/>
  </w:num>
  <w:num w:numId="16">
    <w:abstractNumId w:val="26"/>
  </w:num>
  <w:num w:numId="17">
    <w:abstractNumId w:val="30"/>
  </w:num>
  <w:num w:numId="18">
    <w:abstractNumId w:val="16"/>
  </w:num>
  <w:num w:numId="19">
    <w:abstractNumId w:val="20"/>
  </w:num>
  <w:num w:numId="20">
    <w:abstractNumId w:val="15"/>
  </w:num>
  <w:num w:numId="21">
    <w:abstractNumId w:val="4"/>
  </w:num>
  <w:num w:numId="22">
    <w:abstractNumId w:val="7"/>
  </w:num>
  <w:num w:numId="23">
    <w:abstractNumId w:val="31"/>
  </w:num>
  <w:num w:numId="24">
    <w:abstractNumId w:val="42"/>
  </w:num>
  <w:num w:numId="25">
    <w:abstractNumId w:val="36"/>
  </w:num>
  <w:num w:numId="26">
    <w:abstractNumId w:val="35"/>
  </w:num>
  <w:num w:numId="27">
    <w:abstractNumId w:val="9"/>
  </w:num>
  <w:num w:numId="28">
    <w:abstractNumId w:val="21"/>
  </w:num>
  <w:num w:numId="29">
    <w:abstractNumId w:val="13"/>
  </w:num>
  <w:num w:numId="30">
    <w:abstractNumId w:val="13"/>
  </w:num>
  <w:num w:numId="31">
    <w:abstractNumId w:val="13"/>
  </w:num>
  <w:num w:numId="32">
    <w:abstractNumId w:val="13"/>
  </w:num>
  <w:num w:numId="33">
    <w:abstractNumId w:val="13"/>
  </w:num>
  <w:num w:numId="34">
    <w:abstractNumId w:val="22"/>
  </w:num>
  <w:num w:numId="35">
    <w:abstractNumId w:val="12"/>
  </w:num>
  <w:num w:numId="36">
    <w:abstractNumId w:val="13"/>
  </w:num>
  <w:num w:numId="37">
    <w:abstractNumId w:val="13"/>
  </w:num>
  <w:num w:numId="38">
    <w:abstractNumId w:val="14"/>
  </w:num>
  <w:num w:numId="39">
    <w:abstractNumId w:val="13"/>
  </w:num>
  <w:num w:numId="40">
    <w:abstractNumId w:val="19"/>
  </w:num>
  <w:num w:numId="41">
    <w:abstractNumId w:val="23"/>
  </w:num>
  <w:num w:numId="42">
    <w:abstractNumId w:val="23"/>
  </w:num>
  <w:num w:numId="43">
    <w:abstractNumId w:val="23"/>
  </w:num>
  <w:num w:numId="44">
    <w:abstractNumId w:val="29"/>
  </w:num>
  <w:num w:numId="45">
    <w:abstractNumId w:val="44"/>
  </w:num>
  <w:num w:numId="46">
    <w:abstractNumId w:val="2"/>
  </w:num>
  <w:num w:numId="47">
    <w:abstractNumId w:val="45"/>
  </w:num>
  <w:num w:numId="48">
    <w:abstractNumId w:val="37"/>
  </w:num>
  <w:num w:numId="49">
    <w:abstractNumId w:val="1"/>
  </w:num>
  <w:num w:numId="50">
    <w:abstractNumId w:val="23"/>
  </w:num>
  <w:num w:numId="51">
    <w:abstractNumId w:val="38"/>
  </w:num>
  <w:num w:numId="52">
    <w:abstractNumId w:val="28"/>
  </w:num>
  <w:num w:numId="53">
    <w:abstractNumId w:val="25"/>
  </w:num>
  <w:num w:numId="54">
    <w:abstractNumId w:val="27"/>
  </w:num>
  <w:num w:numId="55">
    <w:abstractNumId w:val="6"/>
  </w:num>
  <w:num w:numId="56">
    <w:abstractNumId w:val="27"/>
  </w:num>
  <w:num w:numId="57">
    <w:abstractNumId w:val="8"/>
  </w:num>
  <w:num w:numId="58">
    <w:abstractNumId w:val="41"/>
  </w:num>
  <w:num w:numId="59">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7D"/>
    <w:rsid w:val="00001978"/>
    <w:rsid w:val="00002EB3"/>
    <w:rsid w:val="0000370C"/>
    <w:rsid w:val="00004B4B"/>
    <w:rsid w:val="000215C3"/>
    <w:rsid w:val="00021BBE"/>
    <w:rsid w:val="00023066"/>
    <w:rsid w:val="00023CED"/>
    <w:rsid w:val="00024C9E"/>
    <w:rsid w:val="00025278"/>
    <w:rsid w:val="00025B4D"/>
    <w:rsid w:val="00026EFC"/>
    <w:rsid w:val="00033F63"/>
    <w:rsid w:val="00034233"/>
    <w:rsid w:val="0003714F"/>
    <w:rsid w:val="00041BDF"/>
    <w:rsid w:val="00042C90"/>
    <w:rsid w:val="000533FA"/>
    <w:rsid w:val="000579C8"/>
    <w:rsid w:val="00057EE5"/>
    <w:rsid w:val="0006427D"/>
    <w:rsid w:val="00070A38"/>
    <w:rsid w:val="0007668A"/>
    <w:rsid w:val="00084777"/>
    <w:rsid w:val="00086851"/>
    <w:rsid w:val="0009272F"/>
    <w:rsid w:val="00093B05"/>
    <w:rsid w:val="00094DC5"/>
    <w:rsid w:val="000A148D"/>
    <w:rsid w:val="000A75B3"/>
    <w:rsid w:val="000B1A00"/>
    <w:rsid w:val="000B723F"/>
    <w:rsid w:val="000C7B39"/>
    <w:rsid w:val="000D3778"/>
    <w:rsid w:val="000D6E14"/>
    <w:rsid w:val="000D7B9F"/>
    <w:rsid w:val="000E282F"/>
    <w:rsid w:val="000E475A"/>
    <w:rsid w:val="000F0AF3"/>
    <w:rsid w:val="000F1B5B"/>
    <w:rsid w:val="0010103B"/>
    <w:rsid w:val="00101DF2"/>
    <w:rsid w:val="00102304"/>
    <w:rsid w:val="00104B61"/>
    <w:rsid w:val="00114E1B"/>
    <w:rsid w:val="001160D8"/>
    <w:rsid w:val="00116B8A"/>
    <w:rsid w:val="001216DA"/>
    <w:rsid w:val="001222FF"/>
    <w:rsid w:val="001241B8"/>
    <w:rsid w:val="00127D42"/>
    <w:rsid w:val="00130FD0"/>
    <w:rsid w:val="00134C1B"/>
    <w:rsid w:val="00145150"/>
    <w:rsid w:val="00146794"/>
    <w:rsid w:val="00151851"/>
    <w:rsid w:val="00153ADE"/>
    <w:rsid w:val="00156131"/>
    <w:rsid w:val="00162646"/>
    <w:rsid w:val="0016289C"/>
    <w:rsid w:val="001659CA"/>
    <w:rsid w:val="00170133"/>
    <w:rsid w:val="001750F4"/>
    <w:rsid w:val="0018275C"/>
    <w:rsid w:val="00187FAD"/>
    <w:rsid w:val="0019166E"/>
    <w:rsid w:val="0019432C"/>
    <w:rsid w:val="001A397B"/>
    <w:rsid w:val="001A49DF"/>
    <w:rsid w:val="001B018F"/>
    <w:rsid w:val="001B244B"/>
    <w:rsid w:val="001B3200"/>
    <w:rsid w:val="001C19A7"/>
    <w:rsid w:val="001C4157"/>
    <w:rsid w:val="001C42C6"/>
    <w:rsid w:val="001C4CE8"/>
    <w:rsid w:val="001C74C2"/>
    <w:rsid w:val="001C7FB5"/>
    <w:rsid w:val="001D0CD7"/>
    <w:rsid w:val="001D5209"/>
    <w:rsid w:val="001E0767"/>
    <w:rsid w:val="001E07BD"/>
    <w:rsid w:val="001E3E19"/>
    <w:rsid w:val="001E41B2"/>
    <w:rsid w:val="001E54D5"/>
    <w:rsid w:val="001E713C"/>
    <w:rsid w:val="001E7482"/>
    <w:rsid w:val="001E7B4A"/>
    <w:rsid w:val="0020297D"/>
    <w:rsid w:val="0020448F"/>
    <w:rsid w:val="00205E4C"/>
    <w:rsid w:val="00212EC6"/>
    <w:rsid w:val="00212FB1"/>
    <w:rsid w:val="00217965"/>
    <w:rsid w:val="002220E4"/>
    <w:rsid w:val="00222541"/>
    <w:rsid w:val="00227CFB"/>
    <w:rsid w:val="0023085B"/>
    <w:rsid w:val="00231A24"/>
    <w:rsid w:val="00234A8E"/>
    <w:rsid w:val="00235B6A"/>
    <w:rsid w:val="00236C09"/>
    <w:rsid w:val="00237BC5"/>
    <w:rsid w:val="00240086"/>
    <w:rsid w:val="0024214C"/>
    <w:rsid w:val="00244B5D"/>
    <w:rsid w:val="002456FB"/>
    <w:rsid w:val="00250D84"/>
    <w:rsid w:val="00251E14"/>
    <w:rsid w:val="00252829"/>
    <w:rsid w:val="002528C7"/>
    <w:rsid w:val="002564FE"/>
    <w:rsid w:val="00265079"/>
    <w:rsid w:val="00266869"/>
    <w:rsid w:val="002704D1"/>
    <w:rsid w:val="00271072"/>
    <w:rsid w:val="0027670B"/>
    <w:rsid w:val="00281569"/>
    <w:rsid w:val="002838CB"/>
    <w:rsid w:val="00283F89"/>
    <w:rsid w:val="00285716"/>
    <w:rsid w:val="00285C31"/>
    <w:rsid w:val="00286759"/>
    <w:rsid w:val="00290C5A"/>
    <w:rsid w:val="002963D0"/>
    <w:rsid w:val="0029672C"/>
    <w:rsid w:val="002A11EB"/>
    <w:rsid w:val="002A3F51"/>
    <w:rsid w:val="002B5E30"/>
    <w:rsid w:val="002B7628"/>
    <w:rsid w:val="002C1138"/>
    <w:rsid w:val="002C511D"/>
    <w:rsid w:val="002C67F8"/>
    <w:rsid w:val="002C72AC"/>
    <w:rsid w:val="002D1288"/>
    <w:rsid w:val="002E15DC"/>
    <w:rsid w:val="002E5D84"/>
    <w:rsid w:val="002E5E63"/>
    <w:rsid w:val="002E644E"/>
    <w:rsid w:val="002F0B4D"/>
    <w:rsid w:val="002F12D9"/>
    <w:rsid w:val="002F4F65"/>
    <w:rsid w:val="002F7690"/>
    <w:rsid w:val="0030653F"/>
    <w:rsid w:val="003107C5"/>
    <w:rsid w:val="00310F1E"/>
    <w:rsid w:val="00314A7B"/>
    <w:rsid w:val="00320B41"/>
    <w:rsid w:val="003213DB"/>
    <w:rsid w:val="0032142F"/>
    <w:rsid w:val="003242F8"/>
    <w:rsid w:val="00326268"/>
    <w:rsid w:val="00330032"/>
    <w:rsid w:val="0033115C"/>
    <w:rsid w:val="003341BB"/>
    <w:rsid w:val="00335ABD"/>
    <w:rsid w:val="003417BE"/>
    <w:rsid w:val="003430E1"/>
    <w:rsid w:val="00345A6F"/>
    <w:rsid w:val="00366FD1"/>
    <w:rsid w:val="003706AA"/>
    <w:rsid w:val="00383086"/>
    <w:rsid w:val="00385986"/>
    <w:rsid w:val="00385F71"/>
    <w:rsid w:val="003876D3"/>
    <w:rsid w:val="00387EF0"/>
    <w:rsid w:val="00390116"/>
    <w:rsid w:val="00391C40"/>
    <w:rsid w:val="003949F1"/>
    <w:rsid w:val="00395EFC"/>
    <w:rsid w:val="00396D7F"/>
    <w:rsid w:val="003A189A"/>
    <w:rsid w:val="003A6F19"/>
    <w:rsid w:val="003A7C9F"/>
    <w:rsid w:val="003B067C"/>
    <w:rsid w:val="003C1879"/>
    <w:rsid w:val="003C4F80"/>
    <w:rsid w:val="003D6D92"/>
    <w:rsid w:val="003D796B"/>
    <w:rsid w:val="003E162A"/>
    <w:rsid w:val="003F3ADF"/>
    <w:rsid w:val="004103DE"/>
    <w:rsid w:val="00415298"/>
    <w:rsid w:val="00420D23"/>
    <w:rsid w:val="00431A78"/>
    <w:rsid w:val="004337F5"/>
    <w:rsid w:val="00444688"/>
    <w:rsid w:val="00446410"/>
    <w:rsid w:val="004509AF"/>
    <w:rsid w:val="00464834"/>
    <w:rsid w:val="00464FCF"/>
    <w:rsid w:val="004972F0"/>
    <w:rsid w:val="004979A9"/>
    <w:rsid w:val="004A1035"/>
    <w:rsid w:val="004A1327"/>
    <w:rsid w:val="004A2A3A"/>
    <w:rsid w:val="004A62BB"/>
    <w:rsid w:val="004B1B1D"/>
    <w:rsid w:val="004D024C"/>
    <w:rsid w:val="004D2AD6"/>
    <w:rsid w:val="004D6320"/>
    <w:rsid w:val="004D69EE"/>
    <w:rsid w:val="004D72FC"/>
    <w:rsid w:val="004E11CE"/>
    <w:rsid w:val="004E40B6"/>
    <w:rsid w:val="004F30BC"/>
    <w:rsid w:val="004F5071"/>
    <w:rsid w:val="004F53B6"/>
    <w:rsid w:val="004F5D81"/>
    <w:rsid w:val="00500A32"/>
    <w:rsid w:val="005023F3"/>
    <w:rsid w:val="005055A2"/>
    <w:rsid w:val="0050581D"/>
    <w:rsid w:val="005144C4"/>
    <w:rsid w:val="0051491D"/>
    <w:rsid w:val="00517E6E"/>
    <w:rsid w:val="00523DC4"/>
    <w:rsid w:val="00524321"/>
    <w:rsid w:val="005315C0"/>
    <w:rsid w:val="00531CB2"/>
    <w:rsid w:val="005343EA"/>
    <w:rsid w:val="0053487C"/>
    <w:rsid w:val="00536219"/>
    <w:rsid w:val="00536D12"/>
    <w:rsid w:val="00554148"/>
    <w:rsid w:val="005618BD"/>
    <w:rsid w:val="005629FB"/>
    <w:rsid w:val="00565944"/>
    <w:rsid w:val="00566A7D"/>
    <w:rsid w:val="00567DFA"/>
    <w:rsid w:val="00571A06"/>
    <w:rsid w:val="005770CC"/>
    <w:rsid w:val="00586726"/>
    <w:rsid w:val="00587C16"/>
    <w:rsid w:val="00591B98"/>
    <w:rsid w:val="00592260"/>
    <w:rsid w:val="005A08BB"/>
    <w:rsid w:val="005A1499"/>
    <w:rsid w:val="005A16A7"/>
    <w:rsid w:val="005A253B"/>
    <w:rsid w:val="005B5BA4"/>
    <w:rsid w:val="005C277C"/>
    <w:rsid w:val="005C616E"/>
    <w:rsid w:val="005D26BE"/>
    <w:rsid w:val="005D4416"/>
    <w:rsid w:val="005D792D"/>
    <w:rsid w:val="005E06EC"/>
    <w:rsid w:val="005E1696"/>
    <w:rsid w:val="005E2516"/>
    <w:rsid w:val="005E6BCC"/>
    <w:rsid w:val="005F075E"/>
    <w:rsid w:val="005F36AD"/>
    <w:rsid w:val="005F49F8"/>
    <w:rsid w:val="00604612"/>
    <w:rsid w:val="006059C7"/>
    <w:rsid w:val="00605E99"/>
    <w:rsid w:val="006114A2"/>
    <w:rsid w:val="00612312"/>
    <w:rsid w:val="00622315"/>
    <w:rsid w:val="00623B80"/>
    <w:rsid w:val="00630720"/>
    <w:rsid w:val="0063373D"/>
    <w:rsid w:val="0064270E"/>
    <w:rsid w:val="0064310A"/>
    <w:rsid w:val="0064366B"/>
    <w:rsid w:val="00643C06"/>
    <w:rsid w:val="0064733B"/>
    <w:rsid w:val="006545CD"/>
    <w:rsid w:val="00656DB6"/>
    <w:rsid w:val="00657477"/>
    <w:rsid w:val="00661C06"/>
    <w:rsid w:val="00664CB7"/>
    <w:rsid w:val="00666572"/>
    <w:rsid w:val="00667915"/>
    <w:rsid w:val="00671751"/>
    <w:rsid w:val="006753B4"/>
    <w:rsid w:val="00675FB7"/>
    <w:rsid w:val="00680A16"/>
    <w:rsid w:val="006901BA"/>
    <w:rsid w:val="00691842"/>
    <w:rsid w:val="00694D36"/>
    <w:rsid w:val="006A1366"/>
    <w:rsid w:val="006A3A49"/>
    <w:rsid w:val="006A6683"/>
    <w:rsid w:val="006A7745"/>
    <w:rsid w:val="006C1194"/>
    <w:rsid w:val="006C2304"/>
    <w:rsid w:val="006C6910"/>
    <w:rsid w:val="006C6D88"/>
    <w:rsid w:val="006D35D2"/>
    <w:rsid w:val="006E08AA"/>
    <w:rsid w:val="006E18E9"/>
    <w:rsid w:val="006E4BA5"/>
    <w:rsid w:val="006F0F3F"/>
    <w:rsid w:val="006F38BA"/>
    <w:rsid w:val="006F4CEC"/>
    <w:rsid w:val="006F63E3"/>
    <w:rsid w:val="00700076"/>
    <w:rsid w:val="007005E0"/>
    <w:rsid w:val="007036D5"/>
    <w:rsid w:val="0070491B"/>
    <w:rsid w:val="00711572"/>
    <w:rsid w:val="007148A4"/>
    <w:rsid w:val="00720871"/>
    <w:rsid w:val="00721E85"/>
    <w:rsid w:val="007224E1"/>
    <w:rsid w:val="00724500"/>
    <w:rsid w:val="007421DD"/>
    <w:rsid w:val="00742C44"/>
    <w:rsid w:val="0074665B"/>
    <w:rsid w:val="0075004B"/>
    <w:rsid w:val="00752D0E"/>
    <w:rsid w:val="00753264"/>
    <w:rsid w:val="00755168"/>
    <w:rsid w:val="00760C39"/>
    <w:rsid w:val="007614D2"/>
    <w:rsid w:val="007662D4"/>
    <w:rsid w:val="00770559"/>
    <w:rsid w:val="007716C8"/>
    <w:rsid w:val="0077192C"/>
    <w:rsid w:val="00781148"/>
    <w:rsid w:val="00792139"/>
    <w:rsid w:val="007A23E8"/>
    <w:rsid w:val="007A5799"/>
    <w:rsid w:val="007A6016"/>
    <w:rsid w:val="007B1E55"/>
    <w:rsid w:val="007B2078"/>
    <w:rsid w:val="007B2ED8"/>
    <w:rsid w:val="007B4706"/>
    <w:rsid w:val="007B4D42"/>
    <w:rsid w:val="007C532F"/>
    <w:rsid w:val="007E2C52"/>
    <w:rsid w:val="007E4318"/>
    <w:rsid w:val="007F24D2"/>
    <w:rsid w:val="007F5993"/>
    <w:rsid w:val="00801338"/>
    <w:rsid w:val="008103E7"/>
    <w:rsid w:val="00812174"/>
    <w:rsid w:val="00812E14"/>
    <w:rsid w:val="008137A1"/>
    <w:rsid w:val="00813D99"/>
    <w:rsid w:val="00816976"/>
    <w:rsid w:val="00820278"/>
    <w:rsid w:val="00822C29"/>
    <w:rsid w:val="008230D0"/>
    <w:rsid w:val="008236EC"/>
    <w:rsid w:val="0082793C"/>
    <w:rsid w:val="0083063A"/>
    <w:rsid w:val="008318AC"/>
    <w:rsid w:val="00831F3A"/>
    <w:rsid w:val="00836496"/>
    <w:rsid w:val="00847838"/>
    <w:rsid w:val="00857199"/>
    <w:rsid w:val="008645EB"/>
    <w:rsid w:val="008663A9"/>
    <w:rsid w:val="008727B0"/>
    <w:rsid w:val="008871ED"/>
    <w:rsid w:val="00895498"/>
    <w:rsid w:val="0089569E"/>
    <w:rsid w:val="00895F9C"/>
    <w:rsid w:val="008A6AC7"/>
    <w:rsid w:val="008B7619"/>
    <w:rsid w:val="008C6044"/>
    <w:rsid w:val="008D0CED"/>
    <w:rsid w:val="008D2AA1"/>
    <w:rsid w:val="008D49C9"/>
    <w:rsid w:val="008D53CF"/>
    <w:rsid w:val="008E3DA9"/>
    <w:rsid w:val="008E61EA"/>
    <w:rsid w:val="008F1136"/>
    <w:rsid w:val="008F1751"/>
    <w:rsid w:val="008F52B3"/>
    <w:rsid w:val="008F5A80"/>
    <w:rsid w:val="008F6F06"/>
    <w:rsid w:val="009023AE"/>
    <w:rsid w:val="009122E1"/>
    <w:rsid w:val="0091534E"/>
    <w:rsid w:val="009205B8"/>
    <w:rsid w:val="00923DEE"/>
    <w:rsid w:val="00927F30"/>
    <w:rsid w:val="00931375"/>
    <w:rsid w:val="00932381"/>
    <w:rsid w:val="00933105"/>
    <w:rsid w:val="00934522"/>
    <w:rsid w:val="009351AE"/>
    <w:rsid w:val="00936385"/>
    <w:rsid w:val="009441B6"/>
    <w:rsid w:val="00952573"/>
    <w:rsid w:val="0095696D"/>
    <w:rsid w:val="00962E35"/>
    <w:rsid w:val="00963BC6"/>
    <w:rsid w:val="00965C26"/>
    <w:rsid w:val="0096657F"/>
    <w:rsid w:val="009671EC"/>
    <w:rsid w:val="00967A0E"/>
    <w:rsid w:val="00974A7F"/>
    <w:rsid w:val="009832E6"/>
    <w:rsid w:val="00995E4E"/>
    <w:rsid w:val="00997912"/>
    <w:rsid w:val="009A2242"/>
    <w:rsid w:val="009A31C5"/>
    <w:rsid w:val="009A692F"/>
    <w:rsid w:val="009A725F"/>
    <w:rsid w:val="009B0D76"/>
    <w:rsid w:val="009B12C9"/>
    <w:rsid w:val="009B3D9D"/>
    <w:rsid w:val="009B6BD5"/>
    <w:rsid w:val="009C3438"/>
    <w:rsid w:val="009C5DB4"/>
    <w:rsid w:val="009C606D"/>
    <w:rsid w:val="009D7CCD"/>
    <w:rsid w:val="009E3AA9"/>
    <w:rsid w:val="009F2AFA"/>
    <w:rsid w:val="009F35D8"/>
    <w:rsid w:val="009F7D7B"/>
    <w:rsid w:val="00A01FAA"/>
    <w:rsid w:val="00A0329B"/>
    <w:rsid w:val="00A1215D"/>
    <w:rsid w:val="00A12930"/>
    <w:rsid w:val="00A13E6F"/>
    <w:rsid w:val="00A2002D"/>
    <w:rsid w:val="00A20ED0"/>
    <w:rsid w:val="00A21FAF"/>
    <w:rsid w:val="00A2332A"/>
    <w:rsid w:val="00A25365"/>
    <w:rsid w:val="00A336FE"/>
    <w:rsid w:val="00A34BB2"/>
    <w:rsid w:val="00A44D1E"/>
    <w:rsid w:val="00A52A77"/>
    <w:rsid w:val="00A52C64"/>
    <w:rsid w:val="00A53DF0"/>
    <w:rsid w:val="00A54F45"/>
    <w:rsid w:val="00A5729B"/>
    <w:rsid w:val="00A60A08"/>
    <w:rsid w:val="00A748B1"/>
    <w:rsid w:val="00A75EC2"/>
    <w:rsid w:val="00A7773A"/>
    <w:rsid w:val="00A81FC9"/>
    <w:rsid w:val="00A90590"/>
    <w:rsid w:val="00A9396D"/>
    <w:rsid w:val="00A976D8"/>
    <w:rsid w:val="00AA2714"/>
    <w:rsid w:val="00AA46BB"/>
    <w:rsid w:val="00AA4E83"/>
    <w:rsid w:val="00AA7759"/>
    <w:rsid w:val="00AB1CC1"/>
    <w:rsid w:val="00AB45B4"/>
    <w:rsid w:val="00AB719F"/>
    <w:rsid w:val="00AC3DA5"/>
    <w:rsid w:val="00AC71F2"/>
    <w:rsid w:val="00AC7AD2"/>
    <w:rsid w:val="00AD20CF"/>
    <w:rsid w:val="00AD2F4F"/>
    <w:rsid w:val="00AD4F9A"/>
    <w:rsid w:val="00AE33A5"/>
    <w:rsid w:val="00AE3784"/>
    <w:rsid w:val="00AF41F5"/>
    <w:rsid w:val="00B005AE"/>
    <w:rsid w:val="00B00C0B"/>
    <w:rsid w:val="00B04FD0"/>
    <w:rsid w:val="00B10A47"/>
    <w:rsid w:val="00B132E2"/>
    <w:rsid w:val="00B13750"/>
    <w:rsid w:val="00B14A67"/>
    <w:rsid w:val="00B15183"/>
    <w:rsid w:val="00B2070D"/>
    <w:rsid w:val="00B23B1F"/>
    <w:rsid w:val="00B24467"/>
    <w:rsid w:val="00B318C7"/>
    <w:rsid w:val="00B31ADC"/>
    <w:rsid w:val="00B32A55"/>
    <w:rsid w:val="00B3429C"/>
    <w:rsid w:val="00B403A3"/>
    <w:rsid w:val="00B43C5B"/>
    <w:rsid w:val="00B469FB"/>
    <w:rsid w:val="00B474EC"/>
    <w:rsid w:val="00B47907"/>
    <w:rsid w:val="00B54022"/>
    <w:rsid w:val="00B57884"/>
    <w:rsid w:val="00B6176B"/>
    <w:rsid w:val="00B62883"/>
    <w:rsid w:val="00B70468"/>
    <w:rsid w:val="00B723D4"/>
    <w:rsid w:val="00B7367F"/>
    <w:rsid w:val="00B74148"/>
    <w:rsid w:val="00B74BF6"/>
    <w:rsid w:val="00B8241C"/>
    <w:rsid w:val="00B8405B"/>
    <w:rsid w:val="00B9253C"/>
    <w:rsid w:val="00B93BAE"/>
    <w:rsid w:val="00B94385"/>
    <w:rsid w:val="00B95D94"/>
    <w:rsid w:val="00BA1E19"/>
    <w:rsid w:val="00BB3FA2"/>
    <w:rsid w:val="00BC14C1"/>
    <w:rsid w:val="00BC5CBC"/>
    <w:rsid w:val="00BC6822"/>
    <w:rsid w:val="00BD4248"/>
    <w:rsid w:val="00BE39BF"/>
    <w:rsid w:val="00BE4924"/>
    <w:rsid w:val="00BF26B3"/>
    <w:rsid w:val="00BF43A9"/>
    <w:rsid w:val="00C13ADC"/>
    <w:rsid w:val="00C200B4"/>
    <w:rsid w:val="00C200F7"/>
    <w:rsid w:val="00C21769"/>
    <w:rsid w:val="00C21F96"/>
    <w:rsid w:val="00C253CB"/>
    <w:rsid w:val="00C25FC1"/>
    <w:rsid w:val="00C26BAC"/>
    <w:rsid w:val="00C27670"/>
    <w:rsid w:val="00C27D22"/>
    <w:rsid w:val="00C3180D"/>
    <w:rsid w:val="00C40667"/>
    <w:rsid w:val="00C41B4C"/>
    <w:rsid w:val="00C4597D"/>
    <w:rsid w:val="00C45F7C"/>
    <w:rsid w:val="00C46DE4"/>
    <w:rsid w:val="00C55A3F"/>
    <w:rsid w:val="00C55A51"/>
    <w:rsid w:val="00C5602B"/>
    <w:rsid w:val="00C64AEC"/>
    <w:rsid w:val="00C655D8"/>
    <w:rsid w:val="00C72367"/>
    <w:rsid w:val="00C815F4"/>
    <w:rsid w:val="00C82572"/>
    <w:rsid w:val="00C835E0"/>
    <w:rsid w:val="00C923D0"/>
    <w:rsid w:val="00C945AE"/>
    <w:rsid w:val="00C94F3E"/>
    <w:rsid w:val="00C965FE"/>
    <w:rsid w:val="00C97D0D"/>
    <w:rsid w:val="00CA187E"/>
    <w:rsid w:val="00CA407C"/>
    <w:rsid w:val="00CA4080"/>
    <w:rsid w:val="00CA4F1C"/>
    <w:rsid w:val="00CA6B13"/>
    <w:rsid w:val="00CA6F58"/>
    <w:rsid w:val="00CB0CA0"/>
    <w:rsid w:val="00CB2AF6"/>
    <w:rsid w:val="00CB494B"/>
    <w:rsid w:val="00CB4B96"/>
    <w:rsid w:val="00CB6859"/>
    <w:rsid w:val="00CB77D1"/>
    <w:rsid w:val="00CC222A"/>
    <w:rsid w:val="00CC5FD8"/>
    <w:rsid w:val="00CC6E7F"/>
    <w:rsid w:val="00CD2D59"/>
    <w:rsid w:val="00CD39F8"/>
    <w:rsid w:val="00CD7AD8"/>
    <w:rsid w:val="00CE079F"/>
    <w:rsid w:val="00CE5585"/>
    <w:rsid w:val="00D070E5"/>
    <w:rsid w:val="00D117AC"/>
    <w:rsid w:val="00D15D5F"/>
    <w:rsid w:val="00D2239F"/>
    <w:rsid w:val="00D2312F"/>
    <w:rsid w:val="00D25B30"/>
    <w:rsid w:val="00D27C0F"/>
    <w:rsid w:val="00D35EB8"/>
    <w:rsid w:val="00D36A22"/>
    <w:rsid w:val="00D44B2E"/>
    <w:rsid w:val="00D462F8"/>
    <w:rsid w:val="00D5016F"/>
    <w:rsid w:val="00D51D13"/>
    <w:rsid w:val="00D57600"/>
    <w:rsid w:val="00D64CE2"/>
    <w:rsid w:val="00D67AFA"/>
    <w:rsid w:val="00D704B7"/>
    <w:rsid w:val="00D70E9C"/>
    <w:rsid w:val="00D71A6A"/>
    <w:rsid w:val="00D80092"/>
    <w:rsid w:val="00D810A5"/>
    <w:rsid w:val="00D862A6"/>
    <w:rsid w:val="00D912AB"/>
    <w:rsid w:val="00D94FB1"/>
    <w:rsid w:val="00D974F6"/>
    <w:rsid w:val="00D975FC"/>
    <w:rsid w:val="00DA0919"/>
    <w:rsid w:val="00DB473C"/>
    <w:rsid w:val="00DC086E"/>
    <w:rsid w:val="00DC0E74"/>
    <w:rsid w:val="00DC1D66"/>
    <w:rsid w:val="00DD0EA9"/>
    <w:rsid w:val="00DE34F9"/>
    <w:rsid w:val="00DF03DD"/>
    <w:rsid w:val="00DF0431"/>
    <w:rsid w:val="00DF3017"/>
    <w:rsid w:val="00DF62D4"/>
    <w:rsid w:val="00DF6A8D"/>
    <w:rsid w:val="00DF7B0F"/>
    <w:rsid w:val="00E0128F"/>
    <w:rsid w:val="00E0483B"/>
    <w:rsid w:val="00E04F83"/>
    <w:rsid w:val="00E117BC"/>
    <w:rsid w:val="00E1590D"/>
    <w:rsid w:val="00E21F45"/>
    <w:rsid w:val="00E23993"/>
    <w:rsid w:val="00E320B5"/>
    <w:rsid w:val="00E362E1"/>
    <w:rsid w:val="00E36DE0"/>
    <w:rsid w:val="00E4084C"/>
    <w:rsid w:val="00E430BC"/>
    <w:rsid w:val="00E439F8"/>
    <w:rsid w:val="00E448AF"/>
    <w:rsid w:val="00E523F0"/>
    <w:rsid w:val="00E61EFE"/>
    <w:rsid w:val="00E65E50"/>
    <w:rsid w:val="00E670FE"/>
    <w:rsid w:val="00E673C8"/>
    <w:rsid w:val="00E73BB3"/>
    <w:rsid w:val="00E7443F"/>
    <w:rsid w:val="00E770D9"/>
    <w:rsid w:val="00E80563"/>
    <w:rsid w:val="00E8267D"/>
    <w:rsid w:val="00E828D8"/>
    <w:rsid w:val="00E84EDA"/>
    <w:rsid w:val="00E939B9"/>
    <w:rsid w:val="00E9462A"/>
    <w:rsid w:val="00E95EC2"/>
    <w:rsid w:val="00E97E33"/>
    <w:rsid w:val="00EA0A96"/>
    <w:rsid w:val="00EA651F"/>
    <w:rsid w:val="00EC13D3"/>
    <w:rsid w:val="00EC35B0"/>
    <w:rsid w:val="00EC4DE9"/>
    <w:rsid w:val="00ED6E37"/>
    <w:rsid w:val="00F00452"/>
    <w:rsid w:val="00F0225C"/>
    <w:rsid w:val="00F05057"/>
    <w:rsid w:val="00F07281"/>
    <w:rsid w:val="00F0784F"/>
    <w:rsid w:val="00F17A31"/>
    <w:rsid w:val="00F21CCE"/>
    <w:rsid w:val="00F26B23"/>
    <w:rsid w:val="00F27768"/>
    <w:rsid w:val="00F357D2"/>
    <w:rsid w:val="00F35FCA"/>
    <w:rsid w:val="00F414F1"/>
    <w:rsid w:val="00F4419A"/>
    <w:rsid w:val="00F46F1D"/>
    <w:rsid w:val="00F479E1"/>
    <w:rsid w:val="00F60720"/>
    <w:rsid w:val="00F616FB"/>
    <w:rsid w:val="00F6221F"/>
    <w:rsid w:val="00F73B52"/>
    <w:rsid w:val="00F75445"/>
    <w:rsid w:val="00F82A8B"/>
    <w:rsid w:val="00F83C9F"/>
    <w:rsid w:val="00F87B98"/>
    <w:rsid w:val="00F91007"/>
    <w:rsid w:val="00F91538"/>
    <w:rsid w:val="00F92E76"/>
    <w:rsid w:val="00FA4993"/>
    <w:rsid w:val="00FB0D6F"/>
    <w:rsid w:val="00FB2E6F"/>
    <w:rsid w:val="00FB79F2"/>
    <w:rsid w:val="00FC488D"/>
    <w:rsid w:val="00FC56B9"/>
    <w:rsid w:val="00FC7249"/>
    <w:rsid w:val="00FD05E3"/>
    <w:rsid w:val="00FD096F"/>
    <w:rsid w:val="00FD1A74"/>
    <w:rsid w:val="00FD23BE"/>
    <w:rsid w:val="00FD2C9F"/>
    <w:rsid w:val="00FD4F31"/>
    <w:rsid w:val="00FD5BDB"/>
    <w:rsid w:val="00FD62A1"/>
    <w:rsid w:val="00FE441D"/>
    <w:rsid w:val="00FE4FBC"/>
    <w:rsid w:val="00FE6B9B"/>
    <w:rsid w:val="00FF0A50"/>
    <w:rsid w:val="00FF11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9D6B2FF"/>
  <w15:docId w15:val="{3BB3E8D9-FBA0-4AFC-AD13-08DB5F59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2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99"/>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B4B"/>
    <w:pPr>
      <w:spacing w:after="240"/>
    </w:pPr>
    <w:rPr>
      <w:sz w:val="24"/>
      <w:szCs w:val="24"/>
    </w:rPr>
  </w:style>
  <w:style w:type="paragraph" w:styleId="Heading1">
    <w:name w:val="heading 1"/>
    <w:basedOn w:val="Normal"/>
    <w:next w:val="Normal"/>
    <w:qFormat/>
    <w:rsid w:val="00004B4B"/>
    <w:pPr>
      <w:keepNext/>
      <w:keepLines/>
      <w:pageBreakBefore/>
      <w:numPr>
        <w:numId w:val="41"/>
      </w:numPr>
      <w:pBdr>
        <w:top w:val="single" w:sz="6" w:space="1" w:color="auto" w:shadow="1"/>
        <w:left w:val="single" w:sz="6" w:space="1" w:color="auto" w:shadow="1"/>
        <w:bottom w:val="single" w:sz="6" w:space="1" w:color="auto" w:shadow="1"/>
        <w:right w:val="single" w:sz="6" w:space="1" w:color="auto" w:shadow="1"/>
      </w:pBdr>
      <w:jc w:val="both"/>
      <w:outlineLvl w:val="0"/>
    </w:pPr>
    <w:rPr>
      <w:b/>
      <w:spacing w:val="-10"/>
      <w:sz w:val="32"/>
      <w:szCs w:val="20"/>
      <w:lang w:eastAsia="en-US"/>
    </w:rPr>
  </w:style>
  <w:style w:type="paragraph" w:styleId="Heading2">
    <w:name w:val="heading 2"/>
    <w:basedOn w:val="Index1"/>
    <w:next w:val="Normal"/>
    <w:autoRedefine/>
    <w:qFormat/>
    <w:rsid w:val="00661C06"/>
    <w:pPr>
      <w:keepNext/>
      <w:keepLines/>
      <w:numPr>
        <w:ilvl w:val="1"/>
        <w:numId w:val="41"/>
      </w:numPr>
      <w:spacing w:before="240" w:after="120"/>
      <w:outlineLvl w:val="1"/>
    </w:pPr>
    <w:rPr>
      <w:b/>
      <w:bCs/>
      <w:iCs/>
      <w:color w:val="000000"/>
      <w:szCs w:val="28"/>
      <w:lang w:eastAsia="en-US"/>
    </w:rPr>
  </w:style>
  <w:style w:type="paragraph" w:styleId="Heading3">
    <w:name w:val="heading 3"/>
    <w:basedOn w:val="Normal"/>
    <w:next w:val="Normal"/>
    <w:qFormat/>
    <w:rsid w:val="00E430BC"/>
    <w:pPr>
      <w:keepNext/>
      <w:numPr>
        <w:ilvl w:val="2"/>
        <w:numId w:val="41"/>
      </w:numPr>
      <w:spacing w:before="240"/>
      <w:outlineLvl w:val="2"/>
    </w:pPr>
    <w:rPr>
      <w:b/>
      <w:szCs w:val="20"/>
      <w:lang w:eastAsia="en-US"/>
    </w:rPr>
  </w:style>
  <w:style w:type="paragraph" w:styleId="Heading4">
    <w:name w:val="heading 4"/>
    <w:basedOn w:val="Normal"/>
    <w:next w:val="Normal"/>
    <w:qFormat/>
    <w:rsid w:val="00004B4B"/>
    <w:pPr>
      <w:keepNext/>
      <w:numPr>
        <w:ilvl w:val="3"/>
        <w:numId w:val="41"/>
      </w:numPr>
      <w:spacing w:before="240" w:after="60"/>
      <w:outlineLvl w:val="3"/>
    </w:pPr>
    <w:rPr>
      <w:b/>
      <w:bCs/>
      <w:sz w:val="28"/>
      <w:szCs w:val="28"/>
    </w:rPr>
  </w:style>
  <w:style w:type="paragraph" w:styleId="Heading5">
    <w:name w:val="heading 5"/>
    <w:basedOn w:val="Normal"/>
    <w:next w:val="Normal"/>
    <w:qFormat/>
    <w:rsid w:val="00004B4B"/>
    <w:pPr>
      <w:numPr>
        <w:ilvl w:val="4"/>
        <w:numId w:val="41"/>
      </w:numPr>
      <w:spacing w:before="240" w:after="60"/>
      <w:outlineLvl w:val="4"/>
    </w:pPr>
    <w:rPr>
      <w:b/>
      <w:bCs/>
      <w:i/>
      <w:iCs/>
      <w:sz w:val="26"/>
      <w:szCs w:val="26"/>
    </w:rPr>
  </w:style>
  <w:style w:type="paragraph" w:styleId="Heading6">
    <w:name w:val="heading 6"/>
    <w:basedOn w:val="Normal"/>
    <w:next w:val="Normal"/>
    <w:uiPriority w:val="99"/>
    <w:qFormat/>
    <w:rsid w:val="00004B4B"/>
    <w:pPr>
      <w:numPr>
        <w:ilvl w:val="5"/>
        <w:numId w:val="41"/>
      </w:numPr>
      <w:spacing w:before="240" w:after="60"/>
      <w:outlineLvl w:val="5"/>
    </w:pPr>
    <w:rPr>
      <w:b/>
      <w:bCs/>
      <w:sz w:val="22"/>
      <w:szCs w:val="22"/>
    </w:rPr>
  </w:style>
  <w:style w:type="paragraph" w:styleId="Heading7">
    <w:name w:val="heading 7"/>
    <w:basedOn w:val="Normal"/>
    <w:next w:val="Normal"/>
    <w:uiPriority w:val="99"/>
    <w:qFormat/>
    <w:rsid w:val="00004B4B"/>
    <w:pPr>
      <w:keepNext/>
      <w:numPr>
        <w:ilvl w:val="6"/>
        <w:numId w:val="41"/>
      </w:numPr>
      <w:jc w:val="both"/>
      <w:outlineLvl w:val="6"/>
    </w:pPr>
    <w:rPr>
      <w:i/>
      <w:szCs w:val="20"/>
      <w:lang w:eastAsia="en-US"/>
    </w:rPr>
  </w:style>
  <w:style w:type="paragraph" w:styleId="Heading8">
    <w:name w:val="heading 8"/>
    <w:basedOn w:val="Normal"/>
    <w:next w:val="Normal"/>
    <w:uiPriority w:val="99"/>
    <w:qFormat/>
    <w:rsid w:val="00004B4B"/>
    <w:pPr>
      <w:keepNext/>
      <w:numPr>
        <w:ilvl w:val="7"/>
        <w:numId w:val="41"/>
      </w:numPr>
      <w:jc w:val="both"/>
      <w:outlineLvl w:val="7"/>
    </w:pPr>
    <w:rPr>
      <w:i/>
      <w:szCs w:val="20"/>
      <w:lang w:eastAsia="en-US"/>
    </w:rPr>
  </w:style>
  <w:style w:type="paragraph" w:styleId="Heading9">
    <w:name w:val="heading 9"/>
    <w:basedOn w:val="Normal"/>
    <w:next w:val="Normal"/>
    <w:uiPriority w:val="99"/>
    <w:qFormat/>
    <w:rsid w:val="00004B4B"/>
    <w:pPr>
      <w:keepNext/>
      <w:numPr>
        <w:ilvl w:val="8"/>
        <w:numId w:val="41"/>
      </w:numPr>
      <w:jc w:val="both"/>
      <w:outlineLvl w:val="8"/>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4B4B"/>
    <w:rPr>
      <w:szCs w:val="20"/>
      <w:lang w:eastAsia="en-US"/>
    </w:rPr>
  </w:style>
  <w:style w:type="character" w:customStyle="1" w:styleId="BodyTextChar">
    <w:name w:val="Body Text Char"/>
    <w:link w:val="BodyText"/>
    <w:rsid w:val="00004B4B"/>
    <w:rPr>
      <w:rFonts w:ascii="Arial" w:hAnsi="Arial"/>
      <w:sz w:val="24"/>
      <w:lang w:val="en-AU" w:eastAsia="en-US" w:bidi="ar-SA"/>
    </w:rPr>
  </w:style>
  <w:style w:type="paragraph" w:styleId="List">
    <w:name w:val="List"/>
    <w:basedOn w:val="Normal"/>
    <w:rsid w:val="00004B4B"/>
    <w:pPr>
      <w:spacing w:before="20" w:after="20"/>
      <w:jc w:val="both"/>
    </w:pPr>
    <w:rPr>
      <w:sz w:val="20"/>
      <w:szCs w:val="20"/>
      <w:lang w:eastAsia="en-US"/>
    </w:rPr>
  </w:style>
  <w:style w:type="paragraph" w:styleId="Header">
    <w:name w:val="header"/>
    <w:basedOn w:val="Normal"/>
    <w:link w:val="HeaderChar"/>
    <w:uiPriority w:val="99"/>
    <w:rsid w:val="00004B4B"/>
    <w:pPr>
      <w:tabs>
        <w:tab w:val="center" w:pos="4153"/>
        <w:tab w:val="right" w:pos="8306"/>
      </w:tabs>
    </w:pPr>
  </w:style>
  <w:style w:type="paragraph" w:styleId="Footer">
    <w:name w:val="footer"/>
    <w:basedOn w:val="Normal"/>
    <w:link w:val="FooterChar"/>
    <w:uiPriority w:val="99"/>
    <w:rsid w:val="00004B4B"/>
    <w:pPr>
      <w:tabs>
        <w:tab w:val="center" w:pos="4153"/>
        <w:tab w:val="right" w:pos="8306"/>
      </w:tabs>
    </w:pPr>
  </w:style>
  <w:style w:type="character" w:styleId="Hyperlink">
    <w:name w:val="Hyperlink"/>
    <w:uiPriority w:val="99"/>
    <w:rsid w:val="00004B4B"/>
    <w:rPr>
      <w:color w:val="0000FF"/>
      <w:u w:val="single"/>
    </w:rPr>
  </w:style>
  <w:style w:type="paragraph" w:styleId="TOC1">
    <w:name w:val="toc 1"/>
    <w:basedOn w:val="Normal"/>
    <w:next w:val="Normal"/>
    <w:autoRedefine/>
    <w:uiPriority w:val="39"/>
    <w:rsid w:val="00004B4B"/>
    <w:pPr>
      <w:spacing w:before="120" w:after="120"/>
    </w:pPr>
    <w:rPr>
      <w:rFonts w:ascii="Calibri" w:hAnsi="Calibri" w:cs="Calibri"/>
      <w:b/>
      <w:bCs/>
      <w:caps/>
      <w:sz w:val="20"/>
      <w:szCs w:val="20"/>
    </w:rPr>
  </w:style>
  <w:style w:type="paragraph" w:styleId="TOC2">
    <w:name w:val="toc 2"/>
    <w:basedOn w:val="Normal"/>
    <w:next w:val="Normal"/>
    <w:autoRedefine/>
    <w:uiPriority w:val="39"/>
    <w:rsid w:val="007224E1"/>
    <w:pPr>
      <w:tabs>
        <w:tab w:val="left" w:pos="720"/>
        <w:tab w:val="right" w:leader="dot" w:pos="9530"/>
      </w:tabs>
      <w:spacing w:after="0"/>
      <w:ind w:left="238"/>
    </w:pPr>
    <w:rPr>
      <w:rFonts w:ascii="Calibri" w:hAnsi="Calibri" w:cs="Calibri"/>
      <w:smallCaps/>
      <w:sz w:val="20"/>
      <w:szCs w:val="20"/>
    </w:rPr>
  </w:style>
  <w:style w:type="paragraph" w:styleId="TOC3">
    <w:name w:val="toc 3"/>
    <w:basedOn w:val="Normal"/>
    <w:next w:val="Normal"/>
    <w:autoRedefine/>
    <w:uiPriority w:val="39"/>
    <w:rsid w:val="00004B4B"/>
    <w:pPr>
      <w:ind w:left="480"/>
    </w:pPr>
    <w:rPr>
      <w:rFonts w:ascii="Calibri" w:hAnsi="Calibri" w:cs="Calibri"/>
      <w:i/>
      <w:iCs/>
      <w:sz w:val="20"/>
      <w:szCs w:val="20"/>
    </w:rPr>
  </w:style>
  <w:style w:type="character" w:styleId="FootnoteReference">
    <w:name w:val="footnote reference"/>
    <w:uiPriority w:val="99"/>
    <w:semiHidden/>
    <w:rsid w:val="00004B4B"/>
    <w:rPr>
      <w:position w:val="6"/>
      <w:sz w:val="16"/>
    </w:rPr>
  </w:style>
  <w:style w:type="paragraph" w:styleId="FootnoteText">
    <w:name w:val="footnote text"/>
    <w:basedOn w:val="Normal"/>
    <w:link w:val="FootnoteTextChar"/>
    <w:uiPriority w:val="99"/>
    <w:semiHidden/>
    <w:rsid w:val="00004B4B"/>
    <w:pPr>
      <w:jc w:val="both"/>
    </w:pPr>
    <w:rPr>
      <w:sz w:val="20"/>
      <w:szCs w:val="20"/>
      <w:lang w:eastAsia="en-US"/>
    </w:rPr>
  </w:style>
  <w:style w:type="character" w:customStyle="1" w:styleId="FootnoteTextChar">
    <w:name w:val="Footnote Text Char"/>
    <w:link w:val="FootnoteText"/>
    <w:uiPriority w:val="99"/>
    <w:semiHidden/>
    <w:rsid w:val="00004B4B"/>
    <w:rPr>
      <w:rFonts w:ascii="Arial" w:hAnsi="Arial"/>
      <w:lang w:val="en-AU" w:eastAsia="en-US" w:bidi="ar-SA"/>
    </w:rPr>
  </w:style>
  <w:style w:type="paragraph" w:customStyle="1" w:styleId="bullet">
    <w:name w:val="bullet"/>
    <w:basedOn w:val="Normal"/>
    <w:rsid w:val="00004B4B"/>
    <w:pPr>
      <w:numPr>
        <w:numId w:val="1"/>
      </w:numPr>
      <w:jc w:val="both"/>
    </w:pPr>
    <w:rPr>
      <w:szCs w:val="20"/>
      <w:lang w:eastAsia="en-US"/>
    </w:rPr>
  </w:style>
  <w:style w:type="paragraph" w:customStyle="1" w:styleId="Bullet0">
    <w:name w:val="Bullet"/>
    <w:basedOn w:val="Normal"/>
    <w:rsid w:val="00004B4B"/>
    <w:pPr>
      <w:numPr>
        <w:numId w:val="2"/>
      </w:numPr>
      <w:spacing w:after="120"/>
    </w:pPr>
    <w:rPr>
      <w:szCs w:val="20"/>
      <w:lang w:eastAsia="en-US"/>
    </w:rPr>
  </w:style>
  <w:style w:type="paragraph" w:customStyle="1" w:styleId="Bulletpoints">
    <w:name w:val="Bullet points"/>
    <w:basedOn w:val="Normal"/>
    <w:autoRedefine/>
    <w:rsid w:val="00004B4B"/>
    <w:pPr>
      <w:ind w:left="4156" w:hanging="3799"/>
      <w:jc w:val="both"/>
    </w:pPr>
    <w:rPr>
      <w:lang w:eastAsia="en-US"/>
    </w:rPr>
  </w:style>
  <w:style w:type="paragraph" w:customStyle="1" w:styleId="StyleLinespacingsingle">
    <w:name w:val="Style Line spacing:  single"/>
    <w:basedOn w:val="Normal"/>
    <w:rsid w:val="00004B4B"/>
    <w:pPr>
      <w:widowControl w:val="0"/>
      <w:adjustRightInd w:val="0"/>
      <w:textAlignment w:val="baseline"/>
    </w:pPr>
    <w:rPr>
      <w:sz w:val="20"/>
      <w:szCs w:val="20"/>
      <w:lang w:val="en-GB" w:eastAsia="en-US"/>
    </w:rPr>
  </w:style>
  <w:style w:type="paragraph" w:styleId="BalloonText">
    <w:name w:val="Balloon Text"/>
    <w:basedOn w:val="Normal"/>
    <w:link w:val="BalloonTextChar"/>
    <w:rsid w:val="00004B4B"/>
    <w:rPr>
      <w:rFonts w:ascii="Tahoma" w:hAnsi="Tahoma" w:cs="Tahoma"/>
      <w:sz w:val="16"/>
      <w:szCs w:val="16"/>
    </w:rPr>
  </w:style>
  <w:style w:type="character" w:customStyle="1" w:styleId="BalloonTextChar">
    <w:name w:val="Balloon Text Char"/>
    <w:link w:val="BalloonText"/>
    <w:rsid w:val="00004B4B"/>
    <w:rPr>
      <w:rFonts w:ascii="Tahoma" w:hAnsi="Tahoma" w:cs="Tahoma"/>
      <w:sz w:val="16"/>
      <w:szCs w:val="16"/>
      <w:lang w:val="en-AU" w:eastAsia="en-AU" w:bidi="ar-SA"/>
    </w:rPr>
  </w:style>
  <w:style w:type="character" w:styleId="PageNumber">
    <w:name w:val="page number"/>
    <w:basedOn w:val="DefaultParagraphFont"/>
    <w:rsid w:val="00004B4B"/>
  </w:style>
  <w:style w:type="paragraph" w:styleId="NormalIndent">
    <w:name w:val="Normal Indent"/>
    <w:basedOn w:val="Normal"/>
    <w:next w:val="Normal"/>
    <w:rsid w:val="00004B4B"/>
    <w:pPr>
      <w:ind w:left="567"/>
      <w:jc w:val="both"/>
    </w:pPr>
    <w:rPr>
      <w:szCs w:val="20"/>
      <w:lang w:eastAsia="en-US"/>
    </w:rPr>
  </w:style>
  <w:style w:type="character" w:styleId="CommentReference">
    <w:name w:val="annotation reference"/>
    <w:semiHidden/>
    <w:rsid w:val="00004B4B"/>
    <w:rPr>
      <w:sz w:val="16"/>
      <w:szCs w:val="16"/>
    </w:rPr>
  </w:style>
  <w:style w:type="paragraph" w:styleId="CommentText">
    <w:name w:val="annotation text"/>
    <w:basedOn w:val="Normal"/>
    <w:link w:val="CommentTextChar"/>
    <w:semiHidden/>
    <w:rsid w:val="00004B4B"/>
    <w:rPr>
      <w:sz w:val="20"/>
      <w:szCs w:val="20"/>
    </w:rPr>
  </w:style>
  <w:style w:type="character" w:customStyle="1" w:styleId="CommentTextChar">
    <w:name w:val="Comment Text Char"/>
    <w:link w:val="CommentText"/>
    <w:semiHidden/>
    <w:rsid w:val="00023CED"/>
    <w:rPr>
      <w:lang w:val="en-AU" w:eastAsia="en-AU"/>
    </w:rPr>
  </w:style>
  <w:style w:type="paragraph" w:customStyle="1" w:styleId="Default">
    <w:name w:val="Default"/>
    <w:rsid w:val="00004B4B"/>
    <w:pPr>
      <w:autoSpaceDE w:val="0"/>
      <w:autoSpaceDN w:val="0"/>
      <w:adjustRightInd w:val="0"/>
      <w:spacing w:after="240"/>
    </w:pPr>
    <w:rPr>
      <w:rFonts w:eastAsia="SimSun"/>
      <w:color w:val="000000"/>
      <w:sz w:val="24"/>
      <w:szCs w:val="24"/>
      <w:lang w:val="en-US" w:eastAsia="zh-CN"/>
    </w:rPr>
  </w:style>
  <w:style w:type="paragraph" w:styleId="BodyText2">
    <w:name w:val="Body Text 2"/>
    <w:basedOn w:val="Normal"/>
    <w:rsid w:val="00004B4B"/>
    <w:pPr>
      <w:spacing w:after="120" w:line="480" w:lineRule="auto"/>
    </w:pPr>
  </w:style>
  <w:style w:type="paragraph" w:styleId="Caption">
    <w:name w:val="caption"/>
    <w:aliases w:val="Caption Char1,Caption Char Char,Caption Char1 Char Char,Caption Char Char Char Char,Caption Char1 Char Char Char Char,Caption Char Char Char Char Char Char,Caption Char Char Char Char Char Char Char Char Char Char Char,(NECG) Caption"/>
    <w:basedOn w:val="Normal"/>
    <w:next w:val="Normal"/>
    <w:link w:val="CaptionChar"/>
    <w:uiPriority w:val="24"/>
    <w:qFormat/>
    <w:rsid w:val="00004B4B"/>
    <w:rPr>
      <w:b/>
      <w:bCs/>
      <w:sz w:val="20"/>
      <w:szCs w:val="20"/>
    </w:rPr>
  </w:style>
  <w:style w:type="character" w:styleId="FollowedHyperlink">
    <w:name w:val="FollowedHyperlink"/>
    <w:rsid w:val="00004B4B"/>
    <w:rPr>
      <w:color w:val="800080"/>
      <w:u w:val="single"/>
    </w:rPr>
  </w:style>
  <w:style w:type="paragraph" w:customStyle="1" w:styleId="Table">
    <w:name w:val="Table"/>
    <w:basedOn w:val="Normal"/>
    <w:rsid w:val="00004B4B"/>
    <w:pPr>
      <w:spacing w:before="40" w:after="40"/>
    </w:pPr>
    <w:rPr>
      <w:sz w:val="20"/>
      <w:szCs w:val="20"/>
      <w:lang w:val="en-GB" w:eastAsia="en-US"/>
    </w:rPr>
  </w:style>
  <w:style w:type="character" w:customStyle="1" w:styleId="StyleIndigo">
    <w:name w:val="Style Indigo"/>
    <w:rsid w:val="00004B4B"/>
    <w:rPr>
      <w:color w:val="auto"/>
    </w:rPr>
  </w:style>
  <w:style w:type="paragraph" w:styleId="CommentSubject">
    <w:name w:val="annotation subject"/>
    <w:basedOn w:val="CommentText"/>
    <w:next w:val="CommentText"/>
    <w:link w:val="CommentSubjectChar"/>
    <w:rsid w:val="00023CED"/>
    <w:rPr>
      <w:b/>
      <w:bCs/>
    </w:rPr>
  </w:style>
  <w:style w:type="character" w:customStyle="1" w:styleId="CommentSubjectChar">
    <w:name w:val="Comment Subject Char"/>
    <w:basedOn w:val="CommentTextChar"/>
    <w:link w:val="CommentSubject"/>
    <w:rsid w:val="00023CED"/>
    <w:rPr>
      <w:lang w:val="en-AU" w:eastAsia="en-AU"/>
    </w:rPr>
  </w:style>
  <w:style w:type="paragraph" w:customStyle="1" w:styleId="Tabletext">
    <w:name w:val="Table text"/>
    <w:basedOn w:val="Normal"/>
    <w:uiPriority w:val="99"/>
    <w:rsid w:val="00CB0CA0"/>
    <w:pPr>
      <w:keepNext/>
      <w:overflowPunct w:val="0"/>
      <w:autoSpaceDE w:val="0"/>
      <w:autoSpaceDN w:val="0"/>
      <w:adjustRightInd w:val="0"/>
      <w:spacing w:before="40" w:after="40"/>
      <w:textAlignment w:val="baseline"/>
    </w:pPr>
    <w:rPr>
      <w:sz w:val="20"/>
      <w:szCs w:val="20"/>
      <w:lang w:val="en-GB"/>
    </w:rPr>
  </w:style>
  <w:style w:type="paragraph" w:styleId="TOC4">
    <w:name w:val="toc 4"/>
    <w:basedOn w:val="Normal"/>
    <w:next w:val="Normal"/>
    <w:autoRedefine/>
    <w:rsid w:val="00691842"/>
    <w:pPr>
      <w:ind w:left="720"/>
    </w:pPr>
    <w:rPr>
      <w:rFonts w:ascii="Calibri" w:hAnsi="Calibri" w:cs="Calibri"/>
      <w:sz w:val="18"/>
      <w:szCs w:val="18"/>
    </w:rPr>
  </w:style>
  <w:style w:type="paragraph" w:styleId="TOC5">
    <w:name w:val="toc 5"/>
    <w:basedOn w:val="Normal"/>
    <w:next w:val="Normal"/>
    <w:autoRedefine/>
    <w:rsid w:val="00691842"/>
    <w:pPr>
      <w:ind w:left="960"/>
    </w:pPr>
    <w:rPr>
      <w:rFonts w:ascii="Calibri" w:hAnsi="Calibri" w:cs="Calibri"/>
      <w:sz w:val="18"/>
      <w:szCs w:val="18"/>
    </w:rPr>
  </w:style>
  <w:style w:type="paragraph" w:styleId="TOC6">
    <w:name w:val="toc 6"/>
    <w:basedOn w:val="Normal"/>
    <w:next w:val="Normal"/>
    <w:autoRedefine/>
    <w:rsid w:val="00691842"/>
    <w:pPr>
      <w:ind w:left="1200"/>
    </w:pPr>
    <w:rPr>
      <w:rFonts w:ascii="Calibri" w:hAnsi="Calibri" w:cs="Calibri"/>
      <w:sz w:val="18"/>
      <w:szCs w:val="18"/>
    </w:rPr>
  </w:style>
  <w:style w:type="paragraph" w:styleId="TOC7">
    <w:name w:val="toc 7"/>
    <w:basedOn w:val="Normal"/>
    <w:next w:val="Normal"/>
    <w:autoRedefine/>
    <w:rsid w:val="00691842"/>
    <w:pPr>
      <w:ind w:left="1440"/>
    </w:pPr>
    <w:rPr>
      <w:rFonts w:ascii="Calibri" w:hAnsi="Calibri" w:cs="Calibri"/>
      <w:sz w:val="18"/>
      <w:szCs w:val="18"/>
    </w:rPr>
  </w:style>
  <w:style w:type="paragraph" w:styleId="TOC8">
    <w:name w:val="toc 8"/>
    <w:basedOn w:val="Normal"/>
    <w:next w:val="Normal"/>
    <w:autoRedefine/>
    <w:rsid w:val="00691842"/>
    <w:pPr>
      <w:ind w:left="1680"/>
    </w:pPr>
    <w:rPr>
      <w:rFonts w:ascii="Calibri" w:hAnsi="Calibri" w:cs="Calibri"/>
      <w:sz w:val="18"/>
      <w:szCs w:val="18"/>
    </w:rPr>
  </w:style>
  <w:style w:type="paragraph" w:styleId="TOC9">
    <w:name w:val="toc 9"/>
    <w:basedOn w:val="Normal"/>
    <w:next w:val="Normal"/>
    <w:autoRedefine/>
    <w:rsid w:val="00691842"/>
    <w:pPr>
      <w:ind w:left="1920"/>
    </w:pPr>
    <w:rPr>
      <w:rFonts w:ascii="Calibri" w:hAnsi="Calibri" w:cs="Calibri"/>
      <w:sz w:val="18"/>
      <w:szCs w:val="18"/>
    </w:rPr>
  </w:style>
  <w:style w:type="paragraph" w:styleId="ListParagraph">
    <w:name w:val="List Paragraph"/>
    <w:basedOn w:val="Normal"/>
    <w:link w:val="ListParagraphChar"/>
    <w:uiPriority w:val="34"/>
    <w:qFormat/>
    <w:rsid w:val="00B15183"/>
    <w:pPr>
      <w:ind w:left="720"/>
      <w:contextualSpacing/>
    </w:pPr>
  </w:style>
  <w:style w:type="paragraph" w:styleId="NormalWeb">
    <w:name w:val="Normal (Web)"/>
    <w:basedOn w:val="Normal"/>
    <w:uiPriority w:val="99"/>
    <w:unhideWhenUsed/>
    <w:rsid w:val="00591B98"/>
    <w:pPr>
      <w:spacing w:after="180"/>
    </w:pPr>
    <w:rPr>
      <w:rFonts w:ascii="Times New Roman" w:hAnsi="Times New Roman" w:cs="Times New Roman"/>
    </w:rPr>
  </w:style>
  <w:style w:type="paragraph" w:styleId="ListNumber">
    <w:name w:val="List Number"/>
    <w:basedOn w:val="Normal"/>
    <w:uiPriority w:val="99"/>
    <w:qFormat/>
    <w:rsid w:val="00C923D0"/>
    <w:pPr>
      <w:numPr>
        <w:numId w:val="7"/>
      </w:numPr>
      <w:contextualSpacing/>
    </w:pPr>
  </w:style>
  <w:style w:type="character" w:customStyle="1" w:styleId="HeaderChar">
    <w:name w:val="Header Char"/>
    <w:basedOn w:val="DefaultParagraphFont"/>
    <w:link w:val="Header"/>
    <w:uiPriority w:val="99"/>
    <w:rsid w:val="00C923D0"/>
    <w:rPr>
      <w:sz w:val="24"/>
      <w:szCs w:val="24"/>
    </w:rPr>
  </w:style>
  <w:style w:type="character" w:customStyle="1" w:styleId="FooterChar">
    <w:name w:val="Footer Char"/>
    <w:basedOn w:val="DefaultParagraphFont"/>
    <w:link w:val="Footer"/>
    <w:uiPriority w:val="99"/>
    <w:rsid w:val="00C923D0"/>
    <w:rPr>
      <w:sz w:val="24"/>
      <w:szCs w:val="24"/>
    </w:rPr>
  </w:style>
  <w:style w:type="paragraph" w:styleId="ListNumber2">
    <w:name w:val="List Number 2"/>
    <w:basedOn w:val="Normal"/>
    <w:uiPriority w:val="99"/>
    <w:rsid w:val="00C923D0"/>
    <w:pPr>
      <w:spacing w:after="200" w:line="276" w:lineRule="auto"/>
      <w:ind w:left="738" w:hanging="369"/>
    </w:pPr>
    <w:rPr>
      <w:rFonts w:eastAsia="Calibri" w:cs="Times New Roman"/>
      <w:sz w:val="22"/>
      <w:szCs w:val="22"/>
      <w:lang w:eastAsia="en-US"/>
    </w:rPr>
  </w:style>
  <w:style w:type="paragraph" w:styleId="ListNumber3">
    <w:name w:val="List Number 3"/>
    <w:basedOn w:val="Normal"/>
    <w:uiPriority w:val="99"/>
    <w:rsid w:val="00C923D0"/>
    <w:pPr>
      <w:spacing w:after="200" w:line="276" w:lineRule="auto"/>
      <w:ind w:left="1107" w:hanging="369"/>
    </w:pPr>
    <w:rPr>
      <w:rFonts w:eastAsia="Calibri" w:cs="Times New Roman"/>
      <w:sz w:val="22"/>
      <w:szCs w:val="22"/>
      <w:lang w:eastAsia="en-US"/>
    </w:rPr>
  </w:style>
  <w:style w:type="paragraph" w:styleId="ListNumber4">
    <w:name w:val="List Number 4"/>
    <w:basedOn w:val="Normal"/>
    <w:uiPriority w:val="99"/>
    <w:rsid w:val="00C923D0"/>
    <w:pPr>
      <w:spacing w:after="200" w:line="276" w:lineRule="auto"/>
      <w:ind w:left="1476" w:hanging="369"/>
    </w:pPr>
    <w:rPr>
      <w:rFonts w:eastAsia="Calibri" w:cs="Times New Roman"/>
      <w:sz w:val="22"/>
      <w:szCs w:val="22"/>
      <w:lang w:eastAsia="en-US"/>
    </w:rPr>
  </w:style>
  <w:style w:type="paragraph" w:styleId="ListNumber5">
    <w:name w:val="List Number 5"/>
    <w:basedOn w:val="Normal"/>
    <w:uiPriority w:val="99"/>
    <w:rsid w:val="00C923D0"/>
    <w:pPr>
      <w:spacing w:after="200" w:line="276" w:lineRule="auto"/>
      <w:ind w:left="1845" w:hanging="369"/>
    </w:pPr>
    <w:rPr>
      <w:rFonts w:eastAsia="Calibri" w:cs="Times New Roman"/>
      <w:sz w:val="22"/>
      <w:szCs w:val="22"/>
      <w:lang w:eastAsia="en-US"/>
    </w:rPr>
  </w:style>
  <w:style w:type="table" w:styleId="TableGrid">
    <w:name w:val="Table Grid"/>
    <w:basedOn w:val="TableNormal"/>
    <w:uiPriority w:val="59"/>
    <w:rsid w:val="00C923D0"/>
    <w:rPr>
      <w:rFonts w:eastAsia="Calibr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tLetterFoot">
    <w:name w:val="atLetterFoot"/>
    <w:link w:val="atLetterFootChar"/>
    <w:rsid w:val="00391C40"/>
    <w:rPr>
      <w:rFonts w:ascii="Times New Roman" w:hAnsi="Times New Roman" w:cs="Times New Roman"/>
      <w:sz w:val="24"/>
    </w:rPr>
  </w:style>
  <w:style w:type="character" w:customStyle="1" w:styleId="atLetterFootChar">
    <w:name w:val="atLetterFoot Char"/>
    <w:link w:val="atLetterFoot"/>
    <w:rsid w:val="00391C40"/>
    <w:rPr>
      <w:rFonts w:ascii="Times New Roman" w:hAnsi="Times New Roman" w:cs="Times New Roman"/>
      <w:sz w:val="24"/>
    </w:rPr>
  </w:style>
  <w:style w:type="character" w:customStyle="1" w:styleId="CaptionChar">
    <w:name w:val="Caption Char"/>
    <w:aliases w:val="Caption Char1 Char,Caption Char Char Char,Caption Char1 Char Char Char,Caption Char Char Char Char Char,Caption Char1 Char Char Char Char Char,Caption Char Char Char Char Char Char Char,(NECG) Caption Char"/>
    <w:link w:val="Caption"/>
    <w:uiPriority w:val="24"/>
    <w:rsid w:val="001C42C6"/>
    <w:rPr>
      <w:b/>
      <w:bCs/>
    </w:rPr>
  </w:style>
  <w:style w:type="table" w:styleId="PlainTable5">
    <w:name w:val="Plain Table 5"/>
    <w:basedOn w:val="TableNormal"/>
    <w:uiPriority w:val="99"/>
    <w:rsid w:val="001C42C6"/>
    <w:pPr>
      <w:spacing w:before="100"/>
    </w:pPr>
    <w:rPr>
      <w:rFonts w:asciiTheme="minorHAnsi" w:eastAsiaTheme="minorEastAsia" w:hAnsiTheme="minorHAnsi" w:cstheme="minorBidi"/>
      <w:lang w:val="en-U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link w:val="ListParagraph"/>
    <w:uiPriority w:val="34"/>
    <w:rsid w:val="00D15D5F"/>
    <w:rPr>
      <w:sz w:val="24"/>
      <w:szCs w:val="24"/>
    </w:rPr>
  </w:style>
  <w:style w:type="paragraph" w:styleId="Revision">
    <w:name w:val="Revision"/>
    <w:hidden/>
    <w:uiPriority w:val="99"/>
    <w:semiHidden/>
    <w:rsid w:val="001D5209"/>
    <w:rPr>
      <w:sz w:val="24"/>
      <w:szCs w:val="24"/>
    </w:rPr>
  </w:style>
  <w:style w:type="paragraph" w:styleId="List2">
    <w:name w:val="List 2"/>
    <w:basedOn w:val="Normal"/>
    <w:semiHidden/>
    <w:unhideWhenUsed/>
    <w:rsid w:val="00E430BC"/>
    <w:pPr>
      <w:ind w:left="566" w:hanging="283"/>
      <w:contextualSpacing/>
    </w:pPr>
  </w:style>
  <w:style w:type="paragraph" w:styleId="Index1">
    <w:name w:val="index 1"/>
    <w:basedOn w:val="Normal"/>
    <w:next w:val="Normal"/>
    <w:autoRedefine/>
    <w:semiHidden/>
    <w:unhideWhenUsed/>
    <w:rsid w:val="00E430BC"/>
    <w:pPr>
      <w:spacing w:after="0"/>
      <w:ind w:left="240" w:hanging="240"/>
    </w:pPr>
  </w:style>
  <w:style w:type="paragraph" w:styleId="Title">
    <w:name w:val="Title"/>
    <w:basedOn w:val="Normal"/>
    <w:next w:val="Normal"/>
    <w:link w:val="TitleChar"/>
    <w:uiPriority w:val="10"/>
    <w:qFormat/>
    <w:rsid w:val="00034233"/>
    <w:pPr>
      <w:spacing w:after="0" w:line="276" w:lineRule="auto"/>
    </w:pPr>
    <w:rPr>
      <w:rFonts w:asciiTheme="majorHAnsi" w:eastAsiaTheme="majorEastAsia" w:hAnsiTheme="majorHAnsi" w:cstheme="majorBidi"/>
      <w:caps/>
      <w:color w:val="4F81BD" w:themeColor="accent1"/>
      <w:spacing w:val="10"/>
      <w:sz w:val="52"/>
      <w:szCs w:val="52"/>
      <w:lang w:eastAsia="ja-JP"/>
    </w:rPr>
  </w:style>
  <w:style w:type="character" w:customStyle="1" w:styleId="TitleChar">
    <w:name w:val="Title Char"/>
    <w:basedOn w:val="DefaultParagraphFont"/>
    <w:link w:val="Title"/>
    <w:uiPriority w:val="10"/>
    <w:rsid w:val="00034233"/>
    <w:rPr>
      <w:rFonts w:asciiTheme="majorHAnsi" w:eastAsiaTheme="majorEastAsia" w:hAnsiTheme="majorHAnsi" w:cstheme="majorBidi"/>
      <w:caps/>
      <w:color w:val="4F81BD" w:themeColor="accent1"/>
      <w:spacing w:val="10"/>
      <w:sz w:val="52"/>
      <w:szCs w:val="52"/>
      <w:lang w:eastAsia="ja-JP"/>
    </w:rPr>
  </w:style>
  <w:style w:type="paragraph" w:customStyle="1" w:styleId="diisr-rteelement-p">
    <w:name w:val="diisr-rteelement-p"/>
    <w:basedOn w:val="Normal"/>
    <w:rsid w:val="00B403A3"/>
    <w:pPr>
      <w:spacing w:before="100" w:beforeAutospacing="1" w:after="100" w:afterAutospacing="1" w:line="336"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027">
      <w:bodyDiv w:val="1"/>
      <w:marLeft w:val="0"/>
      <w:marRight w:val="0"/>
      <w:marTop w:val="0"/>
      <w:marBottom w:val="0"/>
      <w:divBdr>
        <w:top w:val="none" w:sz="0" w:space="0" w:color="auto"/>
        <w:left w:val="none" w:sz="0" w:space="0" w:color="auto"/>
        <w:bottom w:val="none" w:sz="0" w:space="0" w:color="auto"/>
        <w:right w:val="none" w:sz="0" w:space="0" w:color="auto"/>
      </w:divBdr>
    </w:div>
    <w:div w:id="114450444">
      <w:bodyDiv w:val="1"/>
      <w:marLeft w:val="0"/>
      <w:marRight w:val="0"/>
      <w:marTop w:val="0"/>
      <w:marBottom w:val="0"/>
      <w:divBdr>
        <w:top w:val="none" w:sz="0" w:space="0" w:color="auto"/>
        <w:left w:val="none" w:sz="0" w:space="0" w:color="auto"/>
        <w:bottom w:val="none" w:sz="0" w:space="0" w:color="auto"/>
        <w:right w:val="none" w:sz="0" w:space="0" w:color="auto"/>
      </w:divBdr>
    </w:div>
    <w:div w:id="127019673">
      <w:bodyDiv w:val="1"/>
      <w:marLeft w:val="0"/>
      <w:marRight w:val="0"/>
      <w:marTop w:val="0"/>
      <w:marBottom w:val="0"/>
      <w:divBdr>
        <w:top w:val="none" w:sz="0" w:space="0" w:color="auto"/>
        <w:left w:val="none" w:sz="0" w:space="0" w:color="auto"/>
        <w:bottom w:val="none" w:sz="0" w:space="0" w:color="auto"/>
        <w:right w:val="none" w:sz="0" w:space="0" w:color="auto"/>
      </w:divBdr>
    </w:div>
    <w:div w:id="139808741">
      <w:bodyDiv w:val="1"/>
      <w:marLeft w:val="0"/>
      <w:marRight w:val="0"/>
      <w:marTop w:val="0"/>
      <w:marBottom w:val="0"/>
      <w:divBdr>
        <w:top w:val="none" w:sz="0" w:space="0" w:color="auto"/>
        <w:left w:val="none" w:sz="0" w:space="0" w:color="auto"/>
        <w:bottom w:val="none" w:sz="0" w:space="0" w:color="auto"/>
        <w:right w:val="none" w:sz="0" w:space="0" w:color="auto"/>
      </w:divBdr>
    </w:div>
    <w:div w:id="420687715">
      <w:bodyDiv w:val="1"/>
      <w:marLeft w:val="0"/>
      <w:marRight w:val="0"/>
      <w:marTop w:val="0"/>
      <w:marBottom w:val="0"/>
      <w:divBdr>
        <w:top w:val="none" w:sz="0" w:space="0" w:color="auto"/>
        <w:left w:val="none" w:sz="0" w:space="0" w:color="auto"/>
        <w:bottom w:val="none" w:sz="0" w:space="0" w:color="auto"/>
        <w:right w:val="none" w:sz="0" w:space="0" w:color="auto"/>
      </w:divBdr>
    </w:div>
    <w:div w:id="1085953830">
      <w:bodyDiv w:val="1"/>
      <w:marLeft w:val="0"/>
      <w:marRight w:val="0"/>
      <w:marTop w:val="0"/>
      <w:marBottom w:val="0"/>
      <w:divBdr>
        <w:top w:val="none" w:sz="0" w:space="0" w:color="auto"/>
        <w:left w:val="none" w:sz="0" w:space="0" w:color="auto"/>
        <w:bottom w:val="none" w:sz="0" w:space="0" w:color="auto"/>
        <w:right w:val="none" w:sz="0" w:space="0" w:color="auto"/>
      </w:divBdr>
    </w:div>
    <w:div w:id="1277062229">
      <w:bodyDiv w:val="1"/>
      <w:marLeft w:val="0"/>
      <w:marRight w:val="0"/>
      <w:marTop w:val="0"/>
      <w:marBottom w:val="0"/>
      <w:divBdr>
        <w:top w:val="none" w:sz="0" w:space="0" w:color="auto"/>
        <w:left w:val="none" w:sz="0" w:space="0" w:color="auto"/>
        <w:bottom w:val="none" w:sz="0" w:space="0" w:color="auto"/>
        <w:right w:val="none" w:sz="0" w:space="0" w:color="auto"/>
      </w:divBdr>
    </w:div>
    <w:div w:id="1383405222">
      <w:bodyDiv w:val="1"/>
      <w:marLeft w:val="0"/>
      <w:marRight w:val="0"/>
      <w:marTop w:val="0"/>
      <w:marBottom w:val="0"/>
      <w:divBdr>
        <w:top w:val="none" w:sz="0" w:space="0" w:color="auto"/>
        <w:left w:val="none" w:sz="0" w:space="0" w:color="auto"/>
        <w:bottom w:val="none" w:sz="0" w:space="0" w:color="auto"/>
        <w:right w:val="none" w:sz="0" w:space="0" w:color="auto"/>
      </w:divBdr>
      <w:divsChild>
        <w:div w:id="177930676">
          <w:marLeft w:val="0"/>
          <w:marRight w:val="0"/>
          <w:marTop w:val="0"/>
          <w:marBottom w:val="0"/>
          <w:divBdr>
            <w:top w:val="none" w:sz="0" w:space="0" w:color="auto"/>
            <w:left w:val="none" w:sz="0" w:space="0" w:color="auto"/>
            <w:bottom w:val="none" w:sz="0" w:space="0" w:color="auto"/>
            <w:right w:val="none" w:sz="0" w:space="0" w:color="auto"/>
          </w:divBdr>
          <w:divsChild>
            <w:div w:id="146556596">
              <w:marLeft w:val="0"/>
              <w:marRight w:val="0"/>
              <w:marTop w:val="0"/>
              <w:marBottom w:val="0"/>
              <w:divBdr>
                <w:top w:val="none" w:sz="0" w:space="0" w:color="auto"/>
                <w:left w:val="none" w:sz="0" w:space="0" w:color="auto"/>
                <w:bottom w:val="none" w:sz="0" w:space="0" w:color="auto"/>
                <w:right w:val="none" w:sz="0" w:space="0" w:color="auto"/>
              </w:divBdr>
              <w:divsChild>
                <w:div w:id="1277372279">
                  <w:marLeft w:val="0"/>
                  <w:marRight w:val="0"/>
                  <w:marTop w:val="0"/>
                  <w:marBottom w:val="0"/>
                  <w:divBdr>
                    <w:top w:val="none" w:sz="0" w:space="0" w:color="auto"/>
                    <w:left w:val="none" w:sz="0" w:space="0" w:color="auto"/>
                    <w:bottom w:val="none" w:sz="0" w:space="0" w:color="auto"/>
                    <w:right w:val="none" w:sz="0" w:space="0" w:color="auto"/>
                  </w:divBdr>
                  <w:divsChild>
                    <w:div w:id="1598754278">
                      <w:marLeft w:val="0"/>
                      <w:marRight w:val="0"/>
                      <w:marTop w:val="0"/>
                      <w:marBottom w:val="0"/>
                      <w:divBdr>
                        <w:top w:val="none" w:sz="0" w:space="0" w:color="auto"/>
                        <w:left w:val="none" w:sz="0" w:space="0" w:color="auto"/>
                        <w:bottom w:val="none" w:sz="0" w:space="0" w:color="auto"/>
                        <w:right w:val="none" w:sz="0" w:space="0" w:color="auto"/>
                      </w:divBdr>
                      <w:divsChild>
                        <w:div w:id="1433934325">
                          <w:marLeft w:val="0"/>
                          <w:marRight w:val="0"/>
                          <w:marTop w:val="0"/>
                          <w:marBottom w:val="0"/>
                          <w:divBdr>
                            <w:top w:val="none" w:sz="0" w:space="0" w:color="auto"/>
                            <w:left w:val="none" w:sz="0" w:space="0" w:color="auto"/>
                            <w:bottom w:val="none" w:sz="0" w:space="0" w:color="auto"/>
                            <w:right w:val="none" w:sz="0" w:space="0" w:color="auto"/>
                          </w:divBdr>
                          <w:divsChild>
                            <w:div w:id="1475294544">
                              <w:marLeft w:val="0"/>
                              <w:marRight w:val="0"/>
                              <w:marTop w:val="0"/>
                              <w:marBottom w:val="0"/>
                              <w:divBdr>
                                <w:top w:val="none" w:sz="0" w:space="0" w:color="auto"/>
                                <w:left w:val="none" w:sz="0" w:space="0" w:color="auto"/>
                                <w:bottom w:val="none" w:sz="0" w:space="0" w:color="auto"/>
                                <w:right w:val="none" w:sz="0" w:space="0" w:color="auto"/>
                              </w:divBdr>
                              <w:divsChild>
                                <w:div w:id="300573668">
                                  <w:marLeft w:val="0"/>
                                  <w:marRight w:val="0"/>
                                  <w:marTop w:val="0"/>
                                  <w:marBottom w:val="0"/>
                                  <w:divBdr>
                                    <w:top w:val="none" w:sz="0" w:space="0" w:color="auto"/>
                                    <w:left w:val="none" w:sz="0" w:space="0" w:color="auto"/>
                                    <w:bottom w:val="none" w:sz="0" w:space="0" w:color="auto"/>
                                    <w:right w:val="none" w:sz="0" w:space="0" w:color="auto"/>
                                  </w:divBdr>
                                  <w:divsChild>
                                    <w:div w:id="1257403384">
                                      <w:marLeft w:val="0"/>
                                      <w:marRight w:val="0"/>
                                      <w:marTop w:val="0"/>
                                      <w:marBottom w:val="0"/>
                                      <w:divBdr>
                                        <w:top w:val="none" w:sz="0" w:space="0" w:color="auto"/>
                                        <w:left w:val="none" w:sz="0" w:space="0" w:color="auto"/>
                                        <w:bottom w:val="none" w:sz="0" w:space="0" w:color="auto"/>
                                        <w:right w:val="none" w:sz="0" w:space="0" w:color="auto"/>
                                      </w:divBdr>
                                      <w:divsChild>
                                        <w:div w:id="846018165">
                                          <w:marLeft w:val="0"/>
                                          <w:marRight w:val="0"/>
                                          <w:marTop w:val="0"/>
                                          <w:marBottom w:val="0"/>
                                          <w:divBdr>
                                            <w:top w:val="none" w:sz="0" w:space="0" w:color="auto"/>
                                            <w:left w:val="none" w:sz="0" w:space="0" w:color="auto"/>
                                            <w:bottom w:val="none" w:sz="0" w:space="0" w:color="auto"/>
                                            <w:right w:val="none" w:sz="0" w:space="0" w:color="auto"/>
                                          </w:divBdr>
                                          <w:divsChild>
                                            <w:div w:id="7763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605328">
      <w:bodyDiv w:val="1"/>
      <w:marLeft w:val="0"/>
      <w:marRight w:val="0"/>
      <w:marTop w:val="0"/>
      <w:marBottom w:val="0"/>
      <w:divBdr>
        <w:top w:val="none" w:sz="0" w:space="0" w:color="auto"/>
        <w:left w:val="none" w:sz="0" w:space="0" w:color="auto"/>
        <w:bottom w:val="none" w:sz="0" w:space="0" w:color="auto"/>
        <w:right w:val="none" w:sz="0" w:space="0" w:color="auto"/>
      </w:divBdr>
    </w:div>
    <w:div w:id="1833182945">
      <w:bodyDiv w:val="1"/>
      <w:marLeft w:val="0"/>
      <w:marRight w:val="0"/>
      <w:marTop w:val="0"/>
      <w:marBottom w:val="0"/>
      <w:divBdr>
        <w:top w:val="none" w:sz="0" w:space="0" w:color="auto"/>
        <w:left w:val="none" w:sz="0" w:space="0" w:color="auto"/>
        <w:bottom w:val="none" w:sz="0" w:space="0" w:color="auto"/>
        <w:right w:val="none" w:sz="0" w:space="0" w:color="auto"/>
      </w:divBdr>
    </w:div>
    <w:div w:id="18759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hitehouse.gov/presidential-actions/presidential-proclamation-adjusting-imports-aluminum-united-states-4/" TargetMode="External"/><Relationship Id="rId3" Type="http://schemas.openxmlformats.org/officeDocument/2006/relationships/hyperlink" Target="https://www.whitehouse.gov/presidential-actions/presidential-proclamation-adjusting-imports-steel-united-states-2/" TargetMode="External"/><Relationship Id="rId7" Type="http://schemas.openxmlformats.org/officeDocument/2006/relationships/hyperlink" Target="https://www.whitehouse.gov/presidential-actions/presidential-proclamation-adjusting-imports-steel-united-states-4/" TargetMode="External"/><Relationship Id="rId2" Type="http://schemas.openxmlformats.org/officeDocument/2006/relationships/hyperlink" Target="https://www.whitehouse.gov/presidential-actions/presidential-proclamation-adjusting-imports-aluminum-united-states/" TargetMode="External"/><Relationship Id="rId1" Type="http://schemas.openxmlformats.org/officeDocument/2006/relationships/hyperlink" Target="https://www.whitehouse.gov/presidential-actions/presidential-proclamation-adjusting-imports-steel-united-states/" TargetMode="External"/><Relationship Id="rId6" Type="http://schemas.openxmlformats.org/officeDocument/2006/relationships/hyperlink" Target="https://www.whitehouse.gov/presidential-actions/presidential-proclamation-adjusting-imports-aluminum-united-states-3/" TargetMode="External"/><Relationship Id="rId11" Type="http://schemas.openxmlformats.org/officeDocument/2006/relationships/hyperlink" Target="https://www.bmwi.de/Redaktion/EN/Downloads/global-forum-on-steel-excess-capacity-report.pdf?__blob=publicationFile" TargetMode="External"/><Relationship Id="rId5" Type="http://schemas.openxmlformats.org/officeDocument/2006/relationships/hyperlink" Target="https://www.whitehouse.gov/presidential-actions/presidential-proclamation-adjusting-imports-steel-united-states-3/" TargetMode="External"/><Relationship Id="rId10" Type="http://schemas.openxmlformats.org/officeDocument/2006/relationships/hyperlink" Target="http://www.adcommission.gov.au/adsystem/referencematerial/Documents/Steel.Aluminium.Report.31.August.2016.pdf" TargetMode="External"/><Relationship Id="rId4" Type="http://schemas.openxmlformats.org/officeDocument/2006/relationships/hyperlink" Target="https://www.whitehouse.gov/presidential-actions/presidential-proclamation-adjusting-imports-aluminum-united-states-2/" TargetMode="External"/><Relationship Id="rId9" Type="http://schemas.openxmlformats.org/officeDocument/2006/relationships/hyperlink" Target="http://www.adcommission.gov.au/adsystem/referencematerial/Documents/Steel%20Fabrication%20Report%20November%20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Commissioner's note on diversion of steel and aluminium bound for US</TermName>
          <TermId xmlns="http://schemas.microsoft.com/office/infopath/2007/PartnerControls">e2510d57-02e2-4a18-bc24-6b8da951e06a</TermId>
        </TermInfo>
      </Terms>
    </adb9bed2e36e4a93af574aeb444da63e>
    <a9e5005df30c49b59c550e68528fb7bc xmlns="5d55e9dd-4cea-4593-8805-904a126b9efb">
      <Terms xmlns="http://schemas.microsoft.com/office/infopath/2007/PartnerControl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Market Analysis</TermName>
          <TermId xmlns="http://schemas.microsoft.com/office/infopath/2007/PartnerControls">e69714f8-4272-405e-a827-369f59fae46c</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TaxCatchAll xmlns="5d55e9dd-4cea-4593-8805-904a126b9efb">
      <Value>110</Value>
      <Value>2080</Value>
      <Value>3</Value>
      <Value>1801</Value>
      <Value>15</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X37KMNPMRHAR-1316485280-936</_dlc_DocId>
    <_dlc_DocIdUrl xmlns="5d55e9dd-4cea-4593-8805-904a126b9efb">
      <Url>https://dochub/div/antidumpingcommission/businessfunctions/eass/marketanalysis/_layouts/15/DocIdRedir.aspx?ID=X37KMNPMRHAR-1316485280-936</Url>
      <Description>X37KMNPMRHAR-1316485280-936</Description>
    </_dlc_DocIdUrl>
    <e1a8023ac9bd4d13a46790ba8a934c2f xmlns="5d55e9dd-4cea-4593-8805-904a126b9efb">
      <Terms xmlns="http://schemas.microsoft.com/office/infopath/2007/PartnerControl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 xsi:nil="true"/>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21D58917F9344D84E35B1C1D4EBB4E" ma:contentTypeVersion="51" ma:contentTypeDescription="Create a new document." ma:contentTypeScope="" ma:versionID="0f4244a8c32411998615a2e375e4440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80908130c945701ff6623785d791e4ac"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0"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072DA-AB09-45E6-9B47-5A9DE2F40AD5}"/>
</file>

<file path=customXml/itemProps2.xml><?xml version="1.0" encoding="utf-8"?>
<ds:datastoreItem xmlns:ds="http://schemas.openxmlformats.org/officeDocument/2006/customXml" ds:itemID="{48ACE23D-8837-4751-9168-2D980CAB60B5}"/>
</file>

<file path=customXml/itemProps3.xml><?xml version="1.0" encoding="utf-8"?>
<ds:datastoreItem xmlns:ds="http://schemas.openxmlformats.org/officeDocument/2006/customXml" ds:itemID="{3B90429F-E097-483A-B285-1A37056BB89A}"/>
</file>

<file path=customXml/itemProps4.xml><?xml version="1.0" encoding="utf-8"?>
<ds:datastoreItem xmlns:ds="http://schemas.openxmlformats.org/officeDocument/2006/customXml" ds:itemID="{BE064B6B-A5A2-4B62-BF9B-2F8DCBAC84D2}"/>
</file>

<file path=customXml/itemProps5.xml><?xml version="1.0" encoding="utf-8"?>
<ds:datastoreItem xmlns:ds="http://schemas.openxmlformats.org/officeDocument/2006/customXml" ds:itemID="{1E196071-9196-433B-B07F-49B6C743E495}"/>
</file>

<file path=docProps/app.xml><?xml version="1.0" encoding="utf-8"?>
<Properties xmlns="http://schemas.openxmlformats.org/officeDocument/2006/extended-properties" xmlns:vt="http://schemas.openxmlformats.org/officeDocument/2006/docPropsVTypes">
  <Template>Normal</Template>
  <TotalTime>2835</TotalTime>
  <Pages>25</Pages>
  <Words>6352</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INVESTIGATION 177</vt:lpstr>
    </vt:vector>
  </TitlesOfParts>
  <Company>Australian Customs Service</Company>
  <LinksUpToDate>false</LinksUpToDate>
  <CharactersWithSpaces>42475</CharactersWithSpaces>
  <SharedDoc>false</SharedDoc>
  <HLinks>
    <vt:vector size="294" baseType="variant">
      <vt:variant>
        <vt:i4>1048635</vt:i4>
      </vt:variant>
      <vt:variant>
        <vt:i4>290</vt:i4>
      </vt:variant>
      <vt:variant>
        <vt:i4>0</vt:i4>
      </vt:variant>
      <vt:variant>
        <vt:i4>5</vt:i4>
      </vt:variant>
      <vt:variant>
        <vt:lpwstr/>
      </vt:variant>
      <vt:variant>
        <vt:lpwstr>_Toc355342932</vt:lpwstr>
      </vt:variant>
      <vt:variant>
        <vt:i4>1048635</vt:i4>
      </vt:variant>
      <vt:variant>
        <vt:i4>284</vt:i4>
      </vt:variant>
      <vt:variant>
        <vt:i4>0</vt:i4>
      </vt:variant>
      <vt:variant>
        <vt:i4>5</vt:i4>
      </vt:variant>
      <vt:variant>
        <vt:lpwstr/>
      </vt:variant>
      <vt:variant>
        <vt:lpwstr>_Toc355342931</vt:lpwstr>
      </vt:variant>
      <vt:variant>
        <vt:i4>1048635</vt:i4>
      </vt:variant>
      <vt:variant>
        <vt:i4>278</vt:i4>
      </vt:variant>
      <vt:variant>
        <vt:i4>0</vt:i4>
      </vt:variant>
      <vt:variant>
        <vt:i4>5</vt:i4>
      </vt:variant>
      <vt:variant>
        <vt:lpwstr/>
      </vt:variant>
      <vt:variant>
        <vt:lpwstr>_Toc355342930</vt:lpwstr>
      </vt:variant>
      <vt:variant>
        <vt:i4>1114171</vt:i4>
      </vt:variant>
      <vt:variant>
        <vt:i4>272</vt:i4>
      </vt:variant>
      <vt:variant>
        <vt:i4>0</vt:i4>
      </vt:variant>
      <vt:variant>
        <vt:i4>5</vt:i4>
      </vt:variant>
      <vt:variant>
        <vt:lpwstr/>
      </vt:variant>
      <vt:variant>
        <vt:lpwstr>_Toc355342929</vt:lpwstr>
      </vt:variant>
      <vt:variant>
        <vt:i4>1114171</vt:i4>
      </vt:variant>
      <vt:variant>
        <vt:i4>266</vt:i4>
      </vt:variant>
      <vt:variant>
        <vt:i4>0</vt:i4>
      </vt:variant>
      <vt:variant>
        <vt:i4>5</vt:i4>
      </vt:variant>
      <vt:variant>
        <vt:lpwstr/>
      </vt:variant>
      <vt:variant>
        <vt:lpwstr>_Toc355342928</vt:lpwstr>
      </vt:variant>
      <vt:variant>
        <vt:i4>1114171</vt:i4>
      </vt:variant>
      <vt:variant>
        <vt:i4>260</vt:i4>
      </vt:variant>
      <vt:variant>
        <vt:i4>0</vt:i4>
      </vt:variant>
      <vt:variant>
        <vt:i4>5</vt:i4>
      </vt:variant>
      <vt:variant>
        <vt:lpwstr/>
      </vt:variant>
      <vt:variant>
        <vt:lpwstr>_Toc355342927</vt:lpwstr>
      </vt:variant>
      <vt:variant>
        <vt:i4>1114171</vt:i4>
      </vt:variant>
      <vt:variant>
        <vt:i4>254</vt:i4>
      </vt:variant>
      <vt:variant>
        <vt:i4>0</vt:i4>
      </vt:variant>
      <vt:variant>
        <vt:i4>5</vt:i4>
      </vt:variant>
      <vt:variant>
        <vt:lpwstr/>
      </vt:variant>
      <vt:variant>
        <vt:lpwstr>_Toc355342926</vt:lpwstr>
      </vt:variant>
      <vt:variant>
        <vt:i4>1114171</vt:i4>
      </vt:variant>
      <vt:variant>
        <vt:i4>248</vt:i4>
      </vt:variant>
      <vt:variant>
        <vt:i4>0</vt:i4>
      </vt:variant>
      <vt:variant>
        <vt:i4>5</vt:i4>
      </vt:variant>
      <vt:variant>
        <vt:lpwstr/>
      </vt:variant>
      <vt:variant>
        <vt:lpwstr>_Toc355342925</vt:lpwstr>
      </vt:variant>
      <vt:variant>
        <vt:i4>1114171</vt:i4>
      </vt:variant>
      <vt:variant>
        <vt:i4>242</vt:i4>
      </vt:variant>
      <vt:variant>
        <vt:i4>0</vt:i4>
      </vt:variant>
      <vt:variant>
        <vt:i4>5</vt:i4>
      </vt:variant>
      <vt:variant>
        <vt:lpwstr/>
      </vt:variant>
      <vt:variant>
        <vt:lpwstr>_Toc355342924</vt:lpwstr>
      </vt:variant>
      <vt:variant>
        <vt:i4>1114171</vt:i4>
      </vt:variant>
      <vt:variant>
        <vt:i4>236</vt:i4>
      </vt:variant>
      <vt:variant>
        <vt:i4>0</vt:i4>
      </vt:variant>
      <vt:variant>
        <vt:i4>5</vt:i4>
      </vt:variant>
      <vt:variant>
        <vt:lpwstr/>
      </vt:variant>
      <vt:variant>
        <vt:lpwstr>_Toc355342923</vt:lpwstr>
      </vt:variant>
      <vt:variant>
        <vt:i4>1114171</vt:i4>
      </vt:variant>
      <vt:variant>
        <vt:i4>230</vt:i4>
      </vt:variant>
      <vt:variant>
        <vt:i4>0</vt:i4>
      </vt:variant>
      <vt:variant>
        <vt:i4>5</vt:i4>
      </vt:variant>
      <vt:variant>
        <vt:lpwstr/>
      </vt:variant>
      <vt:variant>
        <vt:lpwstr>_Toc355342922</vt:lpwstr>
      </vt:variant>
      <vt:variant>
        <vt:i4>1114171</vt:i4>
      </vt:variant>
      <vt:variant>
        <vt:i4>224</vt:i4>
      </vt:variant>
      <vt:variant>
        <vt:i4>0</vt:i4>
      </vt:variant>
      <vt:variant>
        <vt:i4>5</vt:i4>
      </vt:variant>
      <vt:variant>
        <vt:lpwstr/>
      </vt:variant>
      <vt:variant>
        <vt:lpwstr>_Toc355342921</vt:lpwstr>
      </vt:variant>
      <vt:variant>
        <vt:i4>1114171</vt:i4>
      </vt:variant>
      <vt:variant>
        <vt:i4>218</vt:i4>
      </vt:variant>
      <vt:variant>
        <vt:i4>0</vt:i4>
      </vt:variant>
      <vt:variant>
        <vt:i4>5</vt:i4>
      </vt:variant>
      <vt:variant>
        <vt:lpwstr/>
      </vt:variant>
      <vt:variant>
        <vt:lpwstr>_Toc355342920</vt:lpwstr>
      </vt:variant>
      <vt:variant>
        <vt:i4>1179707</vt:i4>
      </vt:variant>
      <vt:variant>
        <vt:i4>212</vt:i4>
      </vt:variant>
      <vt:variant>
        <vt:i4>0</vt:i4>
      </vt:variant>
      <vt:variant>
        <vt:i4>5</vt:i4>
      </vt:variant>
      <vt:variant>
        <vt:lpwstr/>
      </vt:variant>
      <vt:variant>
        <vt:lpwstr>_Toc355342919</vt:lpwstr>
      </vt:variant>
      <vt:variant>
        <vt:i4>1179707</vt:i4>
      </vt:variant>
      <vt:variant>
        <vt:i4>206</vt:i4>
      </vt:variant>
      <vt:variant>
        <vt:i4>0</vt:i4>
      </vt:variant>
      <vt:variant>
        <vt:i4>5</vt:i4>
      </vt:variant>
      <vt:variant>
        <vt:lpwstr/>
      </vt:variant>
      <vt:variant>
        <vt:lpwstr>_Toc355342918</vt:lpwstr>
      </vt:variant>
      <vt:variant>
        <vt:i4>1179707</vt:i4>
      </vt:variant>
      <vt:variant>
        <vt:i4>200</vt:i4>
      </vt:variant>
      <vt:variant>
        <vt:i4>0</vt:i4>
      </vt:variant>
      <vt:variant>
        <vt:i4>5</vt:i4>
      </vt:variant>
      <vt:variant>
        <vt:lpwstr/>
      </vt:variant>
      <vt:variant>
        <vt:lpwstr>_Toc355342917</vt:lpwstr>
      </vt:variant>
      <vt:variant>
        <vt:i4>1179707</vt:i4>
      </vt:variant>
      <vt:variant>
        <vt:i4>194</vt:i4>
      </vt:variant>
      <vt:variant>
        <vt:i4>0</vt:i4>
      </vt:variant>
      <vt:variant>
        <vt:i4>5</vt:i4>
      </vt:variant>
      <vt:variant>
        <vt:lpwstr/>
      </vt:variant>
      <vt:variant>
        <vt:lpwstr>_Toc355342916</vt:lpwstr>
      </vt:variant>
      <vt:variant>
        <vt:i4>1179707</vt:i4>
      </vt:variant>
      <vt:variant>
        <vt:i4>188</vt:i4>
      </vt:variant>
      <vt:variant>
        <vt:i4>0</vt:i4>
      </vt:variant>
      <vt:variant>
        <vt:i4>5</vt:i4>
      </vt:variant>
      <vt:variant>
        <vt:lpwstr/>
      </vt:variant>
      <vt:variant>
        <vt:lpwstr>_Toc355342915</vt:lpwstr>
      </vt:variant>
      <vt:variant>
        <vt:i4>1179707</vt:i4>
      </vt:variant>
      <vt:variant>
        <vt:i4>182</vt:i4>
      </vt:variant>
      <vt:variant>
        <vt:i4>0</vt:i4>
      </vt:variant>
      <vt:variant>
        <vt:i4>5</vt:i4>
      </vt:variant>
      <vt:variant>
        <vt:lpwstr/>
      </vt:variant>
      <vt:variant>
        <vt:lpwstr>_Toc355342914</vt:lpwstr>
      </vt:variant>
      <vt:variant>
        <vt:i4>1179707</vt:i4>
      </vt:variant>
      <vt:variant>
        <vt:i4>176</vt:i4>
      </vt:variant>
      <vt:variant>
        <vt:i4>0</vt:i4>
      </vt:variant>
      <vt:variant>
        <vt:i4>5</vt:i4>
      </vt:variant>
      <vt:variant>
        <vt:lpwstr/>
      </vt:variant>
      <vt:variant>
        <vt:lpwstr>_Toc355342913</vt:lpwstr>
      </vt:variant>
      <vt:variant>
        <vt:i4>1179707</vt:i4>
      </vt:variant>
      <vt:variant>
        <vt:i4>170</vt:i4>
      </vt:variant>
      <vt:variant>
        <vt:i4>0</vt:i4>
      </vt:variant>
      <vt:variant>
        <vt:i4>5</vt:i4>
      </vt:variant>
      <vt:variant>
        <vt:lpwstr/>
      </vt:variant>
      <vt:variant>
        <vt:lpwstr>_Toc355342912</vt:lpwstr>
      </vt:variant>
      <vt:variant>
        <vt:i4>1179707</vt:i4>
      </vt:variant>
      <vt:variant>
        <vt:i4>164</vt:i4>
      </vt:variant>
      <vt:variant>
        <vt:i4>0</vt:i4>
      </vt:variant>
      <vt:variant>
        <vt:i4>5</vt:i4>
      </vt:variant>
      <vt:variant>
        <vt:lpwstr/>
      </vt:variant>
      <vt:variant>
        <vt:lpwstr>_Toc355342911</vt:lpwstr>
      </vt:variant>
      <vt:variant>
        <vt:i4>1179707</vt:i4>
      </vt:variant>
      <vt:variant>
        <vt:i4>158</vt:i4>
      </vt:variant>
      <vt:variant>
        <vt:i4>0</vt:i4>
      </vt:variant>
      <vt:variant>
        <vt:i4>5</vt:i4>
      </vt:variant>
      <vt:variant>
        <vt:lpwstr/>
      </vt:variant>
      <vt:variant>
        <vt:lpwstr>_Toc355342910</vt:lpwstr>
      </vt:variant>
      <vt:variant>
        <vt:i4>1245243</vt:i4>
      </vt:variant>
      <vt:variant>
        <vt:i4>152</vt:i4>
      </vt:variant>
      <vt:variant>
        <vt:i4>0</vt:i4>
      </vt:variant>
      <vt:variant>
        <vt:i4>5</vt:i4>
      </vt:variant>
      <vt:variant>
        <vt:lpwstr/>
      </vt:variant>
      <vt:variant>
        <vt:lpwstr>_Toc355342909</vt:lpwstr>
      </vt:variant>
      <vt:variant>
        <vt:i4>1245243</vt:i4>
      </vt:variant>
      <vt:variant>
        <vt:i4>146</vt:i4>
      </vt:variant>
      <vt:variant>
        <vt:i4>0</vt:i4>
      </vt:variant>
      <vt:variant>
        <vt:i4>5</vt:i4>
      </vt:variant>
      <vt:variant>
        <vt:lpwstr/>
      </vt:variant>
      <vt:variant>
        <vt:lpwstr>_Toc355342908</vt:lpwstr>
      </vt:variant>
      <vt:variant>
        <vt:i4>1245243</vt:i4>
      </vt:variant>
      <vt:variant>
        <vt:i4>140</vt:i4>
      </vt:variant>
      <vt:variant>
        <vt:i4>0</vt:i4>
      </vt:variant>
      <vt:variant>
        <vt:i4>5</vt:i4>
      </vt:variant>
      <vt:variant>
        <vt:lpwstr/>
      </vt:variant>
      <vt:variant>
        <vt:lpwstr>_Toc355342907</vt:lpwstr>
      </vt:variant>
      <vt:variant>
        <vt:i4>1245243</vt:i4>
      </vt:variant>
      <vt:variant>
        <vt:i4>134</vt:i4>
      </vt:variant>
      <vt:variant>
        <vt:i4>0</vt:i4>
      </vt:variant>
      <vt:variant>
        <vt:i4>5</vt:i4>
      </vt:variant>
      <vt:variant>
        <vt:lpwstr/>
      </vt:variant>
      <vt:variant>
        <vt:lpwstr>_Toc355342906</vt:lpwstr>
      </vt:variant>
      <vt:variant>
        <vt:i4>1245243</vt:i4>
      </vt:variant>
      <vt:variant>
        <vt:i4>128</vt:i4>
      </vt:variant>
      <vt:variant>
        <vt:i4>0</vt:i4>
      </vt:variant>
      <vt:variant>
        <vt:i4>5</vt:i4>
      </vt:variant>
      <vt:variant>
        <vt:lpwstr/>
      </vt:variant>
      <vt:variant>
        <vt:lpwstr>_Toc355342905</vt:lpwstr>
      </vt:variant>
      <vt:variant>
        <vt:i4>1245243</vt:i4>
      </vt:variant>
      <vt:variant>
        <vt:i4>122</vt:i4>
      </vt:variant>
      <vt:variant>
        <vt:i4>0</vt:i4>
      </vt:variant>
      <vt:variant>
        <vt:i4>5</vt:i4>
      </vt:variant>
      <vt:variant>
        <vt:lpwstr/>
      </vt:variant>
      <vt:variant>
        <vt:lpwstr>_Toc355342904</vt:lpwstr>
      </vt:variant>
      <vt:variant>
        <vt:i4>1245243</vt:i4>
      </vt:variant>
      <vt:variant>
        <vt:i4>116</vt:i4>
      </vt:variant>
      <vt:variant>
        <vt:i4>0</vt:i4>
      </vt:variant>
      <vt:variant>
        <vt:i4>5</vt:i4>
      </vt:variant>
      <vt:variant>
        <vt:lpwstr/>
      </vt:variant>
      <vt:variant>
        <vt:lpwstr>_Toc355342903</vt:lpwstr>
      </vt:variant>
      <vt:variant>
        <vt:i4>1245243</vt:i4>
      </vt:variant>
      <vt:variant>
        <vt:i4>110</vt:i4>
      </vt:variant>
      <vt:variant>
        <vt:i4>0</vt:i4>
      </vt:variant>
      <vt:variant>
        <vt:i4>5</vt:i4>
      </vt:variant>
      <vt:variant>
        <vt:lpwstr/>
      </vt:variant>
      <vt:variant>
        <vt:lpwstr>_Toc355342902</vt:lpwstr>
      </vt:variant>
      <vt:variant>
        <vt:i4>1245243</vt:i4>
      </vt:variant>
      <vt:variant>
        <vt:i4>104</vt:i4>
      </vt:variant>
      <vt:variant>
        <vt:i4>0</vt:i4>
      </vt:variant>
      <vt:variant>
        <vt:i4>5</vt:i4>
      </vt:variant>
      <vt:variant>
        <vt:lpwstr/>
      </vt:variant>
      <vt:variant>
        <vt:lpwstr>_Toc355342901</vt:lpwstr>
      </vt:variant>
      <vt:variant>
        <vt:i4>1245243</vt:i4>
      </vt:variant>
      <vt:variant>
        <vt:i4>98</vt:i4>
      </vt:variant>
      <vt:variant>
        <vt:i4>0</vt:i4>
      </vt:variant>
      <vt:variant>
        <vt:i4>5</vt:i4>
      </vt:variant>
      <vt:variant>
        <vt:lpwstr/>
      </vt:variant>
      <vt:variant>
        <vt:lpwstr>_Toc355342900</vt:lpwstr>
      </vt:variant>
      <vt:variant>
        <vt:i4>1703994</vt:i4>
      </vt:variant>
      <vt:variant>
        <vt:i4>92</vt:i4>
      </vt:variant>
      <vt:variant>
        <vt:i4>0</vt:i4>
      </vt:variant>
      <vt:variant>
        <vt:i4>5</vt:i4>
      </vt:variant>
      <vt:variant>
        <vt:lpwstr/>
      </vt:variant>
      <vt:variant>
        <vt:lpwstr>_Toc355342899</vt:lpwstr>
      </vt:variant>
      <vt:variant>
        <vt:i4>1703994</vt:i4>
      </vt:variant>
      <vt:variant>
        <vt:i4>86</vt:i4>
      </vt:variant>
      <vt:variant>
        <vt:i4>0</vt:i4>
      </vt:variant>
      <vt:variant>
        <vt:i4>5</vt:i4>
      </vt:variant>
      <vt:variant>
        <vt:lpwstr/>
      </vt:variant>
      <vt:variant>
        <vt:lpwstr>_Toc355342898</vt:lpwstr>
      </vt:variant>
      <vt:variant>
        <vt:i4>1703994</vt:i4>
      </vt:variant>
      <vt:variant>
        <vt:i4>80</vt:i4>
      </vt:variant>
      <vt:variant>
        <vt:i4>0</vt:i4>
      </vt:variant>
      <vt:variant>
        <vt:i4>5</vt:i4>
      </vt:variant>
      <vt:variant>
        <vt:lpwstr/>
      </vt:variant>
      <vt:variant>
        <vt:lpwstr>_Toc355342897</vt:lpwstr>
      </vt:variant>
      <vt:variant>
        <vt:i4>1703994</vt:i4>
      </vt:variant>
      <vt:variant>
        <vt:i4>74</vt:i4>
      </vt:variant>
      <vt:variant>
        <vt:i4>0</vt:i4>
      </vt:variant>
      <vt:variant>
        <vt:i4>5</vt:i4>
      </vt:variant>
      <vt:variant>
        <vt:lpwstr/>
      </vt:variant>
      <vt:variant>
        <vt:lpwstr>_Toc355342896</vt:lpwstr>
      </vt:variant>
      <vt:variant>
        <vt:i4>1703994</vt:i4>
      </vt:variant>
      <vt:variant>
        <vt:i4>68</vt:i4>
      </vt:variant>
      <vt:variant>
        <vt:i4>0</vt:i4>
      </vt:variant>
      <vt:variant>
        <vt:i4>5</vt:i4>
      </vt:variant>
      <vt:variant>
        <vt:lpwstr/>
      </vt:variant>
      <vt:variant>
        <vt:lpwstr>_Toc355342895</vt:lpwstr>
      </vt:variant>
      <vt:variant>
        <vt:i4>1703994</vt:i4>
      </vt:variant>
      <vt:variant>
        <vt:i4>62</vt:i4>
      </vt:variant>
      <vt:variant>
        <vt:i4>0</vt:i4>
      </vt:variant>
      <vt:variant>
        <vt:i4>5</vt:i4>
      </vt:variant>
      <vt:variant>
        <vt:lpwstr/>
      </vt:variant>
      <vt:variant>
        <vt:lpwstr>_Toc355342894</vt:lpwstr>
      </vt:variant>
      <vt:variant>
        <vt:i4>1703994</vt:i4>
      </vt:variant>
      <vt:variant>
        <vt:i4>56</vt:i4>
      </vt:variant>
      <vt:variant>
        <vt:i4>0</vt:i4>
      </vt:variant>
      <vt:variant>
        <vt:i4>5</vt:i4>
      </vt:variant>
      <vt:variant>
        <vt:lpwstr/>
      </vt:variant>
      <vt:variant>
        <vt:lpwstr>_Toc355342893</vt:lpwstr>
      </vt:variant>
      <vt:variant>
        <vt:i4>1703994</vt:i4>
      </vt:variant>
      <vt:variant>
        <vt:i4>50</vt:i4>
      </vt:variant>
      <vt:variant>
        <vt:i4>0</vt:i4>
      </vt:variant>
      <vt:variant>
        <vt:i4>5</vt:i4>
      </vt:variant>
      <vt:variant>
        <vt:lpwstr/>
      </vt:variant>
      <vt:variant>
        <vt:lpwstr>_Toc355342892</vt:lpwstr>
      </vt:variant>
      <vt:variant>
        <vt:i4>1703994</vt:i4>
      </vt:variant>
      <vt:variant>
        <vt:i4>44</vt:i4>
      </vt:variant>
      <vt:variant>
        <vt:i4>0</vt:i4>
      </vt:variant>
      <vt:variant>
        <vt:i4>5</vt:i4>
      </vt:variant>
      <vt:variant>
        <vt:lpwstr/>
      </vt:variant>
      <vt:variant>
        <vt:lpwstr>_Toc355342891</vt:lpwstr>
      </vt:variant>
      <vt:variant>
        <vt:i4>1703994</vt:i4>
      </vt:variant>
      <vt:variant>
        <vt:i4>38</vt:i4>
      </vt:variant>
      <vt:variant>
        <vt:i4>0</vt:i4>
      </vt:variant>
      <vt:variant>
        <vt:i4>5</vt:i4>
      </vt:variant>
      <vt:variant>
        <vt:lpwstr/>
      </vt:variant>
      <vt:variant>
        <vt:lpwstr>_Toc355342890</vt:lpwstr>
      </vt:variant>
      <vt:variant>
        <vt:i4>1769530</vt:i4>
      </vt:variant>
      <vt:variant>
        <vt:i4>32</vt:i4>
      </vt:variant>
      <vt:variant>
        <vt:i4>0</vt:i4>
      </vt:variant>
      <vt:variant>
        <vt:i4>5</vt:i4>
      </vt:variant>
      <vt:variant>
        <vt:lpwstr/>
      </vt:variant>
      <vt:variant>
        <vt:lpwstr>_Toc355342889</vt:lpwstr>
      </vt:variant>
      <vt:variant>
        <vt:i4>1769530</vt:i4>
      </vt:variant>
      <vt:variant>
        <vt:i4>26</vt:i4>
      </vt:variant>
      <vt:variant>
        <vt:i4>0</vt:i4>
      </vt:variant>
      <vt:variant>
        <vt:i4>5</vt:i4>
      </vt:variant>
      <vt:variant>
        <vt:lpwstr/>
      </vt:variant>
      <vt:variant>
        <vt:lpwstr>_Toc355342888</vt:lpwstr>
      </vt:variant>
      <vt:variant>
        <vt:i4>1769530</vt:i4>
      </vt:variant>
      <vt:variant>
        <vt:i4>20</vt:i4>
      </vt:variant>
      <vt:variant>
        <vt:i4>0</vt:i4>
      </vt:variant>
      <vt:variant>
        <vt:i4>5</vt:i4>
      </vt:variant>
      <vt:variant>
        <vt:lpwstr/>
      </vt:variant>
      <vt:variant>
        <vt:lpwstr>_Toc355342887</vt:lpwstr>
      </vt:variant>
      <vt:variant>
        <vt:i4>1769530</vt:i4>
      </vt:variant>
      <vt:variant>
        <vt:i4>14</vt:i4>
      </vt:variant>
      <vt:variant>
        <vt:i4>0</vt:i4>
      </vt:variant>
      <vt:variant>
        <vt:i4>5</vt:i4>
      </vt:variant>
      <vt:variant>
        <vt:lpwstr/>
      </vt:variant>
      <vt:variant>
        <vt:lpwstr>_Toc355342886</vt:lpwstr>
      </vt:variant>
      <vt:variant>
        <vt:i4>1769530</vt:i4>
      </vt:variant>
      <vt:variant>
        <vt:i4>8</vt:i4>
      </vt:variant>
      <vt:variant>
        <vt:i4>0</vt:i4>
      </vt:variant>
      <vt:variant>
        <vt:i4>5</vt:i4>
      </vt:variant>
      <vt:variant>
        <vt:lpwstr/>
      </vt:variant>
      <vt:variant>
        <vt:lpwstr>_Toc355342885</vt:lpwstr>
      </vt:variant>
      <vt:variant>
        <vt:i4>1769530</vt:i4>
      </vt:variant>
      <vt:variant>
        <vt:i4>2</vt:i4>
      </vt:variant>
      <vt:variant>
        <vt:i4>0</vt:i4>
      </vt:variant>
      <vt:variant>
        <vt:i4>5</vt:i4>
      </vt:variant>
      <vt:variant>
        <vt:lpwstr/>
      </vt:variant>
      <vt:variant>
        <vt:lpwstr>_Toc355342884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177</dc:title>
  <dc:subject/>
  <dc:creator>Smith, Gilon</dc:creator>
  <cp:keywords/>
  <dc:description/>
  <cp:lastModifiedBy>Smith, Gilon</cp:lastModifiedBy>
  <cp:revision>220</cp:revision>
  <cp:lastPrinted>2018-07-16T22:51:00Z</cp:lastPrinted>
  <dcterms:created xsi:type="dcterms:W3CDTF">2018-03-25T22:22:00Z</dcterms:created>
  <dcterms:modified xsi:type="dcterms:W3CDTF">2018-07-27T03:37:00Z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0x010100E221D58917F9344D84E35B1C1D4EBB4E</vt:lpwstr>
  </property>
  <property fmtid="{D5CDD505-2E9C-101B-9397-08002B2CF9AE}" pid="7" name="_dlc_DocIdItemGuid">
    <vt:lpwstr>05ea9ae3-054d-448e-9bc4-59b904e9c507</vt:lpwstr>
  </property>
  <property fmtid="{D5CDD505-2E9C-101B-9397-08002B2CF9AE}" pid="8" name="DocHub_Year">
    <vt:lpwstr>1801;#2018|224abc7b-6f7e-4064-b773-6750976429b5</vt:lpwstr>
  </property>
  <property fmtid="{D5CDD505-2E9C-101B-9397-08002B2CF9AE}" pid="9" name="DocHub_DocumentType">
    <vt:lpwstr>15;#Report|116a9244-cef6-47ce-a9a5-088c9cf21292</vt:lpwstr>
  </property>
  <property fmtid="{D5CDD505-2E9C-101B-9397-08002B2CF9AE}" pid="10" name="DocHub_SecurityClassification">
    <vt:lpwstr>3;#UNCLASSIFIED|6106d03b-a1a0-4e30-9d91-d5e9fb4314f9</vt:lpwstr>
  </property>
  <property fmtid="{D5CDD505-2E9C-101B-9397-08002B2CF9AE}" pid="11" name="DocHub_CaseType">
    <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2080;#Commissioner's note on diversion of steel and aluminium bound for US|e2510d57-02e2-4a18-bc24-6b8da951e06a</vt:lpwstr>
  </property>
  <property fmtid="{D5CDD505-2E9C-101B-9397-08002B2CF9AE}" pid="14" name="DocHub_ADCEntityType">
    <vt:lpwstr/>
  </property>
  <property fmtid="{D5CDD505-2E9C-101B-9397-08002B2CF9AE}" pid="15" name="DocHub_WorkActivity">
    <vt:lpwstr>110;#Market Analysis|e69714f8-4272-405e-a827-369f59fae46c</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
  </property>
  <property fmtid="{D5CDD505-2E9C-101B-9397-08002B2CF9AE}" pid="21" name="DocHub_ReportType">
    <vt:lpwstr/>
  </property>
  <property fmtid="{D5CDD505-2E9C-101B-9397-08002B2CF9AE}" pid="22" name="DocHub_Country">
    <vt:lpwstr/>
  </property>
</Properties>
</file>