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39F41" w14:textId="5B5C4592" w:rsidR="00B149F8" w:rsidRDefault="003554E3">
      <w:pPr>
        <w:rPr>
          <w:rFonts w:ascii="Arial" w:eastAsiaTheme="majorEastAsia" w:hAnsi="Arial" w:cstheme="majorBidi"/>
          <w:color w:val="00283E"/>
          <w:sz w:val="44"/>
          <w:szCs w:val="26"/>
        </w:rPr>
      </w:pPr>
      <w:bookmarkStart w:id="0" w:name="_Toc536714961"/>
      <w:bookmarkStart w:id="1" w:name="_Toc531871022"/>
      <w:r>
        <w:rPr>
          <w:noProof/>
        </w:rPr>
        <w:pict w14:anchorId="4E5918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Building Confidence Report Implementation plan, Building Minister's Forum. Cover image shows a reflections on a building and a blue sky." style="position:absolute;margin-left:-62.75pt;margin-top:-66pt;width:596.45pt;height:842.9pt;z-index:-251658752;mso-position-horizontal-relative:text;mso-position-vertical-relative:text;mso-width-relative:page;mso-height-relative:page" wrapcoords="-30 0 -30 21579 21600 21579 21600 0 -30 0">
            <v:imagedata r:id="rId12" o:title="Building Confidence report cover-3"/>
          </v:shape>
        </w:pict>
      </w:r>
      <w:r w:rsidR="00B149F8">
        <w:rPr>
          <w:rFonts w:ascii="Arial" w:hAnsi="Arial"/>
          <w:color w:val="00283E"/>
          <w:sz w:val="44"/>
          <w:szCs w:val="26"/>
        </w:rPr>
        <w:br w:type="page"/>
      </w:r>
    </w:p>
    <w:p w14:paraId="11E4DFB5" w14:textId="4B3204B4" w:rsidR="00354C8F" w:rsidRPr="00354C8F" w:rsidRDefault="00354C8F" w:rsidP="00354C8F">
      <w:pPr>
        <w:pStyle w:val="Heading1"/>
      </w:pPr>
      <w:bookmarkStart w:id="2" w:name="_Toc2929158"/>
      <w:bookmarkStart w:id="3" w:name="_Toc3363534"/>
      <w:bookmarkStart w:id="4" w:name="_Toc3988101"/>
      <w:bookmarkStart w:id="5" w:name="_Toc3991418"/>
      <w:r w:rsidRPr="00354C8F">
        <w:lastRenderedPageBreak/>
        <w:t>Building Confidence Report: Implementation Plan</w:t>
      </w:r>
      <w:bookmarkEnd w:id="2"/>
      <w:bookmarkEnd w:id="3"/>
      <w:bookmarkEnd w:id="4"/>
      <w:bookmarkEnd w:id="5"/>
    </w:p>
    <w:p w14:paraId="320E513A" w14:textId="77777777" w:rsidR="00A9556D" w:rsidRDefault="00354C8F" w:rsidP="00354C8F">
      <w:pPr>
        <w:pStyle w:val="Heading2"/>
      </w:pPr>
      <w:bookmarkStart w:id="6" w:name="_Toc2929159"/>
      <w:bookmarkStart w:id="7" w:name="_Toc3363535"/>
      <w:bookmarkStart w:id="8" w:name="_Toc3988102"/>
      <w:bookmarkStart w:id="9" w:name="_Toc3991419"/>
      <w:r w:rsidRPr="00354C8F">
        <w:t>Contents</w:t>
      </w:r>
      <w:bookmarkEnd w:id="6"/>
      <w:bookmarkEnd w:id="7"/>
      <w:bookmarkEnd w:id="8"/>
      <w:bookmarkEnd w:id="9"/>
    </w:p>
    <w:p w14:paraId="240D4E89" w14:textId="1FE6B9D8" w:rsidR="00E4691E" w:rsidRDefault="00A9556D">
      <w:pPr>
        <w:pStyle w:val="TOC1"/>
        <w:tabs>
          <w:tab w:val="right" w:leader="dot" w:pos="9769"/>
        </w:tabs>
        <w:rPr>
          <w:noProof/>
          <w:lang w:eastAsia="en-AU"/>
        </w:rPr>
      </w:pPr>
      <w:r>
        <w:fldChar w:fldCharType="begin"/>
      </w:r>
      <w:r>
        <w:instrText xml:space="preserve"> TOC \o "1-2" \h \z \u </w:instrText>
      </w:r>
      <w:r>
        <w:fldChar w:fldCharType="separate"/>
      </w:r>
    </w:p>
    <w:bookmarkStart w:id="10" w:name="_GoBack"/>
    <w:bookmarkEnd w:id="10"/>
    <w:p w14:paraId="39320134" w14:textId="77777777" w:rsidR="00E4691E" w:rsidRDefault="003554E3">
      <w:pPr>
        <w:pStyle w:val="TOC2"/>
        <w:tabs>
          <w:tab w:val="right" w:leader="dot" w:pos="9769"/>
        </w:tabs>
        <w:rPr>
          <w:noProof/>
          <w:lang w:eastAsia="en-AU"/>
        </w:rPr>
      </w:pPr>
      <w:r>
        <w:rPr>
          <w:rStyle w:val="Hyperlink"/>
          <w:noProof/>
        </w:rPr>
        <w:fldChar w:fldCharType="begin"/>
      </w:r>
      <w:r>
        <w:rPr>
          <w:rStyle w:val="Hyperlink"/>
          <w:noProof/>
        </w:rPr>
        <w:instrText xml:space="preserve"> HYPERLINK \l "_Toc3991420" </w:instrText>
      </w:r>
      <w:r>
        <w:rPr>
          <w:rStyle w:val="Hyperlink"/>
          <w:noProof/>
        </w:rPr>
        <w:fldChar w:fldCharType="separate"/>
      </w:r>
      <w:r w:rsidR="00E4691E" w:rsidRPr="00FC18E8">
        <w:rPr>
          <w:rStyle w:val="Hyperlink"/>
          <w:noProof/>
        </w:rPr>
        <w:t>Overview</w:t>
      </w:r>
      <w:r w:rsidR="00E4691E">
        <w:rPr>
          <w:noProof/>
          <w:webHidden/>
        </w:rPr>
        <w:tab/>
      </w:r>
      <w:r w:rsidR="00E4691E">
        <w:rPr>
          <w:noProof/>
          <w:webHidden/>
        </w:rPr>
        <w:fldChar w:fldCharType="begin"/>
      </w:r>
      <w:r w:rsidR="00E4691E">
        <w:rPr>
          <w:noProof/>
          <w:webHidden/>
        </w:rPr>
        <w:instrText xml:space="preserve"> PAGEREF _Toc3991420 \h </w:instrText>
      </w:r>
      <w:r w:rsidR="00E4691E">
        <w:rPr>
          <w:noProof/>
          <w:webHidden/>
        </w:rPr>
      </w:r>
      <w:r w:rsidR="00E4691E">
        <w:rPr>
          <w:noProof/>
          <w:webHidden/>
        </w:rPr>
        <w:fldChar w:fldCharType="separate"/>
      </w:r>
      <w:r w:rsidR="00E4691E">
        <w:rPr>
          <w:noProof/>
          <w:webHidden/>
        </w:rPr>
        <w:t>3</w:t>
      </w:r>
      <w:r w:rsidR="00E4691E">
        <w:rPr>
          <w:noProof/>
          <w:webHidden/>
        </w:rPr>
        <w:fldChar w:fldCharType="end"/>
      </w:r>
      <w:r>
        <w:rPr>
          <w:noProof/>
        </w:rPr>
        <w:fldChar w:fldCharType="end"/>
      </w:r>
    </w:p>
    <w:p w14:paraId="4E650434" w14:textId="77777777" w:rsidR="00E4691E" w:rsidRDefault="003554E3">
      <w:pPr>
        <w:pStyle w:val="TOC2"/>
        <w:tabs>
          <w:tab w:val="right" w:leader="dot" w:pos="9769"/>
        </w:tabs>
        <w:rPr>
          <w:noProof/>
          <w:lang w:eastAsia="en-AU"/>
        </w:rPr>
      </w:pPr>
      <w:hyperlink w:anchor="_Toc3991421" w:history="1">
        <w:r w:rsidR="00E4691E" w:rsidRPr="00FC18E8">
          <w:rPr>
            <w:rStyle w:val="Hyperlink"/>
            <w:noProof/>
          </w:rPr>
          <w:t>Approach to reforms</w:t>
        </w:r>
        <w:r w:rsidR="00E4691E">
          <w:rPr>
            <w:noProof/>
            <w:webHidden/>
          </w:rPr>
          <w:tab/>
        </w:r>
        <w:r w:rsidR="00E4691E">
          <w:rPr>
            <w:noProof/>
            <w:webHidden/>
          </w:rPr>
          <w:fldChar w:fldCharType="begin"/>
        </w:r>
        <w:r w:rsidR="00E4691E">
          <w:rPr>
            <w:noProof/>
            <w:webHidden/>
          </w:rPr>
          <w:instrText xml:space="preserve"> PAGEREF _Toc3991421 \h </w:instrText>
        </w:r>
        <w:r w:rsidR="00E4691E">
          <w:rPr>
            <w:noProof/>
            <w:webHidden/>
          </w:rPr>
        </w:r>
        <w:r w:rsidR="00E4691E">
          <w:rPr>
            <w:noProof/>
            <w:webHidden/>
          </w:rPr>
          <w:fldChar w:fldCharType="separate"/>
        </w:r>
        <w:r w:rsidR="00E4691E">
          <w:rPr>
            <w:noProof/>
            <w:webHidden/>
          </w:rPr>
          <w:t>3</w:t>
        </w:r>
        <w:r w:rsidR="00E4691E">
          <w:rPr>
            <w:noProof/>
            <w:webHidden/>
          </w:rPr>
          <w:fldChar w:fldCharType="end"/>
        </w:r>
      </w:hyperlink>
    </w:p>
    <w:p w14:paraId="145F1057" w14:textId="77777777" w:rsidR="00E4691E" w:rsidRDefault="003554E3">
      <w:pPr>
        <w:pStyle w:val="TOC2"/>
        <w:tabs>
          <w:tab w:val="right" w:leader="dot" w:pos="9769"/>
        </w:tabs>
        <w:rPr>
          <w:noProof/>
          <w:lang w:eastAsia="en-AU"/>
        </w:rPr>
      </w:pPr>
      <w:hyperlink w:anchor="_Toc3991422" w:history="1">
        <w:r w:rsidR="00E4691E" w:rsidRPr="00FC18E8">
          <w:rPr>
            <w:rStyle w:val="Hyperlink"/>
            <w:noProof/>
          </w:rPr>
          <w:t>National priority reforms</w:t>
        </w:r>
        <w:r w:rsidR="00E4691E">
          <w:rPr>
            <w:noProof/>
            <w:webHidden/>
          </w:rPr>
          <w:tab/>
        </w:r>
        <w:r w:rsidR="00E4691E">
          <w:rPr>
            <w:noProof/>
            <w:webHidden/>
          </w:rPr>
          <w:fldChar w:fldCharType="begin"/>
        </w:r>
        <w:r w:rsidR="00E4691E">
          <w:rPr>
            <w:noProof/>
            <w:webHidden/>
          </w:rPr>
          <w:instrText xml:space="preserve"> PAGEREF _Toc3991422 \h </w:instrText>
        </w:r>
        <w:r w:rsidR="00E4691E">
          <w:rPr>
            <w:noProof/>
            <w:webHidden/>
          </w:rPr>
        </w:r>
        <w:r w:rsidR="00E4691E">
          <w:rPr>
            <w:noProof/>
            <w:webHidden/>
          </w:rPr>
          <w:fldChar w:fldCharType="separate"/>
        </w:r>
        <w:r w:rsidR="00E4691E">
          <w:rPr>
            <w:noProof/>
            <w:webHidden/>
          </w:rPr>
          <w:t>4</w:t>
        </w:r>
        <w:r w:rsidR="00E4691E">
          <w:rPr>
            <w:noProof/>
            <w:webHidden/>
          </w:rPr>
          <w:fldChar w:fldCharType="end"/>
        </w:r>
      </w:hyperlink>
    </w:p>
    <w:p w14:paraId="1E029E18" w14:textId="77777777" w:rsidR="00E4691E" w:rsidRDefault="003554E3">
      <w:pPr>
        <w:pStyle w:val="TOC2"/>
        <w:tabs>
          <w:tab w:val="right" w:leader="dot" w:pos="9769"/>
        </w:tabs>
        <w:rPr>
          <w:noProof/>
          <w:lang w:eastAsia="en-AU"/>
        </w:rPr>
      </w:pPr>
      <w:hyperlink w:anchor="_Toc3991423" w:history="1">
        <w:r w:rsidR="00E4691E" w:rsidRPr="00FC18E8">
          <w:rPr>
            <w:rStyle w:val="Hyperlink"/>
            <w:noProof/>
          </w:rPr>
          <w:t>Industry involvement</w:t>
        </w:r>
        <w:r w:rsidR="00E4691E">
          <w:rPr>
            <w:noProof/>
            <w:webHidden/>
          </w:rPr>
          <w:tab/>
        </w:r>
        <w:r w:rsidR="00E4691E">
          <w:rPr>
            <w:noProof/>
            <w:webHidden/>
          </w:rPr>
          <w:fldChar w:fldCharType="begin"/>
        </w:r>
        <w:r w:rsidR="00E4691E">
          <w:rPr>
            <w:noProof/>
            <w:webHidden/>
          </w:rPr>
          <w:instrText xml:space="preserve"> PAGEREF _Toc3991423 \h </w:instrText>
        </w:r>
        <w:r w:rsidR="00E4691E">
          <w:rPr>
            <w:noProof/>
            <w:webHidden/>
          </w:rPr>
        </w:r>
        <w:r w:rsidR="00E4691E">
          <w:rPr>
            <w:noProof/>
            <w:webHidden/>
          </w:rPr>
          <w:fldChar w:fldCharType="separate"/>
        </w:r>
        <w:r w:rsidR="00E4691E">
          <w:rPr>
            <w:noProof/>
            <w:webHidden/>
          </w:rPr>
          <w:t>4</w:t>
        </w:r>
        <w:r w:rsidR="00E4691E">
          <w:rPr>
            <w:noProof/>
            <w:webHidden/>
          </w:rPr>
          <w:fldChar w:fldCharType="end"/>
        </w:r>
      </w:hyperlink>
    </w:p>
    <w:p w14:paraId="6577B2F1" w14:textId="77777777" w:rsidR="00E4691E" w:rsidRDefault="003554E3">
      <w:pPr>
        <w:pStyle w:val="TOC2"/>
        <w:tabs>
          <w:tab w:val="right" w:leader="dot" w:pos="9769"/>
        </w:tabs>
        <w:rPr>
          <w:noProof/>
          <w:lang w:eastAsia="en-AU"/>
        </w:rPr>
      </w:pPr>
      <w:hyperlink w:anchor="_Toc3991424" w:history="1">
        <w:r w:rsidR="00E4691E" w:rsidRPr="00FC18E8">
          <w:rPr>
            <w:rStyle w:val="Hyperlink"/>
            <w:noProof/>
          </w:rPr>
          <w:t>Timeframes</w:t>
        </w:r>
        <w:r w:rsidR="00E4691E">
          <w:rPr>
            <w:noProof/>
            <w:webHidden/>
          </w:rPr>
          <w:tab/>
        </w:r>
        <w:r w:rsidR="00E4691E">
          <w:rPr>
            <w:noProof/>
            <w:webHidden/>
          </w:rPr>
          <w:fldChar w:fldCharType="begin"/>
        </w:r>
        <w:r w:rsidR="00E4691E">
          <w:rPr>
            <w:noProof/>
            <w:webHidden/>
          </w:rPr>
          <w:instrText xml:space="preserve"> PAGEREF _Toc3991424 \h </w:instrText>
        </w:r>
        <w:r w:rsidR="00E4691E">
          <w:rPr>
            <w:noProof/>
            <w:webHidden/>
          </w:rPr>
        </w:r>
        <w:r w:rsidR="00E4691E">
          <w:rPr>
            <w:noProof/>
            <w:webHidden/>
          </w:rPr>
          <w:fldChar w:fldCharType="separate"/>
        </w:r>
        <w:r w:rsidR="00E4691E">
          <w:rPr>
            <w:noProof/>
            <w:webHidden/>
          </w:rPr>
          <w:t>4</w:t>
        </w:r>
        <w:r w:rsidR="00E4691E">
          <w:rPr>
            <w:noProof/>
            <w:webHidden/>
          </w:rPr>
          <w:fldChar w:fldCharType="end"/>
        </w:r>
      </w:hyperlink>
    </w:p>
    <w:p w14:paraId="3C18B88B" w14:textId="77777777" w:rsidR="00E4691E" w:rsidRDefault="003554E3">
      <w:pPr>
        <w:pStyle w:val="TOC2"/>
        <w:tabs>
          <w:tab w:val="right" w:leader="dot" w:pos="9769"/>
        </w:tabs>
        <w:rPr>
          <w:noProof/>
          <w:lang w:eastAsia="en-AU"/>
        </w:rPr>
      </w:pPr>
      <w:hyperlink w:anchor="_Toc3991425" w:history="1">
        <w:r w:rsidR="00E4691E" w:rsidRPr="00FC18E8">
          <w:rPr>
            <w:rStyle w:val="Hyperlink"/>
            <w:noProof/>
          </w:rPr>
          <w:t>Recommendations</w:t>
        </w:r>
        <w:r w:rsidR="00E4691E">
          <w:rPr>
            <w:noProof/>
            <w:webHidden/>
          </w:rPr>
          <w:tab/>
        </w:r>
        <w:r w:rsidR="00E4691E">
          <w:rPr>
            <w:noProof/>
            <w:webHidden/>
          </w:rPr>
          <w:fldChar w:fldCharType="begin"/>
        </w:r>
        <w:r w:rsidR="00E4691E">
          <w:rPr>
            <w:noProof/>
            <w:webHidden/>
          </w:rPr>
          <w:instrText xml:space="preserve"> PAGEREF _Toc3991425 \h </w:instrText>
        </w:r>
        <w:r w:rsidR="00E4691E">
          <w:rPr>
            <w:noProof/>
            <w:webHidden/>
          </w:rPr>
        </w:r>
        <w:r w:rsidR="00E4691E">
          <w:rPr>
            <w:noProof/>
            <w:webHidden/>
          </w:rPr>
          <w:fldChar w:fldCharType="separate"/>
        </w:r>
        <w:r w:rsidR="00E4691E">
          <w:rPr>
            <w:noProof/>
            <w:webHidden/>
          </w:rPr>
          <w:t>5</w:t>
        </w:r>
        <w:r w:rsidR="00E4691E">
          <w:rPr>
            <w:noProof/>
            <w:webHidden/>
          </w:rPr>
          <w:fldChar w:fldCharType="end"/>
        </w:r>
      </w:hyperlink>
    </w:p>
    <w:p w14:paraId="1B6C830A" w14:textId="77777777" w:rsidR="00E4691E" w:rsidRDefault="003554E3">
      <w:pPr>
        <w:pStyle w:val="TOC2"/>
        <w:tabs>
          <w:tab w:val="right" w:leader="dot" w:pos="9769"/>
        </w:tabs>
        <w:rPr>
          <w:noProof/>
          <w:lang w:eastAsia="en-AU"/>
        </w:rPr>
      </w:pPr>
      <w:hyperlink w:anchor="_Toc3991426" w:history="1">
        <w:r w:rsidR="00E4691E" w:rsidRPr="00FC18E8">
          <w:rPr>
            <w:rStyle w:val="Hyperlink"/>
            <w:noProof/>
          </w:rPr>
          <w:t>New South Wales</w:t>
        </w:r>
        <w:r w:rsidR="00E4691E">
          <w:rPr>
            <w:noProof/>
            <w:webHidden/>
          </w:rPr>
          <w:tab/>
        </w:r>
        <w:r w:rsidR="00E4691E">
          <w:rPr>
            <w:noProof/>
            <w:webHidden/>
          </w:rPr>
          <w:fldChar w:fldCharType="begin"/>
        </w:r>
        <w:r w:rsidR="00E4691E">
          <w:rPr>
            <w:noProof/>
            <w:webHidden/>
          </w:rPr>
          <w:instrText xml:space="preserve"> PAGEREF _Toc3991426 \h </w:instrText>
        </w:r>
        <w:r w:rsidR="00E4691E">
          <w:rPr>
            <w:noProof/>
            <w:webHidden/>
          </w:rPr>
        </w:r>
        <w:r w:rsidR="00E4691E">
          <w:rPr>
            <w:noProof/>
            <w:webHidden/>
          </w:rPr>
          <w:fldChar w:fldCharType="separate"/>
        </w:r>
        <w:r w:rsidR="00E4691E">
          <w:rPr>
            <w:noProof/>
            <w:webHidden/>
          </w:rPr>
          <w:t>8</w:t>
        </w:r>
        <w:r w:rsidR="00E4691E">
          <w:rPr>
            <w:noProof/>
            <w:webHidden/>
          </w:rPr>
          <w:fldChar w:fldCharType="end"/>
        </w:r>
      </w:hyperlink>
    </w:p>
    <w:p w14:paraId="2CEBE89B" w14:textId="77777777" w:rsidR="00E4691E" w:rsidRDefault="003554E3">
      <w:pPr>
        <w:pStyle w:val="TOC2"/>
        <w:tabs>
          <w:tab w:val="right" w:leader="dot" w:pos="9769"/>
        </w:tabs>
        <w:rPr>
          <w:noProof/>
          <w:lang w:eastAsia="en-AU"/>
        </w:rPr>
      </w:pPr>
      <w:hyperlink w:anchor="_Toc3991427" w:history="1">
        <w:r w:rsidR="00E4691E" w:rsidRPr="00FC18E8">
          <w:rPr>
            <w:rStyle w:val="Hyperlink"/>
            <w:noProof/>
          </w:rPr>
          <w:t>Victoria</w:t>
        </w:r>
        <w:r w:rsidR="00E4691E">
          <w:rPr>
            <w:noProof/>
            <w:webHidden/>
          </w:rPr>
          <w:tab/>
        </w:r>
        <w:r w:rsidR="00E4691E">
          <w:rPr>
            <w:noProof/>
            <w:webHidden/>
          </w:rPr>
          <w:fldChar w:fldCharType="begin"/>
        </w:r>
        <w:r w:rsidR="00E4691E">
          <w:rPr>
            <w:noProof/>
            <w:webHidden/>
          </w:rPr>
          <w:instrText xml:space="preserve"> PAGEREF _Toc3991427 \h </w:instrText>
        </w:r>
        <w:r w:rsidR="00E4691E">
          <w:rPr>
            <w:noProof/>
            <w:webHidden/>
          </w:rPr>
        </w:r>
        <w:r w:rsidR="00E4691E">
          <w:rPr>
            <w:noProof/>
            <w:webHidden/>
          </w:rPr>
          <w:fldChar w:fldCharType="separate"/>
        </w:r>
        <w:r w:rsidR="00E4691E">
          <w:rPr>
            <w:noProof/>
            <w:webHidden/>
          </w:rPr>
          <w:t>11</w:t>
        </w:r>
        <w:r w:rsidR="00E4691E">
          <w:rPr>
            <w:noProof/>
            <w:webHidden/>
          </w:rPr>
          <w:fldChar w:fldCharType="end"/>
        </w:r>
      </w:hyperlink>
    </w:p>
    <w:p w14:paraId="71475135" w14:textId="77777777" w:rsidR="00E4691E" w:rsidRDefault="003554E3">
      <w:pPr>
        <w:pStyle w:val="TOC2"/>
        <w:tabs>
          <w:tab w:val="right" w:leader="dot" w:pos="9769"/>
        </w:tabs>
        <w:rPr>
          <w:noProof/>
          <w:lang w:eastAsia="en-AU"/>
        </w:rPr>
      </w:pPr>
      <w:hyperlink w:anchor="_Toc3991428" w:history="1">
        <w:r w:rsidR="00E4691E" w:rsidRPr="00FC18E8">
          <w:rPr>
            <w:rStyle w:val="Hyperlink"/>
            <w:noProof/>
          </w:rPr>
          <w:t>Queensland</w:t>
        </w:r>
        <w:r w:rsidR="00E4691E">
          <w:rPr>
            <w:noProof/>
            <w:webHidden/>
          </w:rPr>
          <w:tab/>
        </w:r>
        <w:r w:rsidR="00E4691E">
          <w:rPr>
            <w:noProof/>
            <w:webHidden/>
          </w:rPr>
          <w:fldChar w:fldCharType="begin"/>
        </w:r>
        <w:r w:rsidR="00E4691E">
          <w:rPr>
            <w:noProof/>
            <w:webHidden/>
          </w:rPr>
          <w:instrText xml:space="preserve"> PAGEREF _Toc3991428 \h </w:instrText>
        </w:r>
        <w:r w:rsidR="00E4691E">
          <w:rPr>
            <w:noProof/>
            <w:webHidden/>
          </w:rPr>
        </w:r>
        <w:r w:rsidR="00E4691E">
          <w:rPr>
            <w:noProof/>
            <w:webHidden/>
          </w:rPr>
          <w:fldChar w:fldCharType="separate"/>
        </w:r>
        <w:r w:rsidR="00E4691E">
          <w:rPr>
            <w:noProof/>
            <w:webHidden/>
          </w:rPr>
          <w:t>14</w:t>
        </w:r>
        <w:r w:rsidR="00E4691E">
          <w:rPr>
            <w:noProof/>
            <w:webHidden/>
          </w:rPr>
          <w:fldChar w:fldCharType="end"/>
        </w:r>
      </w:hyperlink>
    </w:p>
    <w:p w14:paraId="5803425B" w14:textId="77777777" w:rsidR="00E4691E" w:rsidRDefault="003554E3">
      <w:pPr>
        <w:pStyle w:val="TOC2"/>
        <w:tabs>
          <w:tab w:val="right" w:leader="dot" w:pos="9769"/>
        </w:tabs>
        <w:rPr>
          <w:noProof/>
          <w:lang w:eastAsia="en-AU"/>
        </w:rPr>
      </w:pPr>
      <w:hyperlink w:anchor="_Toc3991429" w:history="1">
        <w:r w:rsidR="00E4691E" w:rsidRPr="00FC18E8">
          <w:rPr>
            <w:rStyle w:val="Hyperlink"/>
            <w:noProof/>
          </w:rPr>
          <w:t>Western Australia</w:t>
        </w:r>
        <w:r w:rsidR="00E4691E">
          <w:rPr>
            <w:noProof/>
            <w:webHidden/>
          </w:rPr>
          <w:tab/>
        </w:r>
        <w:r w:rsidR="00E4691E">
          <w:rPr>
            <w:noProof/>
            <w:webHidden/>
          </w:rPr>
          <w:fldChar w:fldCharType="begin"/>
        </w:r>
        <w:r w:rsidR="00E4691E">
          <w:rPr>
            <w:noProof/>
            <w:webHidden/>
          </w:rPr>
          <w:instrText xml:space="preserve"> PAGEREF _Toc3991429 \h </w:instrText>
        </w:r>
        <w:r w:rsidR="00E4691E">
          <w:rPr>
            <w:noProof/>
            <w:webHidden/>
          </w:rPr>
        </w:r>
        <w:r w:rsidR="00E4691E">
          <w:rPr>
            <w:noProof/>
            <w:webHidden/>
          </w:rPr>
          <w:fldChar w:fldCharType="separate"/>
        </w:r>
        <w:r w:rsidR="00E4691E">
          <w:rPr>
            <w:noProof/>
            <w:webHidden/>
          </w:rPr>
          <w:t>17</w:t>
        </w:r>
        <w:r w:rsidR="00E4691E">
          <w:rPr>
            <w:noProof/>
            <w:webHidden/>
          </w:rPr>
          <w:fldChar w:fldCharType="end"/>
        </w:r>
      </w:hyperlink>
    </w:p>
    <w:p w14:paraId="101590AD" w14:textId="77777777" w:rsidR="00E4691E" w:rsidRDefault="003554E3">
      <w:pPr>
        <w:pStyle w:val="TOC2"/>
        <w:tabs>
          <w:tab w:val="right" w:leader="dot" w:pos="9769"/>
        </w:tabs>
        <w:rPr>
          <w:noProof/>
          <w:lang w:eastAsia="en-AU"/>
        </w:rPr>
      </w:pPr>
      <w:hyperlink w:anchor="_Toc3991430" w:history="1">
        <w:r w:rsidR="00E4691E" w:rsidRPr="00FC18E8">
          <w:rPr>
            <w:rStyle w:val="Hyperlink"/>
            <w:noProof/>
          </w:rPr>
          <w:t>South Australia</w:t>
        </w:r>
        <w:r w:rsidR="00E4691E">
          <w:rPr>
            <w:noProof/>
            <w:webHidden/>
          </w:rPr>
          <w:tab/>
        </w:r>
        <w:r w:rsidR="00E4691E">
          <w:rPr>
            <w:noProof/>
            <w:webHidden/>
          </w:rPr>
          <w:fldChar w:fldCharType="begin"/>
        </w:r>
        <w:r w:rsidR="00E4691E">
          <w:rPr>
            <w:noProof/>
            <w:webHidden/>
          </w:rPr>
          <w:instrText xml:space="preserve"> PAGEREF _Toc3991430 \h </w:instrText>
        </w:r>
        <w:r w:rsidR="00E4691E">
          <w:rPr>
            <w:noProof/>
            <w:webHidden/>
          </w:rPr>
        </w:r>
        <w:r w:rsidR="00E4691E">
          <w:rPr>
            <w:noProof/>
            <w:webHidden/>
          </w:rPr>
          <w:fldChar w:fldCharType="separate"/>
        </w:r>
        <w:r w:rsidR="00E4691E">
          <w:rPr>
            <w:noProof/>
            <w:webHidden/>
          </w:rPr>
          <w:t>19</w:t>
        </w:r>
        <w:r w:rsidR="00E4691E">
          <w:rPr>
            <w:noProof/>
            <w:webHidden/>
          </w:rPr>
          <w:fldChar w:fldCharType="end"/>
        </w:r>
      </w:hyperlink>
    </w:p>
    <w:p w14:paraId="265BFABE" w14:textId="77777777" w:rsidR="00E4691E" w:rsidRDefault="003554E3">
      <w:pPr>
        <w:pStyle w:val="TOC2"/>
        <w:tabs>
          <w:tab w:val="right" w:leader="dot" w:pos="9769"/>
        </w:tabs>
        <w:rPr>
          <w:noProof/>
          <w:lang w:eastAsia="en-AU"/>
        </w:rPr>
      </w:pPr>
      <w:hyperlink w:anchor="_Toc3991431" w:history="1">
        <w:r w:rsidR="00E4691E" w:rsidRPr="00FC18E8">
          <w:rPr>
            <w:rStyle w:val="Hyperlink"/>
            <w:noProof/>
          </w:rPr>
          <w:t>Tasmania</w:t>
        </w:r>
        <w:r w:rsidR="00E4691E">
          <w:rPr>
            <w:noProof/>
            <w:webHidden/>
          </w:rPr>
          <w:tab/>
        </w:r>
        <w:r w:rsidR="00E4691E">
          <w:rPr>
            <w:noProof/>
            <w:webHidden/>
          </w:rPr>
          <w:fldChar w:fldCharType="begin"/>
        </w:r>
        <w:r w:rsidR="00E4691E">
          <w:rPr>
            <w:noProof/>
            <w:webHidden/>
          </w:rPr>
          <w:instrText xml:space="preserve"> PAGEREF _Toc3991431 \h </w:instrText>
        </w:r>
        <w:r w:rsidR="00E4691E">
          <w:rPr>
            <w:noProof/>
            <w:webHidden/>
          </w:rPr>
        </w:r>
        <w:r w:rsidR="00E4691E">
          <w:rPr>
            <w:noProof/>
            <w:webHidden/>
          </w:rPr>
          <w:fldChar w:fldCharType="separate"/>
        </w:r>
        <w:r w:rsidR="00E4691E">
          <w:rPr>
            <w:noProof/>
            <w:webHidden/>
          </w:rPr>
          <w:t>22</w:t>
        </w:r>
        <w:r w:rsidR="00E4691E">
          <w:rPr>
            <w:noProof/>
            <w:webHidden/>
          </w:rPr>
          <w:fldChar w:fldCharType="end"/>
        </w:r>
      </w:hyperlink>
    </w:p>
    <w:p w14:paraId="31AEFFD9" w14:textId="77777777" w:rsidR="00E4691E" w:rsidRDefault="003554E3">
      <w:pPr>
        <w:pStyle w:val="TOC2"/>
        <w:tabs>
          <w:tab w:val="right" w:leader="dot" w:pos="9769"/>
        </w:tabs>
        <w:rPr>
          <w:noProof/>
          <w:lang w:eastAsia="en-AU"/>
        </w:rPr>
      </w:pPr>
      <w:hyperlink w:anchor="_Toc3991432" w:history="1">
        <w:r w:rsidR="00E4691E" w:rsidRPr="00FC18E8">
          <w:rPr>
            <w:rStyle w:val="Hyperlink"/>
            <w:noProof/>
          </w:rPr>
          <w:t>Australian Capital Territory</w:t>
        </w:r>
        <w:r w:rsidR="00E4691E">
          <w:rPr>
            <w:noProof/>
            <w:webHidden/>
          </w:rPr>
          <w:tab/>
        </w:r>
        <w:r w:rsidR="00E4691E">
          <w:rPr>
            <w:noProof/>
            <w:webHidden/>
          </w:rPr>
          <w:fldChar w:fldCharType="begin"/>
        </w:r>
        <w:r w:rsidR="00E4691E">
          <w:rPr>
            <w:noProof/>
            <w:webHidden/>
          </w:rPr>
          <w:instrText xml:space="preserve"> PAGEREF _Toc3991432 \h </w:instrText>
        </w:r>
        <w:r w:rsidR="00E4691E">
          <w:rPr>
            <w:noProof/>
            <w:webHidden/>
          </w:rPr>
        </w:r>
        <w:r w:rsidR="00E4691E">
          <w:rPr>
            <w:noProof/>
            <w:webHidden/>
          </w:rPr>
          <w:fldChar w:fldCharType="separate"/>
        </w:r>
        <w:r w:rsidR="00E4691E">
          <w:rPr>
            <w:noProof/>
            <w:webHidden/>
          </w:rPr>
          <w:t>24</w:t>
        </w:r>
        <w:r w:rsidR="00E4691E">
          <w:rPr>
            <w:noProof/>
            <w:webHidden/>
          </w:rPr>
          <w:fldChar w:fldCharType="end"/>
        </w:r>
      </w:hyperlink>
    </w:p>
    <w:p w14:paraId="219A03D9" w14:textId="77777777" w:rsidR="00E4691E" w:rsidRDefault="003554E3">
      <w:pPr>
        <w:pStyle w:val="TOC2"/>
        <w:tabs>
          <w:tab w:val="right" w:leader="dot" w:pos="9769"/>
        </w:tabs>
        <w:rPr>
          <w:noProof/>
          <w:lang w:eastAsia="en-AU"/>
        </w:rPr>
      </w:pPr>
      <w:hyperlink w:anchor="_Toc3991433" w:history="1">
        <w:r w:rsidR="00E4691E" w:rsidRPr="00FC18E8">
          <w:rPr>
            <w:rStyle w:val="Hyperlink"/>
            <w:noProof/>
          </w:rPr>
          <w:t>Northern Territory</w:t>
        </w:r>
        <w:r w:rsidR="00E4691E">
          <w:rPr>
            <w:noProof/>
            <w:webHidden/>
          </w:rPr>
          <w:tab/>
        </w:r>
        <w:r w:rsidR="00E4691E">
          <w:rPr>
            <w:noProof/>
            <w:webHidden/>
          </w:rPr>
          <w:fldChar w:fldCharType="begin"/>
        </w:r>
        <w:r w:rsidR="00E4691E">
          <w:rPr>
            <w:noProof/>
            <w:webHidden/>
          </w:rPr>
          <w:instrText xml:space="preserve"> PAGEREF _Toc3991433 \h </w:instrText>
        </w:r>
        <w:r w:rsidR="00E4691E">
          <w:rPr>
            <w:noProof/>
            <w:webHidden/>
          </w:rPr>
        </w:r>
        <w:r w:rsidR="00E4691E">
          <w:rPr>
            <w:noProof/>
            <w:webHidden/>
          </w:rPr>
          <w:fldChar w:fldCharType="separate"/>
        </w:r>
        <w:r w:rsidR="00E4691E">
          <w:rPr>
            <w:noProof/>
            <w:webHidden/>
          </w:rPr>
          <w:t>26</w:t>
        </w:r>
        <w:r w:rsidR="00E4691E">
          <w:rPr>
            <w:noProof/>
            <w:webHidden/>
          </w:rPr>
          <w:fldChar w:fldCharType="end"/>
        </w:r>
      </w:hyperlink>
    </w:p>
    <w:p w14:paraId="2C925168" w14:textId="77777777" w:rsidR="00E4691E" w:rsidRDefault="003554E3">
      <w:pPr>
        <w:pStyle w:val="TOC2"/>
        <w:tabs>
          <w:tab w:val="right" w:leader="dot" w:pos="9769"/>
        </w:tabs>
        <w:rPr>
          <w:noProof/>
          <w:lang w:eastAsia="en-AU"/>
        </w:rPr>
      </w:pPr>
      <w:hyperlink w:anchor="_Toc3991434" w:history="1">
        <w:r w:rsidR="00E4691E" w:rsidRPr="00FC18E8">
          <w:rPr>
            <w:rStyle w:val="Hyperlink"/>
            <w:rFonts w:eastAsiaTheme="minorHAnsi"/>
            <w:noProof/>
          </w:rPr>
          <w:t>Australian Building Codes Board (ABCB)</w:t>
        </w:r>
        <w:r w:rsidR="00E4691E">
          <w:rPr>
            <w:noProof/>
            <w:webHidden/>
          </w:rPr>
          <w:tab/>
        </w:r>
        <w:r w:rsidR="00E4691E">
          <w:rPr>
            <w:noProof/>
            <w:webHidden/>
          </w:rPr>
          <w:fldChar w:fldCharType="begin"/>
        </w:r>
        <w:r w:rsidR="00E4691E">
          <w:rPr>
            <w:noProof/>
            <w:webHidden/>
          </w:rPr>
          <w:instrText xml:space="preserve"> PAGEREF _Toc3991434 \h </w:instrText>
        </w:r>
        <w:r w:rsidR="00E4691E">
          <w:rPr>
            <w:noProof/>
            <w:webHidden/>
          </w:rPr>
        </w:r>
        <w:r w:rsidR="00E4691E">
          <w:rPr>
            <w:noProof/>
            <w:webHidden/>
          </w:rPr>
          <w:fldChar w:fldCharType="separate"/>
        </w:r>
        <w:r w:rsidR="00E4691E">
          <w:rPr>
            <w:noProof/>
            <w:webHidden/>
          </w:rPr>
          <w:t>27</w:t>
        </w:r>
        <w:r w:rsidR="00E4691E">
          <w:rPr>
            <w:noProof/>
            <w:webHidden/>
          </w:rPr>
          <w:fldChar w:fldCharType="end"/>
        </w:r>
      </w:hyperlink>
    </w:p>
    <w:p w14:paraId="1889CCE6" w14:textId="4AA3022F" w:rsidR="007B5515" w:rsidRPr="000E1ADB" w:rsidRDefault="00A9556D" w:rsidP="00354C8F">
      <w:pPr>
        <w:pStyle w:val="Heading2"/>
      </w:pPr>
      <w:r>
        <w:fldChar w:fldCharType="end"/>
      </w:r>
      <w:r w:rsidR="00354C8F" w:rsidRPr="00354C8F">
        <w:br w:type="page"/>
      </w:r>
      <w:bookmarkStart w:id="11" w:name="_Toc3991420"/>
      <w:r w:rsidR="007B5515" w:rsidRPr="000E1ADB">
        <w:lastRenderedPageBreak/>
        <w:t>Overview</w:t>
      </w:r>
      <w:bookmarkEnd w:id="0"/>
      <w:bookmarkEnd w:id="11"/>
    </w:p>
    <w:bookmarkEnd w:id="1"/>
    <w:p w14:paraId="79863FFC" w14:textId="77777777" w:rsidR="007B5515" w:rsidRPr="000E1ADB" w:rsidRDefault="007B5515" w:rsidP="007B5515">
      <w:pPr>
        <w:rPr>
          <w:rFonts w:ascii="Arial" w:eastAsiaTheme="minorHAnsi" w:hAnsi="Arial"/>
        </w:rPr>
      </w:pPr>
      <w:r w:rsidRPr="000E1ADB">
        <w:rPr>
          <w:rFonts w:ascii="Arial" w:eastAsiaTheme="minorHAnsi" w:hAnsi="Arial"/>
        </w:rPr>
        <w:t>The tragic fire at Grenfell Tower in London in June 2017 raised global concerns about building safety and industry compliance with required standards.</w:t>
      </w:r>
      <w:r w:rsidRPr="000E1ADB" w:rsidDel="00D31765">
        <w:rPr>
          <w:rFonts w:ascii="Arial" w:eastAsiaTheme="minorHAnsi" w:hAnsi="Arial"/>
        </w:rPr>
        <w:t xml:space="preserve"> </w:t>
      </w:r>
      <w:r w:rsidRPr="000E1ADB">
        <w:rPr>
          <w:rFonts w:ascii="Arial" w:eastAsiaTheme="minorHAnsi" w:hAnsi="Arial"/>
        </w:rPr>
        <w:t xml:space="preserve">Australia is not immune as shown by the recent Neo200 apartment and 2014 Lacrosse apartment fires in Melbourne, and building issues in the Opal Tower building in Sydney. </w:t>
      </w:r>
    </w:p>
    <w:p w14:paraId="2E519BBC" w14:textId="77777777" w:rsidR="007B5515" w:rsidRPr="000E1ADB" w:rsidRDefault="007B5515" w:rsidP="007B5515">
      <w:pPr>
        <w:rPr>
          <w:rFonts w:ascii="Arial" w:eastAsiaTheme="minorHAnsi" w:hAnsi="Arial"/>
        </w:rPr>
      </w:pPr>
      <w:r w:rsidRPr="000E1ADB">
        <w:rPr>
          <w:rFonts w:ascii="Arial" w:eastAsiaTheme="minorHAnsi" w:hAnsi="Arial"/>
        </w:rPr>
        <w:t>Australian governments—Commonwealth, state and territory—are strongly committed to ensuring the safety of Australia’s buildings through effective regulation, certification and enforcement, and working with the sector to support industry-led initiatives to improve practice and compliance. Through the Building Ministers’ Forum (BMF), jurisdictions have worked together to identify and address immediate safety issues, and to assess the broader compliance and enforcement problems within the industry.</w:t>
      </w:r>
    </w:p>
    <w:p w14:paraId="0BD05870" w14:textId="77777777" w:rsidR="007B5515" w:rsidRPr="000E1ADB" w:rsidRDefault="007B5515" w:rsidP="007B5515">
      <w:pPr>
        <w:rPr>
          <w:rFonts w:ascii="Arial" w:eastAsiaTheme="minorHAnsi" w:hAnsi="Arial"/>
        </w:rPr>
      </w:pPr>
      <w:r w:rsidRPr="000E1ADB">
        <w:rPr>
          <w:rFonts w:ascii="Arial" w:eastAsiaTheme="minorHAnsi" w:hAnsi="Arial"/>
        </w:rPr>
        <w:t xml:space="preserve">Following the Grenfell Tower tragedy in 2017, Ministers took immediate action to prevent the misuse of aluminium composite panels in Australia. The BMF undertook a number of coordinated actions in response to cladding that did not meet Australia’s standards, focusing on high-rise buildings. </w:t>
      </w:r>
    </w:p>
    <w:p w14:paraId="52DD6BB2" w14:textId="77777777" w:rsidR="007B5515" w:rsidRPr="000E1ADB" w:rsidRDefault="007B5515" w:rsidP="007B5515">
      <w:pPr>
        <w:rPr>
          <w:rFonts w:ascii="Arial" w:eastAsiaTheme="minorHAnsi" w:hAnsi="Arial"/>
        </w:rPr>
      </w:pPr>
      <w:r w:rsidRPr="000E1ADB">
        <w:rPr>
          <w:rFonts w:ascii="Arial" w:eastAsiaTheme="minorHAnsi" w:hAnsi="Arial"/>
        </w:rPr>
        <w:t xml:space="preserve">The BMF commissioned the </w:t>
      </w:r>
      <w:r w:rsidRPr="003D3F57">
        <w:rPr>
          <w:rFonts w:ascii="Arial" w:eastAsiaTheme="minorHAnsi" w:hAnsi="Arial"/>
          <w:i/>
        </w:rPr>
        <w:t>Building Confidence</w:t>
      </w:r>
      <w:r w:rsidRPr="000E1ADB">
        <w:rPr>
          <w:rFonts w:ascii="Arial" w:eastAsiaTheme="minorHAnsi" w:hAnsi="Arial"/>
        </w:rPr>
        <w:t xml:space="preserve"> report, an independent expert examination of the broader compliance and enforcement problems within Australia’s building and construction system. The report concluded that there are a number of significant systematic deficiencies with Australia’s building industry culture and Australia’s governance arrangements, and made 24 recommendations to address these (see </w:t>
      </w:r>
      <w:r w:rsidRPr="003D3F57">
        <w:rPr>
          <w:rFonts w:ascii="Arial" w:eastAsiaTheme="minorHAnsi" w:hAnsi="Arial"/>
          <w:b/>
        </w:rPr>
        <w:t>Table 1</w:t>
      </w:r>
      <w:r w:rsidRPr="000E1ADB">
        <w:rPr>
          <w:rFonts w:ascii="Arial" w:eastAsiaTheme="minorHAnsi" w:hAnsi="Arial"/>
        </w:rPr>
        <w:t xml:space="preserve">). </w:t>
      </w:r>
    </w:p>
    <w:p w14:paraId="13796F8C" w14:textId="1C7A4D35" w:rsidR="007B5515" w:rsidRPr="000E1ADB" w:rsidRDefault="007B5515" w:rsidP="007B5515">
      <w:pPr>
        <w:rPr>
          <w:rFonts w:ascii="Arial" w:eastAsiaTheme="minorHAnsi" w:hAnsi="Arial"/>
        </w:rPr>
      </w:pPr>
      <w:r w:rsidRPr="000E1ADB">
        <w:rPr>
          <w:rFonts w:ascii="Arial" w:eastAsiaTheme="minorHAnsi" w:hAnsi="Arial"/>
        </w:rPr>
        <w:t>The BMF provided in-principle support for the report and identified national priorities.</w:t>
      </w:r>
      <w:r w:rsidR="00086FFD">
        <w:rPr>
          <w:rFonts w:ascii="Arial" w:eastAsiaTheme="minorHAnsi" w:hAnsi="Arial"/>
        </w:rPr>
        <w:t xml:space="preserve"> </w:t>
      </w:r>
      <w:r w:rsidRPr="000E1ADB">
        <w:rPr>
          <w:rFonts w:ascii="Arial" w:eastAsiaTheme="minorHAnsi" w:hAnsi="Arial"/>
        </w:rPr>
        <w:t>This implementation plan seeks to reaffirm Australian governments’ commitment to delivering reforms that will restore the community’s confidence in the nation’s building and construction industry. It sets out:</w:t>
      </w:r>
    </w:p>
    <w:p w14:paraId="34B90635" w14:textId="77777777" w:rsidR="007B5515" w:rsidRPr="002E65AB" w:rsidRDefault="007B5515" w:rsidP="002E65AB">
      <w:pPr>
        <w:numPr>
          <w:ilvl w:val="0"/>
          <w:numId w:val="7"/>
        </w:numPr>
        <w:spacing w:before="120" w:after="120"/>
        <w:ind w:left="426" w:hanging="426"/>
        <w:rPr>
          <w:rFonts w:ascii="Arial" w:eastAsiaTheme="minorHAnsi" w:hAnsi="Arial"/>
        </w:rPr>
      </w:pPr>
      <w:r w:rsidRPr="002E65AB">
        <w:rPr>
          <w:rFonts w:ascii="Arial" w:eastAsiaTheme="minorHAnsi" w:hAnsi="Arial"/>
        </w:rPr>
        <w:t>national priority reforms</w:t>
      </w:r>
    </w:p>
    <w:p w14:paraId="392FE982" w14:textId="77777777" w:rsidR="007B5515" w:rsidRPr="002E65AB" w:rsidRDefault="007B5515" w:rsidP="002E65AB">
      <w:pPr>
        <w:numPr>
          <w:ilvl w:val="0"/>
          <w:numId w:val="7"/>
        </w:numPr>
        <w:spacing w:before="120" w:after="120"/>
        <w:ind w:left="426" w:hanging="426"/>
        <w:rPr>
          <w:rFonts w:ascii="Arial" w:eastAsiaTheme="minorHAnsi" w:hAnsi="Arial"/>
        </w:rPr>
      </w:pPr>
      <w:r w:rsidRPr="002E65AB">
        <w:rPr>
          <w:rFonts w:ascii="Arial" w:eastAsiaTheme="minorHAnsi" w:hAnsi="Arial"/>
        </w:rPr>
        <w:t>a summary of reforms underway in each jurisdiction</w:t>
      </w:r>
    </w:p>
    <w:p w14:paraId="7E1DFA49" w14:textId="77777777" w:rsidR="007B5515" w:rsidRPr="002E65AB" w:rsidRDefault="007B5515" w:rsidP="002E65AB">
      <w:pPr>
        <w:numPr>
          <w:ilvl w:val="0"/>
          <w:numId w:val="7"/>
        </w:numPr>
        <w:spacing w:before="120" w:after="120"/>
        <w:ind w:left="426" w:hanging="426"/>
        <w:rPr>
          <w:rFonts w:ascii="Arial" w:eastAsiaTheme="minorHAnsi" w:hAnsi="Arial"/>
        </w:rPr>
      </w:pPr>
      <w:r w:rsidRPr="002E65AB">
        <w:rPr>
          <w:rFonts w:ascii="Arial" w:eastAsiaTheme="minorHAnsi" w:hAnsi="Arial"/>
        </w:rPr>
        <w:t>planned reforms and proposed timeframes for each jurisdiction</w:t>
      </w:r>
    </w:p>
    <w:p w14:paraId="5F17CF75" w14:textId="77777777" w:rsidR="007B5515" w:rsidRPr="002E65AB" w:rsidRDefault="007B5515" w:rsidP="002E65AB">
      <w:pPr>
        <w:numPr>
          <w:ilvl w:val="0"/>
          <w:numId w:val="7"/>
        </w:numPr>
        <w:spacing w:before="120" w:after="120"/>
        <w:ind w:left="426" w:hanging="426"/>
        <w:rPr>
          <w:rFonts w:ascii="Arial" w:eastAsiaTheme="minorHAnsi" w:hAnsi="Arial"/>
        </w:rPr>
      </w:pPr>
      <w:r w:rsidRPr="002E65AB">
        <w:rPr>
          <w:rFonts w:ascii="Arial" w:eastAsiaTheme="minorHAnsi" w:hAnsi="Arial"/>
        </w:rPr>
        <w:t>industry involvement in the process.</w:t>
      </w:r>
    </w:p>
    <w:p w14:paraId="2F7EAEF8" w14:textId="77777777" w:rsidR="007B5515" w:rsidRPr="000E1ADB" w:rsidRDefault="007B5515" w:rsidP="007B5515">
      <w:pPr>
        <w:rPr>
          <w:rFonts w:ascii="Arial" w:eastAsiaTheme="minorHAnsi" w:hAnsi="Arial"/>
        </w:rPr>
      </w:pPr>
      <w:r w:rsidRPr="000E1ADB">
        <w:rPr>
          <w:rFonts w:ascii="Arial" w:eastAsiaTheme="minorHAnsi" w:hAnsi="Arial"/>
        </w:rPr>
        <w:t>Implementation of the reforms will evolve over time to respond to new, innovative approaches and emerging policy priorities. The BMF is committed to consistent and concerted effort over the next few years to devise and implement comprehensive solutions involving government and industry. As such, this plan will be regularly reviewed by the BMF, with updated reports from jurisdictions provided to the BMF at least annually, or sooner if required.</w:t>
      </w:r>
    </w:p>
    <w:p w14:paraId="2A0B366A" w14:textId="77777777" w:rsidR="007B5515" w:rsidRPr="000E1ADB" w:rsidRDefault="007B5515" w:rsidP="00354C8F">
      <w:pPr>
        <w:pStyle w:val="Heading2"/>
      </w:pPr>
      <w:bookmarkStart w:id="12" w:name="_Toc536714962"/>
      <w:bookmarkStart w:id="13" w:name="_Toc3991421"/>
      <w:r w:rsidRPr="000E1ADB">
        <w:t>Approach to reforms</w:t>
      </w:r>
      <w:bookmarkEnd w:id="12"/>
      <w:bookmarkEnd w:id="13"/>
      <w:r w:rsidRPr="000E1ADB">
        <w:t xml:space="preserve"> </w:t>
      </w:r>
    </w:p>
    <w:p w14:paraId="0B333D94" w14:textId="77777777" w:rsidR="007B5515" w:rsidRPr="000E1ADB" w:rsidRDefault="007B5515" w:rsidP="007B5515">
      <w:pPr>
        <w:rPr>
          <w:rFonts w:ascii="Arial" w:eastAsiaTheme="minorHAnsi" w:hAnsi="Arial"/>
        </w:rPr>
      </w:pPr>
      <w:r w:rsidRPr="000E1ADB">
        <w:rPr>
          <w:rFonts w:ascii="Arial" w:eastAsiaTheme="minorHAnsi" w:hAnsi="Arial"/>
        </w:rPr>
        <w:t xml:space="preserve">This document outlines a roadmap for reforms, including target timeframes in each jurisdiction to implement recommendations. This approach acknowledges that implementation and timing will need to be tailored to varying regulatory systems. </w:t>
      </w:r>
    </w:p>
    <w:p w14:paraId="47CE0BAA" w14:textId="24D6954D" w:rsidR="007B5515" w:rsidRPr="000E1ADB" w:rsidRDefault="007B5515" w:rsidP="007B5515">
      <w:pPr>
        <w:rPr>
          <w:rFonts w:ascii="Arial" w:eastAsiaTheme="minorHAnsi" w:hAnsi="Arial"/>
        </w:rPr>
      </w:pPr>
      <w:r w:rsidRPr="000E1ADB">
        <w:rPr>
          <w:rFonts w:ascii="Arial" w:eastAsiaTheme="minorHAnsi" w:hAnsi="Arial"/>
        </w:rPr>
        <w:t xml:space="preserve">It also takes into account that, while all states and territories are committed to making reforms, they are not all at the same stage. Some jurisdictions have regulatory systems that require fewer changes, while other will require more significant reforms to respond to the recommendations. </w:t>
      </w:r>
      <w:r w:rsidR="003D3F57">
        <w:rPr>
          <w:rFonts w:ascii="Arial" w:eastAsiaTheme="minorHAnsi" w:hAnsi="Arial"/>
          <w:b/>
        </w:rPr>
        <w:t>Table </w:t>
      </w:r>
      <w:r w:rsidRPr="000E1ADB">
        <w:rPr>
          <w:rFonts w:ascii="Arial" w:eastAsiaTheme="minorHAnsi" w:hAnsi="Arial"/>
          <w:b/>
        </w:rPr>
        <w:t>1</w:t>
      </w:r>
      <w:r w:rsidRPr="000E1ADB">
        <w:rPr>
          <w:rFonts w:ascii="Arial" w:eastAsiaTheme="minorHAnsi" w:hAnsi="Arial"/>
        </w:rPr>
        <w:t xml:space="preserve"> provides a snapshot of each jurisdiction’s position on the recommendations.</w:t>
      </w:r>
    </w:p>
    <w:p w14:paraId="46A25BBD" w14:textId="703D2A95" w:rsidR="007B5515" w:rsidRPr="000E1ADB" w:rsidRDefault="007B5515" w:rsidP="007B5515">
      <w:pPr>
        <w:rPr>
          <w:rFonts w:ascii="Arial" w:eastAsiaTheme="minorHAnsi" w:hAnsi="Arial"/>
        </w:rPr>
      </w:pPr>
      <w:r w:rsidRPr="000E1ADB">
        <w:rPr>
          <w:rFonts w:ascii="Arial" w:eastAsiaTheme="minorHAnsi" w:hAnsi="Arial"/>
        </w:rPr>
        <w:lastRenderedPageBreak/>
        <w:t>Each state and territory chapter provides more detail on reforms that are underway, proposed reforms and implementation timeframes.</w:t>
      </w:r>
      <w:r w:rsidR="00086FFD">
        <w:rPr>
          <w:rFonts w:ascii="Arial" w:eastAsiaTheme="minorHAnsi" w:hAnsi="Arial"/>
        </w:rPr>
        <w:t xml:space="preserve"> </w:t>
      </w:r>
      <w:r w:rsidR="00495C21">
        <w:rPr>
          <w:rFonts w:ascii="Arial" w:eastAsiaTheme="minorHAnsi" w:hAnsi="Arial"/>
        </w:rPr>
        <w:t>There is also a chapter on reforms being led by the Australian Building Codes Board (ABCB).</w:t>
      </w:r>
    </w:p>
    <w:p w14:paraId="5DA6397A" w14:textId="77777777" w:rsidR="007B5515" w:rsidRPr="000E1ADB" w:rsidRDefault="007B5515" w:rsidP="00354C8F">
      <w:pPr>
        <w:pStyle w:val="Heading2"/>
      </w:pPr>
      <w:bookmarkStart w:id="14" w:name="_Toc536714963"/>
      <w:bookmarkStart w:id="15" w:name="_Toc3991422"/>
      <w:r w:rsidRPr="000E1ADB">
        <w:t xml:space="preserve">National priority </w:t>
      </w:r>
      <w:bookmarkEnd w:id="14"/>
      <w:r w:rsidRPr="000E1ADB">
        <w:t>reforms</w:t>
      </w:r>
      <w:bookmarkEnd w:id="15"/>
    </w:p>
    <w:p w14:paraId="4CF7D2AA" w14:textId="1CDA3BA3" w:rsidR="007B5515" w:rsidRDefault="007B5515" w:rsidP="000E1ADB">
      <w:pPr>
        <w:rPr>
          <w:rFonts w:ascii="Arial" w:eastAsiaTheme="minorHAnsi" w:hAnsi="Arial"/>
        </w:rPr>
      </w:pPr>
      <w:r w:rsidRPr="000E1ADB">
        <w:rPr>
          <w:rFonts w:ascii="Arial" w:eastAsiaTheme="minorHAnsi" w:hAnsi="Arial"/>
        </w:rPr>
        <w:t>The BMF prioritised six recommendations that would benefit from a consistent national approach.</w:t>
      </w:r>
      <w:r w:rsidR="00086FFD">
        <w:rPr>
          <w:rFonts w:ascii="Arial" w:eastAsiaTheme="minorHAnsi" w:hAnsi="Arial"/>
        </w:rPr>
        <w:t xml:space="preserve"> </w:t>
      </w:r>
      <w:r w:rsidRPr="000E1ADB">
        <w:rPr>
          <w:rFonts w:ascii="Arial" w:eastAsiaTheme="minorHAnsi" w:hAnsi="Arial"/>
        </w:rPr>
        <w:t>These priorities address integrity of building surveyors, responsibilities of design practitioners, and consistent registration and training requirements for building pract</w:t>
      </w:r>
      <w:r w:rsidR="003D3F57">
        <w:rPr>
          <w:rFonts w:ascii="Arial" w:eastAsiaTheme="minorHAnsi" w:hAnsi="Arial"/>
        </w:rPr>
        <w:t>itioners (recommendations 1, 2,</w:t>
      </w:r>
      <w:r w:rsidR="003D3F57">
        <w:rPr>
          <w:rFonts w:ascii="Arial" w:eastAsiaTheme="minorHAnsi" w:hAnsi="Arial"/>
        </w:rPr>
        <w:br/>
      </w:r>
      <w:r w:rsidRPr="000E1ADB">
        <w:rPr>
          <w:rFonts w:ascii="Arial" w:eastAsiaTheme="minorHAnsi" w:hAnsi="Arial"/>
        </w:rPr>
        <w:t>9–11</w:t>
      </w:r>
      <w:r w:rsidR="00B17189">
        <w:rPr>
          <w:rFonts w:ascii="Arial" w:eastAsiaTheme="minorHAnsi" w:hAnsi="Arial"/>
        </w:rPr>
        <w:t>,</w:t>
      </w:r>
      <w:r w:rsidRPr="000E1ADB">
        <w:rPr>
          <w:rFonts w:ascii="Arial" w:eastAsiaTheme="minorHAnsi" w:hAnsi="Arial"/>
        </w:rPr>
        <w:t xml:space="preserve"> and 13).</w:t>
      </w:r>
      <w:r w:rsidR="002F5940">
        <w:rPr>
          <w:rFonts w:ascii="Arial" w:eastAsiaTheme="minorHAnsi" w:hAnsi="Arial"/>
        </w:rPr>
        <w:t xml:space="preserve"> </w:t>
      </w:r>
    </w:p>
    <w:p w14:paraId="23A4F161" w14:textId="3174CB8D" w:rsidR="002F5940" w:rsidRPr="000E1ADB" w:rsidRDefault="00E4691E" w:rsidP="000E1ADB">
      <w:pPr>
        <w:rPr>
          <w:rFonts w:ascii="Arial" w:eastAsiaTheme="minorHAnsi" w:hAnsi="Arial"/>
        </w:rPr>
      </w:pPr>
      <w:r w:rsidRPr="00B17189">
        <w:rPr>
          <w:rFonts w:ascii="Arial" w:eastAsiaTheme="minorHAnsi" w:hAnsi="Arial"/>
        </w:rPr>
        <w:t>The ABCB will lead work on a further five recommendations, taking a</w:t>
      </w:r>
      <w:r w:rsidR="002F5940" w:rsidRPr="00B17189">
        <w:rPr>
          <w:rFonts w:ascii="Arial" w:eastAsiaTheme="minorHAnsi" w:hAnsi="Arial"/>
        </w:rPr>
        <w:t xml:space="preserve"> national approach</w:t>
      </w:r>
      <w:r w:rsidRPr="00B17189">
        <w:rPr>
          <w:rFonts w:ascii="Arial" w:eastAsiaTheme="minorHAnsi" w:hAnsi="Arial"/>
        </w:rPr>
        <w:t xml:space="preserve"> </w:t>
      </w:r>
      <w:r w:rsidR="009C6385" w:rsidRPr="00B17189">
        <w:rPr>
          <w:rFonts w:ascii="Arial" w:eastAsiaTheme="minorHAnsi" w:hAnsi="Arial"/>
        </w:rPr>
        <w:t>(recommendations 2, 3, 8, 14 and 22)</w:t>
      </w:r>
      <w:r w:rsidR="002F5940" w:rsidRPr="00B17189">
        <w:rPr>
          <w:rFonts w:ascii="Arial" w:eastAsiaTheme="minorHAnsi" w:hAnsi="Arial"/>
        </w:rPr>
        <w:t xml:space="preserve">. These recommendations </w:t>
      </w:r>
      <w:r w:rsidRPr="00B17189">
        <w:rPr>
          <w:rFonts w:ascii="Arial" w:eastAsiaTheme="minorHAnsi" w:hAnsi="Arial"/>
        </w:rPr>
        <w:t>address</w:t>
      </w:r>
      <w:r w:rsidR="009C6385" w:rsidRPr="00B17189">
        <w:rPr>
          <w:rFonts w:ascii="Arial" w:eastAsiaTheme="minorHAnsi" w:hAnsi="Arial"/>
        </w:rPr>
        <w:t xml:space="preserve"> </w:t>
      </w:r>
      <w:r w:rsidR="002F5940" w:rsidRPr="00B17189">
        <w:rPr>
          <w:rFonts w:ascii="Arial" w:eastAsiaTheme="minorHAnsi" w:hAnsi="Arial"/>
        </w:rPr>
        <w:t>education and training initiatives, the suitability of the International Fire Engineering Guidelines, the development of Performance Solutions Guidelines</w:t>
      </w:r>
      <w:r w:rsidR="00B17189" w:rsidRPr="00B17189">
        <w:rPr>
          <w:rFonts w:ascii="Arial" w:eastAsiaTheme="minorHAnsi" w:hAnsi="Arial"/>
        </w:rPr>
        <w:t>,</w:t>
      </w:r>
      <w:r w:rsidR="002F5940" w:rsidRPr="00B17189">
        <w:rPr>
          <w:rFonts w:ascii="Arial" w:eastAsiaTheme="minorHAnsi" w:hAnsi="Arial"/>
        </w:rPr>
        <w:t xml:space="preserve"> and a national dictionary of terminology.</w:t>
      </w:r>
      <w:r w:rsidR="002F5940">
        <w:rPr>
          <w:rFonts w:ascii="Arial" w:eastAsiaTheme="minorHAnsi" w:hAnsi="Arial"/>
        </w:rPr>
        <w:t xml:space="preserve"> </w:t>
      </w:r>
    </w:p>
    <w:p w14:paraId="5A599953" w14:textId="77777777" w:rsidR="007B5515" w:rsidRPr="000E1ADB" w:rsidRDefault="007B5515" w:rsidP="007B5515">
      <w:pPr>
        <w:rPr>
          <w:rFonts w:ascii="Arial" w:eastAsiaTheme="minorHAnsi" w:hAnsi="Arial"/>
        </w:rPr>
      </w:pPr>
      <w:r w:rsidRPr="000E1ADB">
        <w:rPr>
          <w:rFonts w:ascii="Arial" w:eastAsiaTheme="minorHAnsi" w:hAnsi="Arial"/>
        </w:rPr>
        <w:t xml:space="preserve">National does not mean a one-size-fits-all approach—but it does mean all jurisdictions will consider adopting reforms consistent with those in place or proposed in other jurisdictions, to maximise consistency of the overall response. </w:t>
      </w:r>
    </w:p>
    <w:p w14:paraId="3A5BEFA0" w14:textId="1637F3CE" w:rsidR="007B5515" w:rsidRPr="000E1ADB" w:rsidRDefault="007B5515" w:rsidP="007B5515">
      <w:pPr>
        <w:rPr>
          <w:rFonts w:ascii="Arial" w:eastAsiaTheme="minorHAnsi" w:hAnsi="Arial"/>
        </w:rPr>
      </w:pPr>
      <w:r w:rsidRPr="000E1ADB">
        <w:rPr>
          <w:rFonts w:ascii="Arial" w:eastAsiaTheme="minorHAnsi" w:hAnsi="Arial"/>
        </w:rPr>
        <w:t>The Senior Officers’ Group (SOG) has scoped the priority projects, based on a comparative analysis of each jurisdiction’s regulatory model, to determine the current measures in place that address the recommendations, the extent of differences in legislative/regulatory systems and possibilities for further alignment.</w:t>
      </w:r>
      <w:r w:rsidR="00086FFD">
        <w:rPr>
          <w:rFonts w:ascii="Arial" w:eastAsiaTheme="minorHAnsi" w:hAnsi="Arial"/>
        </w:rPr>
        <w:t xml:space="preserve"> </w:t>
      </w:r>
      <w:r w:rsidRPr="000E1ADB">
        <w:rPr>
          <w:rFonts w:ascii="Arial" w:eastAsiaTheme="minorHAnsi" w:hAnsi="Arial"/>
        </w:rPr>
        <w:t xml:space="preserve">Wherever possible, jurisdictions will adopt reforms consistent with those in place or proposed in other jurisdictions. </w:t>
      </w:r>
    </w:p>
    <w:p w14:paraId="3F7078CB" w14:textId="18DE4FB7" w:rsidR="002F5940" w:rsidRPr="002F5940" w:rsidRDefault="007B5515" w:rsidP="002F5940">
      <w:pPr>
        <w:rPr>
          <w:rFonts w:ascii="Arial" w:eastAsiaTheme="minorHAnsi" w:hAnsi="Arial"/>
        </w:rPr>
      </w:pPr>
      <w:r w:rsidRPr="000E1ADB">
        <w:rPr>
          <w:rFonts w:ascii="Arial" w:eastAsiaTheme="minorHAnsi" w:hAnsi="Arial"/>
        </w:rPr>
        <w:t xml:space="preserve">The coordinating bodies identified in </w:t>
      </w:r>
      <w:r w:rsidRPr="000E1ADB">
        <w:rPr>
          <w:rFonts w:ascii="Arial" w:eastAsiaTheme="minorHAnsi" w:hAnsi="Arial"/>
          <w:b/>
        </w:rPr>
        <w:t>Table 1</w:t>
      </w:r>
      <w:r w:rsidRPr="000E1ADB">
        <w:rPr>
          <w:rFonts w:ascii="Arial" w:eastAsiaTheme="minorHAnsi" w:hAnsi="Arial"/>
        </w:rPr>
        <w:t xml:space="preserve"> (SOG, ABCB and the Building Regulators’ Forum (BRF)) will provide progress reports to the BMF to give confidence to Ministers and the Australian community that systemic issues in the building industry are being addressed in a timely way. </w:t>
      </w:r>
    </w:p>
    <w:p w14:paraId="7229FC07" w14:textId="77777777" w:rsidR="007B5515" w:rsidRPr="000E1ADB" w:rsidRDefault="007B5515" w:rsidP="00354C8F">
      <w:pPr>
        <w:pStyle w:val="Heading2"/>
      </w:pPr>
      <w:bookmarkStart w:id="16" w:name="_Toc3991423"/>
      <w:r w:rsidRPr="000E1ADB">
        <w:t>Industry involvement</w:t>
      </w:r>
      <w:bookmarkEnd w:id="16"/>
    </w:p>
    <w:p w14:paraId="4FB693A6" w14:textId="2A0F9024" w:rsidR="007B5515" w:rsidRPr="000E1ADB" w:rsidRDefault="007B5515" w:rsidP="007B5515">
      <w:pPr>
        <w:rPr>
          <w:rFonts w:ascii="Arial" w:eastAsiaTheme="minorHAnsi" w:hAnsi="Arial"/>
        </w:rPr>
      </w:pPr>
      <w:r w:rsidRPr="000E1ADB">
        <w:rPr>
          <w:rFonts w:ascii="Arial" w:eastAsiaTheme="minorHAnsi" w:hAnsi="Arial"/>
        </w:rPr>
        <w:t>The BMF will work closely with industry peak bodies and professional associations to implement recommendations, in particular those addressing professional dev</w:t>
      </w:r>
      <w:r w:rsidR="003D3F57">
        <w:rPr>
          <w:rFonts w:ascii="Arial" w:eastAsiaTheme="minorHAnsi" w:hAnsi="Arial"/>
        </w:rPr>
        <w:t>elopment, career pathways, post</w:t>
      </w:r>
      <w:r w:rsidR="003D3F57">
        <w:rPr>
          <w:rFonts w:ascii="Arial" w:eastAsiaTheme="minorHAnsi" w:hAnsi="Arial"/>
        </w:rPr>
        <w:noBreakHyphen/>
      </w:r>
      <w:r w:rsidRPr="000E1ADB">
        <w:rPr>
          <w:rFonts w:ascii="Arial" w:eastAsiaTheme="minorHAnsi" w:hAnsi="Arial"/>
        </w:rPr>
        <w:t xml:space="preserve">construction information management and the approval and review of designs/performance solutions (recommendations 3, 4, 15–17, and 20). </w:t>
      </w:r>
    </w:p>
    <w:p w14:paraId="383BC842" w14:textId="632D4667" w:rsidR="00527ACC" w:rsidRPr="0004086E" w:rsidRDefault="007B5515" w:rsidP="0004086E">
      <w:pPr>
        <w:rPr>
          <w:rFonts w:ascii="Arial" w:eastAsiaTheme="minorHAnsi" w:hAnsi="Arial"/>
        </w:rPr>
      </w:pPr>
      <w:r w:rsidRPr="000E1ADB">
        <w:rPr>
          <w:rFonts w:ascii="Arial" w:eastAsiaTheme="minorHAnsi" w:hAnsi="Arial"/>
        </w:rPr>
        <w:t>Jurisdictions and coordinating bodies will engage industry as needed, including through workshops, reform working groups and written submissions.</w:t>
      </w:r>
    </w:p>
    <w:p w14:paraId="21C73D25" w14:textId="77777777" w:rsidR="007B5515" w:rsidRPr="000E1ADB" w:rsidRDefault="007B5515" w:rsidP="00354C8F">
      <w:pPr>
        <w:pStyle w:val="Heading2"/>
      </w:pPr>
      <w:bookmarkStart w:id="17" w:name="_Toc3991424"/>
      <w:r w:rsidRPr="000E1ADB">
        <w:t>Timeframes</w:t>
      </w:r>
      <w:bookmarkEnd w:id="17"/>
      <w:r w:rsidRPr="000E1ADB">
        <w:t xml:space="preserve"> </w:t>
      </w:r>
    </w:p>
    <w:p w14:paraId="73818B6E" w14:textId="77777777" w:rsidR="007B5515" w:rsidRPr="000E1ADB" w:rsidRDefault="007B5515" w:rsidP="007B5515">
      <w:pPr>
        <w:rPr>
          <w:rFonts w:ascii="Arial" w:eastAsiaTheme="minorHAnsi" w:hAnsi="Arial"/>
        </w:rPr>
      </w:pPr>
      <w:r w:rsidRPr="000E1ADB">
        <w:rPr>
          <w:rFonts w:ascii="Arial" w:eastAsiaTheme="minorHAnsi" w:hAnsi="Arial"/>
        </w:rPr>
        <w:t>State and territory timeframes take into account factors such as:</w:t>
      </w:r>
    </w:p>
    <w:p w14:paraId="4BCEF6BE" w14:textId="77777777" w:rsidR="007B5515" w:rsidRPr="002E65AB" w:rsidRDefault="007B5515" w:rsidP="002E65AB">
      <w:pPr>
        <w:numPr>
          <w:ilvl w:val="0"/>
          <w:numId w:val="7"/>
        </w:numPr>
        <w:spacing w:before="120" w:after="120"/>
        <w:ind w:left="426" w:hanging="426"/>
        <w:rPr>
          <w:rFonts w:ascii="Arial" w:eastAsiaTheme="minorHAnsi" w:hAnsi="Arial"/>
        </w:rPr>
      </w:pPr>
      <w:r w:rsidRPr="002E65AB">
        <w:rPr>
          <w:rFonts w:ascii="Arial" w:eastAsiaTheme="minorHAnsi" w:hAnsi="Arial"/>
        </w:rPr>
        <w:t>mitigating risks to public safety</w:t>
      </w:r>
    </w:p>
    <w:p w14:paraId="5DDCB38F" w14:textId="77777777" w:rsidR="007B5515" w:rsidRPr="002E65AB" w:rsidRDefault="007B5515" w:rsidP="002E65AB">
      <w:pPr>
        <w:numPr>
          <w:ilvl w:val="0"/>
          <w:numId w:val="7"/>
        </w:numPr>
        <w:spacing w:before="120" w:after="120"/>
        <w:ind w:left="426" w:hanging="426"/>
        <w:rPr>
          <w:rFonts w:ascii="Arial" w:eastAsiaTheme="minorHAnsi" w:hAnsi="Arial"/>
        </w:rPr>
      </w:pPr>
      <w:r w:rsidRPr="002E65AB">
        <w:rPr>
          <w:rFonts w:ascii="Arial" w:eastAsiaTheme="minorHAnsi" w:hAnsi="Arial"/>
        </w:rPr>
        <w:t>the extent of work required by each jurisdiction to give effect to the recommendations</w:t>
      </w:r>
    </w:p>
    <w:p w14:paraId="76E15B4C" w14:textId="77777777" w:rsidR="007B5515" w:rsidRPr="002E65AB" w:rsidRDefault="007B5515" w:rsidP="002E65AB">
      <w:pPr>
        <w:numPr>
          <w:ilvl w:val="0"/>
          <w:numId w:val="7"/>
        </w:numPr>
        <w:spacing w:before="120" w:after="120"/>
        <w:ind w:left="426" w:hanging="426"/>
        <w:rPr>
          <w:rFonts w:ascii="Arial" w:eastAsiaTheme="minorHAnsi" w:hAnsi="Arial"/>
        </w:rPr>
      </w:pPr>
      <w:r w:rsidRPr="002E65AB">
        <w:rPr>
          <w:rFonts w:ascii="Arial" w:eastAsiaTheme="minorHAnsi" w:hAnsi="Arial"/>
        </w:rPr>
        <w:t>the importance of the recommendation to the overarching goal of a more robust regulatory system</w:t>
      </w:r>
    </w:p>
    <w:p w14:paraId="3E787775" w14:textId="77777777" w:rsidR="007B5515" w:rsidRPr="002E65AB" w:rsidRDefault="007B5515" w:rsidP="002E65AB">
      <w:pPr>
        <w:numPr>
          <w:ilvl w:val="0"/>
          <w:numId w:val="7"/>
        </w:numPr>
        <w:spacing w:before="120" w:after="120"/>
        <w:ind w:left="426" w:hanging="426"/>
        <w:rPr>
          <w:rFonts w:ascii="Arial" w:eastAsiaTheme="minorHAnsi" w:hAnsi="Arial"/>
        </w:rPr>
      </w:pPr>
      <w:r w:rsidRPr="002E65AB">
        <w:rPr>
          <w:rFonts w:ascii="Arial" w:eastAsiaTheme="minorHAnsi" w:hAnsi="Arial"/>
        </w:rPr>
        <w:t>sequencing of work – i.e. whether the recommendation needs to be implemented before, after or at the same time as another one</w:t>
      </w:r>
    </w:p>
    <w:p w14:paraId="3C49C317" w14:textId="2E8B9F4B" w:rsidR="00D76558" w:rsidRDefault="007B5515" w:rsidP="002E65AB">
      <w:pPr>
        <w:numPr>
          <w:ilvl w:val="0"/>
          <w:numId w:val="7"/>
        </w:numPr>
        <w:spacing w:before="120" w:after="120"/>
        <w:ind w:left="426" w:hanging="426"/>
      </w:pPr>
      <w:r w:rsidRPr="002E65AB">
        <w:rPr>
          <w:rFonts w:ascii="Arial" w:eastAsiaTheme="minorHAnsi" w:hAnsi="Arial"/>
        </w:rPr>
        <w:t>industry feedback (and in some cases, research findings).</w:t>
      </w:r>
      <w:r w:rsidR="00D76558">
        <w:br w:type="page"/>
      </w:r>
    </w:p>
    <w:p w14:paraId="3C49C318" w14:textId="77777777" w:rsidR="00EC1E4B" w:rsidRDefault="00EC1E4B" w:rsidP="00D76558">
      <w:pPr>
        <w:sectPr w:rsidR="00EC1E4B" w:rsidSect="00B149F8">
          <w:headerReference w:type="default" r:id="rId13"/>
          <w:footerReference w:type="default" r:id="rId14"/>
          <w:pgSz w:w="11906" w:h="16838"/>
          <w:pgMar w:top="1276" w:right="851" w:bottom="1276" w:left="1276" w:header="510" w:footer="510" w:gutter="0"/>
          <w:pgNumType w:start="1"/>
          <w:cols w:space="708"/>
          <w:titlePg/>
          <w:docGrid w:linePitch="360"/>
        </w:sectPr>
      </w:pPr>
    </w:p>
    <w:p w14:paraId="6A979A44" w14:textId="77777777" w:rsidR="005C7A68" w:rsidRDefault="005C7A68" w:rsidP="00704A52">
      <w:pPr>
        <w:pStyle w:val="Heading2"/>
        <w:spacing w:after="80"/>
      </w:pPr>
      <w:bookmarkStart w:id="18" w:name="_Toc3991425"/>
      <w:bookmarkStart w:id="19" w:name="_Toc536714967"/>
      <w:r>
        <w:lastRenderedPageBreak/>
        <w:t>Recommendations</w:t>
      </w:r>
      <w:bookmarkEnd w:id="18"/>
    </w:p>
    <w:p w14:paraId="3C49C319" w14:textId="550610B2" w:rsidR="00D76558" w:rsidRPr="00704A52" w:rsidRDefault="00EC1E4B" w:rsidP="00704A52">
      <w:pPr>
        <w:rPr>
          <w:rFonts w:ascii="Arial" w:hAnsi="Arial" w:cs="Arial"/>
          <w:sz w:val="28"/>
          <w:szCs w:val="28"/>
        </w:rPr>
      </w:pPr>
      <w:r w:rsidRPr="00704A52">
        <w:rPr>
          <w:rFonts w:ascii="Arial" w:hAnsi="Arial" w:cs="Arial"/>
          <w:sz w:val="28"/>
          <w:szCs w:val="28"/>
        </w:rPr>
        <w:t xml:space="preserve">Table 1: </w:t>
      </w:r>
      <w:r w:rsidR="00C65B8C" w:rsidRPr="00704A52">
        <w:rPr>
          <w:rFonts w:ascii="Arial" w:hAnsi="Arial" w:cs="Arial"/>
          <w:sz w:val="28"/>
          <w:szCs w:val="28"/>
        </w:rPr>
        <w:t xml:space="preserve">Snapshot </w:t>
      </w:r>
      <w:r w:rsidRPr="00704A52">
        <w:rPr>
          <w:rFonts w:ascii="Arial" w:hAnsi="Arial" w:cs="Arial"/>
          <w:sz w:val="28"/>
          <w:szCs w:val="28"/>
        </w:rPr>
        <w:t xml:space="preserve">of </w:t>
      </w:r>
      <w:bookmarkEnd w:id="19"/>
      <w:r w:rsidR="008030F7" w:rsidRPr="00704A52">
        <w:rPr>
          <w:rFonts w:ascii="Arial" w:hAnsi="Arial" w:cs="Arial"/>
          <w:sz w:val="28"/>
          <w:szCs w:val="28"/>
        </w:rPr>
        <w:t>jurisdiction’s position</w:t>
      </w:r>
      <w:r w:rsidR="003D3F57" w:rsidRPr="00704A52">
        <w:rPr>
          <w:rFonts w:ascii="Arial" w:hAnsi="Arial" w:cs="Arial"/>
          <w:sz w:val="28"/>
          <w:szCs w:val="28"/>
        </w:rPr>
        <w:t>s</w:t>
      </w:r>
      <w:r w:rsidR="008030F7" w:rsidRPr="00704A52">
        <w:rPr>
          <w:rFonts w:ascii="Arial" w:hAnsi="Arial" w:cs="Arial"/>
          <w:sz w:val="28"/>
          <w:szCs w:val="28"/>
        </w:rPr>
        <w:t xml:space="preserve"> by recommendation</w:t>
      </w:r>
    </w:p>
    <w:tbl>
      <w:tblPr>
        <w:tblW w:w="15900" w:type="dxa"/>
        <w:tblInd w:w="-856"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CellMar>
          <w:top w:w="57" w:type="dxa"/>
          <w:left w:w="119" w:type="dxa"/>
          <w:bottom w:w="28" w:type="dxa"/>
          <w:right w:w="119" w:type="dxa"/>
        </w:tblCellMar>
        <w:tblLook w:val="01E0" w:firstRow="1" w:lastRow="1" w:firstColumn="1" w:lastColumn="1" w:noHBand="0" w:noVBand="0"/>
      </w:tblPr>
      <w:tblGrid>
        <w:gridCol w:w="3828"/>
        <w:gridCol w:w="4961"/>
        <w:gridCol w:w="993"/>
        <w:gridCol w:w="850"/>
        <w:gridCol w:w="672"/>
        <w:gridCol w:w="656"/>
        <w:gridCol w:w="655"/>
        <w:gridCol w:w="656"/>
        <w:gridCol w:w="656"/>
        <w:gridCol w:w="655"/>
        <w:gridCol w:w="656"/>
        <w:gridCol w:w="656"/>
        <w:gridCol w:w="6"/>
      </w:tblGrid>
      <w:tr w:rsidR="005C1D6B" w:rsidRPr="00EA0CDC" w14:paraId="3C49C322" w14:textId="77777777" w:rsidTr="007B46F4">
        <w:trPr>
          <w:trHeight w:val="293"/>
          <w:tblHeader/>
        </w:trPr>
        <w:tc>
          <w:tcPr>
            <w:tcW w:w="8789" w:type="dxa"/>
            <w:gridSpan w:val="2"/>
            <w:vMerge w:val="restart"/>
            <w:shd w:val="clear" w:color="auto" w:fill="005677"/>
            <w:vAlign w:val="center"/>
          </w:tcPr>
          <w:p w14:paraId="3C49C31A" w14:textId="77777777" w:rsidR="005C1D6B" w:rsidRPr="00822C48" w:rsidRDefault="005C1D6B" w:rsidP="007B46F4">
            <w:pPr>
              <w:spacing w:after="0" w:line="240" w:lineRule="auto"/>
              <w:jc w:val="center"/>
              <w:rPr>
                <w:b/>
                <w:bCs/>
                <w:sz w:val="20"/>
                <w:szCs w:val="18"/>
              </w:rPr>
            </w:pPr>
            <w:r w:rsidRPr="00822C48">
              <w:rPr>
                <w:rFonts w:ascii="Arial" w:eastAsiaTheme="minorHAnsi" w:hAnsi="Arial"/>
                <w:b/>
                <w:bCs/>
                <w:color w:val="FFFFFF" w:themeColor="background1"/>
              </w:rPr>
              <w:t>Building Confidence</w:t>
            </w:r>
            <w:r w:rsidRPr="00822C48">
              <w:rPr>
                <w:b/>
                <w:bCs/>
                <w:sz w:val="20"/>
                <w:szCs w:val="18"/>
              </w:rPr>
              <w:t xml:space="preserve"> </w:t>
            </w:r>
            <w:r w:rsidRPr="00822C48">
              <w:rPr>
                <w:rFonts w:ascii="Arial" w:eastAsiaTheme="minorHAnsi" w:hAnsi="Arial"/>
                <w:b/>
                <w:bCs/>
                <w:color w:val="FFFFFF" w:themeColor="background1"/>
              </w:rPr>
              <w:t>Report Recommendation</w:t>
            </w:r>
          </w:p>
        </w:tc>
        <w:tc>
          <w:tcPr>
            <w:tcW w:w="993" w:type="dxa"/>
            <w:vMerge w:val="restart"/>
            <w:shd w:val="clear" w:color="auto" w:fill="005677"/>
            <w:vAlign w:val="center"/>
          </w:tcPr>
          <w:p w14:paraId="3C49C31B" w14:textId="7D478D0C" w:rsidR="005C1D6B" w:rsidRPr="00822C48" w:rsidRDefault="005C1D6B" w:rsidP="007B46F4">
            <w:pPr>
              <w:spacing w:after="0" w:line="240" w:lineRule="auto"/>
              <w:jc w:val="center"/>
              <w:rPr>
                <w:rFonts w:ascii="Arial" w:eastAsiaTheme="minorHAnsi" w:hAnsi="Arial"/>
                <w:b/>
                <w:bCs/>
                <w:color w:val="FFFFFF" w:themeColor="background1"/>
                <w:sz w:val="18"/>
                <w:szCs w:val="18"/>
              </w:rPr>
            </w:pPr>
            <w:r w:rsidRPr="00822C48">
              <w:rPr>
                <w:rFonts w:ascii="Arial" w:eastAsiaTheme="minorHAnsi" w:hAnsi="Arial"/>
                <w:b/>
                <w:bCs/>
                <w:color w:val="FFFFFF" w:themeColor="background1"/>
                <w:sz w:val="18"/>
                <w:szCs w:val="18"/>
              </w:rPr>
              <w:t>BMF priority</w:t>
            </w:r>
          </w:p>
        </w:tc>
        <w:tc>
          <w:tcPr>
            <w:tcW w:w="850" w:type="dxa"/>
            <w:vMerge w:val="restart"/>
            <w:shd w:val="clear" w:color="auto" w:fill="005677"/>
            <w:vAlign w:val="center"/>
          </w:tcPr>
          <w:p w14:paraId="1BAD2A8A" w14:textId="77777777" w:rsidR="005C1D6B" w:rsidRPr="00822C48" w:rsidRDefault="005C1D6B" w:rsidP="007B46F4">
            <w:pPr>
              <w:spacing w:after="0" w:line="240" w:lineRule="auto"/>
              <w:jc w:val="center"/>
              <w:rPr>
                <w:rFonts w:ascii="Arial" w:eastAsiaTheme="minorHAnsi" w:hAnsi="Arial"/>
                <w:b/>
                <w:bCs/>
                <w:color w:val="FFFFFF" w:themeColor="background1"/>
                <w:sz w:val="18"/>
                <w:szCs w:val="18"/>
              </w:rPr>
            </w:pPr>
            <w:r w:rsidRPr="00822C48">
              <w:rPr>
                <w:rFonts w:ascii="Arial" w:eastAsiaTheme="minorHAnsi" w:hAnsi="Arial"/>
                <w:b/>
                <w:bCs/>
                <w:color w:val="FFFFFF" w:themeColor="background1"/>
                <w:sz w:val="18"/>
                <w:szCs w:val="18"/>
              </w:rPr>
              <w:t>Coord</w:t>
            </w:r>
          </w:p>
          <w:p w14:paraId="3C49C31D" w14:textId="5D45A900" w:rsidR="005C1D6B" w:rsidRPr="00822C48" w:rsidRDefault="005C1D6B" w:rsidP="007B46F4">
            <w:pPr>
              <w:spacing w:after="0" w:line="240" w:lineRule="auto"/>
              <w:jc w:val="center"/>
              <w:rPr>
                <w:rFonts w:ascii="Arial" w:eastAsiaTheme="minorHAnsi" w:hAnsi="Arial"/>
                <w:b/>
                <w:bCs/>
                <w:color w:val="FFFFFF" w:themeColor="background1"/>
              </w:rPr>
            </w:pPr>
            <w:r w:rsidRPr="00822C48">
              <w:rPr>
                <w:rFonts w:ascii="Arial" w:eastAsiaTheme="minorHAnsi" w:hAnsi="Arial"/>
                <w:b/>
                <w:bCs/>
                <w:color w:val="FFFFFF" w:themeColor="background1"/>
                <w:sz w:val="18"/>
                <w:szCs w:val="18"/>
              </w:rPr>
              <w:t>Body</w:t>
            </w:r>
          </w:p>
        </w:tc>
        <w:tc>
          <w:tcPr>
            <w:tcW w:w="5268" w:type="dxa"/>
            <w:gridSpan w:val="9"/>
            <w:shd w:val="clear" w:color="auto" w:fill="005677"/>
          </w:tcPr>
          <w:p w14:paraId="4789C196" w14:textId="77777777" w:rsidR="005C1D6B" w:rsidRPr="00822C48" w:rsidRDefault="005C1D6B" w:rsidP="007B46F4">
            <w:pPr>
              <w:spacing w:after="0" w:line="240" w:lineRule="auto"/>
              <w:jc w:val="center"/>
              <w:rPr>
                <w:rFonts w:ascii="Arial" w:eastAsiaTheme="minorHAnsi" w:hAnsi="Arial"/>
                <w:b/>
                <w:bCs/>
                <w:color w:val="FFFFFF" w:themeColor="background1"/>
              </w:rPr>
            </w:pPr>
            <w:r w:rsidRPr="00822C48">
              <w:rPr>
                <w:rFonts w:ascii="Arial" w:eastAsiaTheme="minorHAnsi" w:hAnsi="Arial"/>
                <w:b/>
                <w:bCs/>
                <w:color w:val="FFFFFF" w:themeColor="background1"/>
              </w:rPr>
              <w:t>Jurisdiction position</w:t>
            </w:r>
          </w:p>
          <w:p w14:paraId="0AD47AED" w14:textId="0F4F590F" w:rsidR="005C1D6B" w:rsidRPr="00DA6A8F" w:rsidRDefault="005C1D6B" w:rsidP="005C1D6B">
            <w:pPr>
              <w:pStyle w:val="NoSpacing"/>
              <w:rPr>
                <w:i/>
                <w:color w:val="FFFFFF" w:themeColor="background1"/>
                <w:sz w:val="18"/>
                <w:szCs w:val="18"/>
              </w:rPr>
            </w:pPr>
            <w:r w:rsidRPr="00DA6A8F">
              <w:rPr>
                <w:b/>
                <w:i/>
                <w:color w:val="FFFFFF" w:themeColor="background1"/>
                <w:sz w:val="18"/>
                <w:szCs w:val="18"/>
              </w:rPr>
              <w:t>S</w:t>
            </w:r>
            <w:r w:rsidR="00086FFD">
              <w:rPr>
                <w:b/>
                <w:i/>
                <w:color w:val="FFFFFF" w:themeColor="background1"/>
                <w:sz w:val="18"/>
                <w:szCs w:val="18"/>
              </w:rPr>
              <w:t xml:space="preserve"> </w:t>
            </w:r>
            <w:r w:rsidRPr="00DA6A8F">
              <w:rPr>
                <w:i/>
                <w:color w:val="FFFFFF" w:themeColor="background1"/>
                <w:sz w:val="18"/>
                <w:szCs w:val="18"/>
              </w:rPr>
              <w:t>Support</w:t>
            </w:r>
            <w:r w:rsidRPr="00DA6A8F">
              <w:rPr>
                <w:i/>
                <w:color w:val="FFFFFF" w:themeColor="background1"/>
                <w:sz w:val="18"/>
                <w:szCs w:val="18"/>
              </w:rPr>
              <w:tab/>
            </w:r>
            <w:r w:rsidRPr="00DA6A8F">
              <w:rPr>
                <w:i/>
                <w:color w:val="FFFFFF" w:themeColor="background1"/>
                <w:sz w:val="18"/>
                <w:szCs w:val="18"/>
              </w:rPr>
              <w:tab/>
            </w:r>
            <w:r w:rsidRPr="00DA6A8F">
              <w:rPr>
                <w:i/>
                <w:color w:val="FFFFFF" w:themeColor="background1"/>
                <w:sz w:val="18"/>
                <w:szCs w:val="18"/>
              </w:rPr>
              <w:tab/>
            </w:r>
            <w:r w:rsidRPr="00DA6A8F">
              <w:rPr>
                <w:b/>
                <w:i/>
                <w:color w:val="FFFFFF" w:themeColor="background1"/>
                <w:sz w:val="18"/>
                <w:szCs w:val="18"/>
              </w:rPr>
              <w:t>IPS</w:t>
            </w:r>
            <w:r w:rsidR="00086FFD">
              <w:rPr>
                <w:b/>
                <w:i/>
                <w:color w:val="FFFFFF" w:themeColor="background1"/>
                <w:sz w:val="18"/>
                <w:szCs w:val="18"/>
              </w:rPr>
              <w:t xml:space="preserve"> </w:t>
            </w:r>
            <w:r w:rsidRPr="00DA6A8F">
              <w:rPr>
                <w:i/>
                <w:color w:val="FFFFFF" w:themeColor="background1"/>
                <w:sz w:val="18"/>
                <w:szCs w:val="18"/>
              </w:rPr>
              <w:t>In-Principle Support</w:t>
            </w:r>
          </w:p>
          <w:p w14:paraId="147C8B00" w14:textId="023A64AC" w:rsidR="005C1D6B" w:rsidRPr="00DA6A8F" w:rsidRDefault="005C1D6B" w:rsidP="005C1D6B">
            <w:pPr>
              <w:pStyle w:val="NoSpacing"/>
              <w:rPr>
                <w:i/>
                <w:color w:val="FFFFFF" w:themeColor="background1"/>
                <w:sz w:val="18"/>
                <w:szCs w:val="18"/>
              </w:rPr>
            </w:pPr>
            <w:r w:rsidRPr="00DA6A8F">
              <w:rPr>
                <w:b/>
                <w:i/>
                <w:color w:val="FFFFFF" w:themeColor="background1"/>
                <w:sz w:val="18"/>
                <w:szCs w:val="18"/>
              </w:rPr>
              <w:t>NS</w:t>
            </w:r>
            <w:r w:rsidR="00086FFD">
              <w:rPr>
                <w:b/>
                <w:i/>
                <w:color w:val="FFFFFF" w:themeColor="background1"/>
                <w:sz w:val="18"/>
                <w:szCs w:val="18"/>
              </w:rPr>
              <w:t xml:space="preserve"> </w:t>
            </w:r>
            <w:r w:rsidRPr="00DA6A8F">
              <w:rPr>
                <w:i/>
                <w:color w:val="FFFFFF" w:themeColor="background1"/>
                <w:sz w:val="18"/>
                <w:szCs w:val="18"/>
              </w:rPr>
              <w:t xml:space="preserve">Not Supported </w:t>
            </w:r>
            <w:r w:rsidRPr="00DA6A8F">
              <w:rPr>
                <w:i/>
                <w:color w:val="FFFFFF" w:themeColor="background1"/>
                <w:sz w:val="18"/>
                <w:szCs w:val="18"/>
              </w:rPr>
              <w:tab/>
            </w:r>
            <w:r w:rsidRPr="00DA6A8F">
              <w:rPr>
                <w:i/>
                <w:color w:val="FFFFFF" w:themeColor="background1"/>
                <w:sz w:val="18"/>
                <w:szCs w:val="18"/>
              </w:rPr>
              <w:tab/>
            </w:r>
            <w:r w:rsidRPr="00DA6A8F">
              <w:rPr>
                <w:b/>
                <w:i/>
                <w:color w:val="FFFFFF" w:themeColor="background1"/>
                <w:sz w:val="18"/>
                <w:szCs w:val="18"/>
              </w:rPr>
              <w:t>UC</w:t>
            </w:r>
            <w:r w:rsidR="00086FFD">
              <w:rPr>
                <w:b/>
                <w:i/>
                <w:color w:val="FFFFFF" w:themeColor="background1"/>
                <w:sz w:val="18"/>
                <w:szCs w:val="18"/>
              </w:rPr>
              <w:t xml:space="preserve"> </w:t>
            </w:r>
            <w:r w:rsidRPr="00DA6A8F">
              <w:rPr>
                <w:i/>
                <w:color w:val="FFFFFF" w:themeColor="background1"/>
                <w:sz w:val="18"/>
                <w:szCs w:val="18"/>
              </w:rPr>
              <w:t>Under Consideration</w:t>
            </w:r>
          </w:p>
          <w:p w14:paraId="3C49C321" w14:textId="34D91341" w:rsidR="005C1D6B" w:rsidRPr="009A788D" w:rsidRDefault="005C1D6B" w:rsidP="005C1D6B">
            <w:pPr>
              <w:spacing w:after="0" w:line="240" w:lineRule="auto"/>
              <w:rPr>
                <w:rFonts w:ascii="Arial" w:eastAsiaTheme="minorHAnsi" w:hAnsi="Arial"/>
                <w:bCs/>
                <w:color w:val="FFFFFF" w:themeColor="background1"/>
              </w:rPr>
            </w:pPr>
            <w:r w:rsidRPr="00DA6A8F">
              <w:rPr>
                <w:b/>
                <w:i/>
                <w:color w:val="FFFFFF" w:themeColor="background1"/>
                <w:sz w:val="18"/>
                <w:szCs w:val="18"/>
              </w:rPr>
              <w:t>AI</w:t>
            </w:r>
            <w:r w:rsidR="00086FFD">
              <w:rPr>
                <w:b/>
                <w:i/>
                <w:color w:val="FFFFFF" w:themeColor="background1"/>
                <w:sz w:val="18"/>
                <w:szCs w:val="18"/>
              </w:rPr>
              <w:t xml:space="preserve"> </w:t>
            </w:r>
            <w:r w:rsidR="00822C48">
              <w:rPr>
                <w:i/>
                <w:color w:val="FFFFFF" w:themeColor="background1"/>
                <w:sz w:val="18"/>
                <w:szCs w:val="18"/>
              </w:rPr>
              <w:t xml:space="preserve">Already Implemented </w:t>
            </w:r>
            <w:r w:rsidR="00822C48">
              <w:rPr>
                <w:i/>
                <w:color w:val="FFFFFF" w:themeColor="background1"/>
                <w:sz w:val="18"/>
                <w:szCs w:val="18"/>
              </w:rPr>
              <w:tab/>
            </w:r>
            <w:r w:rsidRPr="00DA6A8F">
              <w:rPr>
                <w:b/>
                <w:i/>
                <w:color w:val="FFFFFF" w:themeColor="background1"/>
                <w:sz w:val="18"/>
                <w:szCs w:val="18"/>
              </w:rPr>
              <w:t>PI</w:t>
            </w:r>
            <w:r w:rsidR="00086FFD">
              <w:rPr>
                <w:b/>
                <w:i/>
                <w:color w:val="FFFFFF" w:themeColor="background1"/>
                <w:sz w:val="18"/>
                <w:szCs w:val="18"/>
              </w:rPr>
              <w:t xml:space="preserve"> </w:t>
            </w:r>
            <w:r w:rsidRPr="00DA6A8F">
              <w:rPr>
                <w:i/>
                <w:color w:val="FFFFFF" w:themeColor="background1"/>
                <w:sz w:val="18"/>
                <w:szCs w:val="18"/>
              </w:rPr>
              <w:t>Partially Implemented</w:t>
            </w:r>
          </w:p>
        </w:tc>
      </w:tr>
      <w:tr w:rsidR="00DA7C8C" w:rsidRPr="00D56CBF" w14:paraId="3C49C32E" w14:textId="77777777" w:rsidTr="007B46F4">
        <w:trPr>
          <w:gridAfter w:val="1"/>
          <w:wAfter w:w="6" w:type="dxa"/>
          <w:cantSplit/>
          <w:trHeight w:val="274"/>
          <w:tblHeader/>
        </w:trPr>
        <w:tc>
          <w:tcPr>
            <w:tcW w:w="8789" w:type="dxa"/>
            <w:gridSpan w:val="2"/>
            <w:vMerge/>
            <w:tcBorders>
              <w:bottom w:val="single" w:sz="4" w:space="0" w:color="AEAAAA" w:themeColor="background2" w:themeShade="BF"/>
            </w:tcBorders>
            <w:shd w:val="clear" w:color="auto" w:fill="005677"/>
          </w:tcPr>
          <w:p w14:paraId="3C49C323" w14:textId="77777777" w:rsidR="005C1D6B" w:rsidRPr="00DA6A8F" w:rsidRDefault="005C1D6B" w:rsidP="005C1D6B">
            <w:pPr>
              <w:spacing w:after="0" w:line="240" w:lineRule="auto"/>
              <w:rPr>
                <w:b/>
                <w:bCs/>
                <w:sz w:val="18"/>
                <w:szCs w:val="18"/>
              </w:rPr>
            </w:pPr>
          </w:p>
        </w:tc>
        <w:tc>
          <w:tcPr>
            <w:tcW w:w="993" w:type="dxa"/>
            <w:vMerge/>
            <w:shd w:val="clear" w:color="auto" w:fill="005677"/>
          </w:tcPr>
          <w:p w14:paraId="3C49C324" w14:textId="77777777" w:rsidR="005C1D6B" w:rsidRPr="009A788D" w:rsidRDefault="005C1D6B" w:rsidP="005C1D6B">
            <w:pPr>
              <w:spacing w:after="0" w:line="240" w:lineRule="auto"/>
              <w:rPr>
                <w:rFonts w:ascii="Arial" w:eastAsiaTheme="minorHAnsi" w:hAnsi="Arial"/>
                <w:bCs/>
                <w:color w:val="FFFFFF" w:themeColor="background1"/>
              </w:rPr>
            </w:pPr>
          </w:p>
        </w:tc>
        <w:tc>
          <w:tcPr>
            <w:tcW w:w="850" w:type="dxa"/>
            <w:vMerge/>
            <w:shd w:val="clear" w:color="auto" w:fill="005677"/>
          </w:tcPr>
          <w:p w14:paraId="3C49C325" w14:textId="77777777" w:rsidR="005C1D6B" w:rsidRPr="009A788D" w:rsidRDefault="005C1D6B" w:rsidP="005C1D6B">
            <w:pPr>
              <w:spacing w:after="0" w:line="240" w:lineRule="auto"/>
              <w:rPr>
                <w:rFonts w:ascii="Arial" w:eastAsiaTheme="minorHAnsi" w:hAnsi="Arial"/>
                <w:bCs/>
                <w:color w:val="FFFFFF" w:themeColor="background1"/>
              </w:rPr>
            </w:pPr>
          </w:p>
        </w:tc>
        <w:tc>
          <w:tcPr>
            <w:tcW w:w="672" w:type="dxa"/>
            <w:shd w:val="clear" w:color="auto" w:fill="005677"/>
          </w:tcPr>
          <w:p w14:paraId="3C49C326" w14:textId="77777777" w:rsidR="005C1D6B" w:rsidRPr="00822C48" w:rsidRDefault="005C1D6B" w:rsidP="005C1D6B">
            <w:pPr>
              <w:spacing w:after="0" w:line="240" w:lineRule="auto"/>
              <w:jc w:val="center"/>
              <w:rPr>
                <w:rFonts w:ascii="Arial" w:eastAsiaTheme="minorHAnsi" w:hAnsi="Arial"/>
                <w:b/>
                <w:bCs/>
                <w:color w:val="FFFFFF" w:themeColor="background1"/>
                <w:sz w:val="18"/>
              </w:rPr>
            </w:pPr>
            <w:r w:rsidRPr="00822C48">
              <w:rPr>
                <w:rFonts w:ascii="Arial" w:eastAsiaTheme="minorHAnsi" w:hAnsi="Arial"/>
                <w:b/>
                <w:bCs/>
                <w:color w:val="FFFFFF" w:themeColor="background1"/>
                <w:sz w:val="18"/>
              </w:rPr>
              <w:t>NSW</w:t>
            </w:r>
          </w:p>
        </w:tc>
        <w:tc>
          <w:tcPr>
            <w:tcW w:w="656" w:type="dxa"/>
            <w:shd w:val="clear" w:color="auto" w:fill="005677"/>
          </w:tcPr>
          <w:p w14:paraId="3C49C327" w14:textId="77777777" w:rsidR="005C1D6B" w:rsidRPr="00822C48" w:rsidRDefault="005C1D6B" w:rsidP="005C1D6B">
            <w:pPr>
              <w:spacing w:after="0" w:line="240" w:lineRule="auto"/>
              <w:jc w:val="center"/>
              <w:rPr>
                <w:rFonts w:ascii="Arial" w:eastAsiaTheme="minorHAnsi" w:hAnsi="Arial"/>
                <w:b/>
                <w:bCs/>
                <w:color w:val="FFFFFF" w:themeColor="background1"/>
                <w:sz w:val="18"/>
              </w:rPr>
            </w:pPr>
            <w:r w:rsidRPr="00822C48">
              <w:rPr>
                <w:rFonts w:ascii="Arial" w:eastAsiaTheme="minorHAnsi" w:hAnsi="Arial"/>
                <w:b/>
                <w:bCs/>
                <w:color w:val="FFFFFF" w:themeColor="background1"/>
                <w:sz w:val="18"/>
              </w:rPr>
              <w:t>Vic</w:t>
            </w:r>
          </w:p>
        </w:tc>
        <w:tc>
          <w:tcPr>
            <w:tcW w:w="655" w:type="dxa"/>
            <w:shd w:val="clear" w:color="auto" w:fill="005677"/>
          </w:tcPr>
          <w:p w14:paraId="3C49C328" w14:textId="77777777" w:rsidR="005C1D6B" w:rsidRPr="00822C48" w:rsidRDefault="005C1D6B" w:rsidP="005C1D6B">
            <w:pPr>
              <w:spacing w:after="0" w:line="240" w:lineRule="auto"/>
              <w:jc w:val="center"/>
              <w:rPr>
                <w:rFonts w:ascii="Arial" w:eastAsiaTheme="minorHAnsi" w:hAnsi="Arial"/>
                <w:b/>
                <w:bCs/>
                <w:color w:val="FFFFFF" w:themeColor="background1"/>
                <w:sz w:val="18"/>
              </w:rPr>
            </w:pPr>
            <w:r w:rsidRPr="00822C48">
              <w:rPr>
                <w:rFonts w:ascii="Arial" w:eastAsiaTheme="minorHAnsi" w:hAnsi="Arial"/>
                <w:b/>
                <w:bCs/>
                <w:color w:val="FFFFFF" w:themeColor="background1"/>
                <w:sz w:val="18"/>
              </w:rPr>
              <w:t>Qld</w:t>
            </w:r>
          </w:p>
        </w:tc>
        <w:tc>
          <w:tcPr>
            <w:tcW w:w="656" w:type="dxa"/>
            <w:shd w:val="clear" w:color="auto" w:fill="005677"/>
          </w:tcPr>
          <w:p w14:paraId="3C49C329" w14:textId="77777777" w:rsidR="005C1D6B" w:rsidRPr="00822C48" w:rsidRDefault="005C1D6B" w:rsidP="005C1D6B">
            <w:pPr>
              <w:spacing w:after="0" w:line="240" w:lineRule="auto"/>
              <w:jc w:val="center"/>
              <w:rPr>
                <w:rFonts w:ascii="Arial" w:eastAsiaTheme="minorHAnsi" w:hAnsi="Arial"/>
                <w:b/>
                <w:bCs/>
                <w:color w:val="FFFFFF" w:themeColor="background1"/>
                <w:sz w:val="18"/>
              </w:rPr>
            </w:pPr>
            <w:r w:rsidRPr="00822C48">
              <w:rPr>
                <w:rFonts w:ascii="Arial" w:eastAsiaTheme="minorHAnsi" w:hAnsi="Arial"/>
                <w:b/>
                <w:bCs/>
                <w:color w:val="FFFFFF" w:themeColor="background1"/>
                <w:sz w:val="18"/>
              </w:rPr>
              <w:t>WA</w:t>
            </w:r>
          </w:p>
        </w:tc>
        <w:tc>
          <w:tcPr>
            <w:tcW w:w="656" w:type="dxa"/>
            <w:shd w:val="clear" w:color="auto" w:fill="005677"/>
          </w:tcPr>
          <w:p w14:paraId="3C49C32A" w14:textId="77777777" w:rsidR="005C1D6B" w:rsidRPr="00822C48" w:rsidRDefault="005C1D6B" w:rsidP="005C1D6B">
            <w:pPr>
              <w:spacing w:after="0" w:line="240" w:lineRule="auto"/>
              <w:jc w:val="center"/>
              <w:rPr>
                <w:rFonts w:ascii="Arial" w:eastAsiaTheme="minorHAnsi" w:hAnsi="Arial"/>
                <w:b/>
                <w:bCs/>
                <w:color w:val="FFFFFF" w:themeColor="background1"/>
                <w:sz w:val="18"/>
              </w:rPr>
            </w:pPr>
            <w:r w:rsidRPr="00822C48">
              <w:rPr>
                <w:rFonts w:ascii="Arial" w:eastAsiaTheme="minorHAnsi" w:hAnsi="Arial"/>
                <w:b/>
                <w:bCs/>
                <w:color w:val="FFFFFF" w:themeColor="background1"/>
                <w:sz w:val="18"/>
              </w:rPr>
              <w:t>SA</w:t>
            </w:r>
          </w:p>
        </w:tc>
        <w:tc>
          <w:tcPr>
            <w:tcW w:w="655" w:type="dxa"/>
            <w:shd w:val="clear" w:color="auto" w:fill="005677"/>
          </w:tcPr>
          <w:p w14:paraId="3C49C32B" w14:textId="77777777" w:rsidR="005C1D6B" w:rsidRPr="00822C48" w:rsidRDefault="005C1D6B" w:rsidP="005C1D6B">
            <w:pPr>
              <w:spacing w:after="0" w:line="240" w:lineRule="auto"/>
              <w:jc w:val="center"/>
              <w:rPr>
                <w:rFonts w:ascii="Arial" w:eastAsiaTheme="minorHAnsi" w:hAnsi="Arial"/>
                <w:b/>
                <w:bCs/>
                <w:color w:val="FFFFFF" w:themeColor="background1"/>
                <w:sz w:val="18"/>
              </w:rPr>
            </w:pPr>
            <w:r w:rsidRPr="00822C48">
              <w:rPr>
                <w:rFonts w:ascii="Arial" w:eastAsiaTheme="minorHAnsi" w:hAnsi="Arial"/>
                <w:b/>
                <w:bCs/>
                <w:color w:val="FFFFFF" w:themeColor="background1"/>
                <w:sz w:val="18"/>
              </w:rPr>
              <w:t>Tas</w:t>
            </w:r>
          </w:p>
        </w:tc>
        <w:tc>
          <w:tcPr>
            <w:tcW w:w="656" w:type="dxa"/>
            <w:shd w:val="clear" w:color="auto" w:fill="005677"/>
          </w:tcPr>
          <w:p w14:paraId="3C49C32C" w14:textId="77777777" w:rsidR="005C1D6B" w:rsidRPr="00822C48" w:rsidRDefault="005C1D6B" w:rsidP="005C1D6B">
            <w:pPr>
              <w:spacing w:after="0" w:line="240" w:lineRule="auto"/>
              <w:jc w:val="center"/>
              <w:rPr>
                <w:rFonts w:ascii="Arial" w:eastAsiaTheme="minorHAnsi" w:hAnsi="Arial"/>
                <w:b/>
                <w:bCs/>
                <w:color w:val="FFFFFF" w:themeColor="background1"/>
                <w:sz w:val="18"/>
              </w:rPr>
            </w:pPr>
            <w:r w:rsidRPr="00822C48">
              <w:rPr>
                <w:rFonts w:ascii="Arial" w:eastAsiaTheme="minorHAnsi" w:hAnsi="Arial"/>
                <w:b/>
                <w:bCs/>
                <w:color w:val="FFFFFF" w:themeColor="background1"/>
                <w:sz w:val="18"/>
              </w:rPr>
              <w:t>ACT</w:t>
            </w:r>
          </w:p>
        </w:tc>
        <w:tc>
          <w:tcPr>
            <w:tcW w:w="656" w:type="dxa"/>
            <w:shd w:val="clear" w:color="auto" w:fill="005677"/>
          </w:tcPr>
          <w:p w14:paraId="3C49C32D" w14:textId="77777777" w:rsidR="005C1D6B" w:rsidRPr="00822C48" w:rsidRDefault="005C1D6B" w:rsidP="005C1D6B">
            <w:pPr>
              <w:spacing w:after="0" w:line="240" w:lineRule="auto"/>
              <w:jc w:val="center"/>
              <w:rPr>
                <w:rFonts w:ascii="Arial" w:eastAsiaTheme="minorHAnsi" w:hAnsi="Arial"/>
                <w:b/>
                <w:bCs/>
                <w:color w:val="FFFFFF" w:themeColor="background1"/>
                <w:sz w:val="18"/>
              </w:rPr>
            </w:pPr>
            <w:r w:rsidRPr="00822C48">
              <w:rPr>
                <w:rFonts w:ascii="Arial" w:eastAsiaTheme="minorHAnsi" w:hAnsi="Arial"/>
                <w:b/>
                <w:bCs/>
                <w:color w:val="FFFFFF" w:themeColor="background1"/>
                <w:sz w:val="18"/>
              </w:rPr>
              <w:t>NT</w:t>
            </w:r>
          </w:p>
        </w:tc>
      </w:tr>
      <w:tr w:rsidR="007B46F4" w:rsidRPr="003D4354" w14:paraId="3C49C33A" w14:textId="77777777" w:rsidTr="003D3F57">
        <w:trPr>
          <w:gridAfter w:val="1"/>
          <w:wAfter w:w="6" w:type="dxa"/>
          <w:trHeight w:val="526"/>
        </w:trPr>
        <w:tc>
          <w:tcPr>
            <w:tcW w:w="8789" w:type="dxa"/>
            <w:gridSpan w:val="2"/>
            <w:tcBorders>
              <w:bottom w:val="nil"/>
            </w:tcBorders>
            <w:shd w:val="clear" w:color="auto" w:fill="F2F2F2" w:themeFill="background1" w:themeFillShade="F2"/>
          </w:tcPr>
          <w:p w14:paraId="3C49C32F" w14:textId="21AED515"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t>That each jurisdiction requires the registration of the following categories of building practitioners involved in the design, construction and maintenance of buildings:</w:t>
            </w:r>
          </w:p>
        </w:tc>
        <w:tc>
          <w:tcPr>
            <w:tcW w:w="993" w:type="dxa"/>
            <w:vMerge w:val="restart"/>
            <w:shd w:val="clear" w:color="auto" w:fill="auto"/>
            <w:vAlign w:val="center"/>
          </w:tcPr>
          <w:p w14:paraId="3C49C330" w14:textId="245728C5" w:rsidR="0044498A" w:rsidRPr="00C7592C" w:rsidRDefault="0044498A" w:rsidP="0044498A">
            <w:pPr>
              <w:spacing w:after="0" w:line="240" w:lineRule="auto"/>
              <w:ind w:left="8"/>
              <w:jc w:val="center"/>
              <w:rPr>
                <w:sz w:val="20"/>
                <w:szCs w:val="20"/>
              </w:rPr>
            </w:pPr>
            <w:r>
              <w:rPr>
                <w:noProof/>
                <w:lang w:eastAsia="en-AU"/>
              </w:rPr>
              <w:drawing>
                <wp:inline distT="0" distB="0" distL="0" distR="0" wp14:anchorId="3EC3C085" wp14:editId="5C6B50F9">
                  <wp:extent cx="325755" cy="270510"/>
                  <wp:effectExtent l="0" t="0" r="0" b="0"/>
                  <wp:docPr id="1" name="Picture 1"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 cy="270510"/>
                          </a:xfrm>
                          <a:prstGeom prst="rect">
                            <a:avLst/>
                          </a:prstGeom>
                          <a:solidFill>
                            <a:schemeClr val="bg2"/>
                          </a:solidFill>
                          <a:ln>
                            <a:noFill/>
                          </a:ln>
                        </pic:spPr>
                      </pic:pic>
                    </a:graphicData>
                  </a:graphic>
                </wp:inline>
              </w:drawing>
            </w:r>
          </w:p>
        </w:tc>
        <w:tc>
          <w:tcPr>
            <w:tcW w:w="850" w:type="dxa"/>
            <w:vMerge w:val="restart"/>
            <w:shd w:val="clear" w:color="auto" w:fill="auto"/>
            <w:vAlign w:val="center"/>
          </w:tcPr>
          <w:p w14:paraId="3C49C331" w14:textId="5AC92D7D" w:rsidR="0044498A" w:rsidRPr="00632C72" w:rsidRDefault="0044498A" w:rsidP="0044498A">
            <w:pPr>
              <w:spacing w:after="0" w:line="240" w:lineRule="auto"/>
              <w:jc w:val="center"/>
              <w:rPr>
                <w:rFonts w:cstheme="minorHAnsi"/>
                <w:sz w:val="20"/>
                <w:szCs w:val="20"/>
              </w:rPr>
            </w:pPr>
            <w:r w:rsidRPr="00632C72">
              <w:rPr>
                <w:rFonts w:cstheme="minorHAnsi"/>
                <w:sz w:val="20"/>
                <w:szCs w:val="20"/>
              </w:rPr>
              <w:t>SOG</w:t>
            </w:r>
          </w:p>
        </w:tc>
        <w:tc>
          <w:tcPr>
            <w:tcW w:w="672" w:type="dxa"/>
            <w:vMerge w:val="restart"/>
            <w:shd w:val="clear" w:color="auto" w:fill="auto"/>
            <w:vAlign w:val="center"/>
          </w:tcPr>
          <w:p w14:paraId="3C49C332" w14:textId="7E415D64"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vMerge w:val="restart"/>
            <w:shd w:val="clear" w:color="auto" w:fill="auto"/>
            <w:vAlign w:val="center"/>
          </w:tcPr>
          <w:p w14:paraId="3C49C333" w14:textId="5F811D3E"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5" w:type="dxa"/>
            <w:vMerge w:val="restart"/>
            <w:shd w:val="clear" w:color="auto" w:fill="auto"/>
            <w:vAlign w:val="center"/>
          </w:tcPr>
          <w:p w14:paraId="3C49C334" w14:textId="2D54F9D0"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vMerge w:val="restart"/>
            <w:shd w:val="clear" w:color="auto" w:fill="auto"/>
            <w:vAlign w:val="center"/>
          </w:tcPr>
          <w:p w14:paraId="3C49C335" w14:textId="1A3FB74E" w:rsidR="0044498A" w:rsidRPr="00632C72" w:rsidRDefault="0044498A" w:rsidP="0044498A">
            <w:pPr>
              <w:spacing w:after="0" w:line="240" w:lineRule="auto"/>
              <w:jc w:val="center"/>
              <w:rPr>
                <w:rFonts w:cstheme="minorHAnsi"/>
                <w:sz w:val="20"/>
                <w:szCs w:val="20"/>
              </w:rPr>
            </w:pPr>
            <w:r>
              <w:rPr>
                <w:rFonts w:cstheme="minorHAnsi"/>
                <w:sz w:val="20"/>
                <w:szCs w:val="20"/>
              </w:rPr>
              <w:t>P</w:t>
            </w:r>
            <w:r w:rsidRPr="00632C72">
              <w:rPr>
                <w:rFonts w:cstheme="minorHAnsi"/>
                <w:sz w:val="20"/>
                <w:szCs w:val="20"/>
              </w:rPr>
              <w:t>I</w:t>
            </w:r>
          </w:p>
        </w:tc>
        <w:tc>
          <w:tcPr>
            <w:tcW w:w="656" w:type="dxa"/>
            <w:vMerge w:val="restart"/>
            <w:shd w:val="clear" w:color="auto" w:fill="auto"/>
            <w:vAlign w:val="center"/>
          </w:tcPr>
          <w:p w14:paraId="3C49C336" w14:textId="413D5ED6" w:rsidR="0044498A" w:rsidRPr="00632C72" w:rsidRDefault="0044498A" w:rsidP="0044498A">
            <w:pPr>
              <w:spacing w:after="0" w:line="240" w:lineRule="auto"/>
              <w:jc w:val="center"/>
              <w:rPr>
                <w:rFonts w:cstheme="minorHAnsi"/>
                <w:sz w:val="20"/>
                <w:szCs w:val="20"/>
              </w:rPr>
            </w:pPr>
            <w:r>
              <w:rPr>
                <w:rFonts w:cstheme="minorHAnsi"/>
                <w:sz w:val="20"/>
                <w:szCs w:val="20"/>
              </w:rPr>
              <w:t>PI</w:t>
            </w:r>
          </w:p>
        </w:tc>
        <w:tc>
          <w:tcPr>
            <w:tcW w:w="655" w:type="dxa"/>
            <w:vMerge w:val="restart"/>
            <w:shd w:val="clear" w:color="auto" w:fill="auto"/>
            <w:vAlign w:val="center"/>
          </w:tcPr>
          <w:p w14:paraId="3C49C337" w14:textId="50D9BC8E"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vMerge w:val="restart"/>
            <w:shd w:val="clear" w:color="auto" w:fill="auto"/>
            <w:vAlign w:val="center"/>
          </w:tcPr>
          <w:p w14:paraId="3C49C338" w14:textId="091ADE64" w:rsidR="0044498A" w:rsidRPr="00632C72" w:rsidRDefault="0044498A" w:rsidP="0044498A">
            <w:pPr>
              <w:spacing w:after="0" w:line="240" w:lineRule="auto"/>
              <w:jc w:val="center"/>
              <w:rPr>
                <w:rFonts w:cstheme="minorHAnsi"/>
                <w:sz w:val="20"/>
                <w:szCs w:val="20"/>
              </w:rPr>
            </w:pPr>
            <w:r>
              <w:rPr>
                <w:rFonts w:cstheme="minorHAnsi"/>
                <w:sz w:val="20"/>
                <w:szCs w:val="20"/>
              </w:rPr>
              <w:t>PI</w:t>
            </w:r>
          </w:p>
        </w:tc>
        <w:tc>
          <w:tcPr>
            <w:tcW w:w="656" w:type="dxa"/>
            <w:vMerge w:val="restart"/>
            <w:shd w:val="clear" w:color="auto" w:fill="auto"/>
            <w:vAlign w:val="center"/>
          </w:tcPr>
          <w:p w14:paraId="3C49C339" w14:textId="2D4C9BDB"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w:t>
            </w:r>
            <w:r>
              <w:rPr>
                <w:rFonts w:cstheme="minorHAnsi"/>
                <w:sz w:val="20"/>
                <w:szCs w:val="20"/>
              </w:rPr>
              <w:t>I</w:t>
            </w:r>
          </w:p>
        </w:tc>
      </w:tr>
      <w:tr w:rsidR="00822C48" w:rsidRPr="003D4354" w14:paraId="3C49C34E" w14:textId="77777777" w:rsidTr="002E65AB">
        <w:trPr>
          <w:gridAfter w:val="1"/>
          <w:wAfter w:w="6" w:type="dxa"/>
          <w:trHeight w:val="624"/>
        </w:trPr>
        <w:tc>
          <w:tcPr>
            <w:tcW w:w="3828" w:type="dxa"/>
            <w:tcBorders>
              <w:top w:val="nil"/>
              <w:left w:val="single" w:sz="4" w:space="0" w:color="AEAAAA" w:themeColor="background2" w:themeShade="BF"/>
              <w:bottom w:val="single" w:sz="4" w:space="0" w:color="AEAAAA" w:themeColor="background2" w:themeShade="BF"/>
              <w:right w:val="nil"/>
            </w:tcBorders>
            <w:shd w:val="clear" w:color="auto" w:fill="F2F2F2" w:themeFill="background1" w:themeFillShade="F2"/>
          </w:tcPr>
          <w:p w14:paraId="4B314FD5" w14:textId="77777777" w:rsidR="0044498A" w:rsidRPr="00822C48" w:rsidRDefault="0044498A" w:rsidP="00822C48">
            <w:pPr>
              <w:pStyle w:val="NoSpacing"/>
              <w:numPr>
                <w:ilvl w:val="0"/>
                <w:numId w:val="27"/>
              </w:numPr>
              <w:rPr>
                <w:rFonts w:ascii="Arial" w:eastAsiaTheme="minorHAnsi" w:hAnsi="Arial"/>
                <w:bCs/>
              </w:rPr>
            </w:pPr>
            <w:r w:rsidRPr="00822C48">
              <w:rPr>
                <w:rFonts w:ascii="Arial" w:eastAsiaTheme="minorHAnsi" w:hAnsi="Arial"/>
                <w:bCs/>
              </w:rPr>
              <w:t>Builder</w:t>
            </w:r>
          </w:p>
          <w:p w14:paraId="3DD089FA" w14:textId="77777777" w:rsidR="0044498A" w:rsidRPr="00822C48" w:rsidRDefault="0044498A" w:rsidP="00822C48">
            <w:pPr>
              <w:pStyle w:val="NoSpacing"/>
              <w:numPr>
                <w:ilvl w:val="0"/>
                <w:numId w:val="27"/>
              </w:numPr>
              <w:rPr>
                <w:rFonts w:ascii="Arial" w:eastAsiaTheme="minorHAnsi" w:hAnsi="Arial"/>
                <w:bCs/>
              </w:rPr>
            </w:pPr>
            <w:r w:rsidRPr="00822C48">
              <w:rPr>
                <w:rFonts w:ascii="Arial" w:eastAsiaTheme="minorHAnsi" w:hAnsi="Arial"/>
                <w:bCs/>
              </w:rPr>
              <w:t>Site or Project Manager</w:t>
            </w:r>
          </w:p>
          <w:p w14:paraId="044A0F5F" w14:textId="77777777" w:rsidR="0044498A" w:rsidRPr="00822C48" w:rsidRDefault="0044498A" w:rsidP="00822C48">
            <w:pPr>
              <w:pStyle w:val="NoSpacing"/>
              <w:numPr>
                <w:ilvl w:val="0"/>
                <w:numId w:val="27"/>
              </w:numPr>
              <w:rPr>
                <w:rFonts w:ascii="Arial" w:eastAsiaTheme="minorHAnsi" w:hAnsi="Arial"/>
                <w:bCs/>
              </w:rPr>
            </w:pPr>
            <w:r w:rsidRPr="00822C48">
              <w:rPr>
                <w:rFonts w:ascii="Arial" w:eastAsiaTheme="minorHAnsi" w:hAnsi="Arial"/>
                <w:bCs/>
              </w:rPr>
              <w:t>Building Surveyor</w:t>
            </w:r>
          </w:p>
          <w:p w14:paraId="283C50EE" w14:textId="77777777" w:rsidR="0044498A" w:rsidRPr="00822C48" w:rsidRDefault="0044498A" w:rsidP="00822C48">
            <w:pPr>
              <w:pStyle w:val="NoSpacing"/>
              <w:numPr>
                <w:ilvl w:val="0"/>
                <w:numId w:val="27"/>
              </w:numPr>
              <w:rPr>
                <w:rFonts w:ascii="Arial" w:eastAsiaTheme="minorHAnsi" w:hAnsi="Arial"/>
                <w:bCs/>
              </w:rPr>
            </w:pPr>
            <w:r w:rsidRPr="00822C48">
              <w:rPr>
                <w:rFonts w:ascii="Arial" w:eastAsiaTheme="minorHAnsi" w:hAnsi="Arial"/>
                <w:bCs/>
              </w:rPr>
              <w:t>Building Inspector</w:t>
            </w:r>
          </w:p>
          <w:p w14:paraId="3C49C33F" w14:textId="2CF994C0" w:rsidR="0044498A" w:rsidRPr="00822C48" w:rsidRDefault="0044498A" w:rsidP="00822C48">
            <w:pPr>
              <w:pStyle w:val="NoSpacing"/>
              <w:numPr>
                <w:ilvl w:val="0"/>
                <w:numId w:val="27"/>
              </w:numPr>
              <w:rPr>
                <w:rFonts w:ascii="Arial" w:eastAsiaTheme="minorHAnsi" w:hAnsi="Arial"/>
                <w:bCs/>
              </w:rPr>
            </w:pPr>
            <w:r w:rsidRPr="00822C48">
              <w:rPr>
                <w:rFonts w:ascii="Arial" w:eastAsiaTheme="minorHAnsi" w:hAnsi="Arial"/>
                <w:bCs/>
              </w:rPr>
              <w:t>Architect</w:t>
            </w:r>
          </w:p>
        </w:tc>
        <w:tc>
          <w:tcPr>
            <w:tcW w:w="4961" w:type="dxa"/>
            <w:tcBorders>
              <w:top w:val="nil"/>
              <w:left w:val="nil"/>
              <w:bottom w:val="single" w:sz="4" w:space="0" w:color="AEAAAA" w:themeColor="background2" w:themeShade="BF"/>
              <w:right w:val="single" w:sz="4" w:space="0" w:color="AEAAAA" w:themeColor="background2" w:themeShade="BF"/>
            </w:tcBorders>
            <w:shd w:val="clear" w:color="auto" w:fill="F2F2F2" w:themeFill="background1" w:themeFillShade="F2"/>
          </w:tcPr>
          <w:p w14:paraId="7DCC5EDD" w14:textId="77777777" w:rsidR="0044498A" w:rsidRPr="00822C48" w:rsidRDefault="0044498A" w:rsidP="00822C48">
            <w:pPr>
              <w:pStyle w:val="NoSpacing"/>
              <w:numPr>
                <w:ilvl w:val="0"/>
                <w:numId w:val="27"/>
              </w:numPr>
              <w:rPr>
                <w:rFonts w:ascii="Arial" w:eastAsiaTheme="minorHAnsi" w:hAnsi="Arial"/>
                <w:bCs/>
              </w:rPr>
            </w:pPr>
            <w:r w:rsidRPr="00822C48">
              <w:rPr>
                <w:rFonts w:ascii="Arial" w:eastAsiaTheme="minorHAnsi" w:hAnsi="Arial"/>
                <w:bCs/>
              </w:rPr>
              <w:t>Engineer</w:t>
            </w:r>
          </w:p>
          <w:p w14:paraId="246051AD" w14:textId="77777777" w:rsidR="0044498A" w:rsidRPr="00822C48" w:rsidRDefault="0044498A" w:rsidP="00822C48">
            <w:pPr>
              <w:pStyle w:val="NoSpacing"/>
              <w:numPr>
                <w:ilvl w:val="0"/>
                <w:numId w:val="27"/>
              </w:numPr>
              <w:rPr>
                <w:rFonts w:ascii="Arial" w:eastAsiaTheme="minorHAnsi" w:hAnsi="Arial"/>
                <w:bCs/>
              </w:rPr>
            </w:pPr>
            <w:r w:rsidRPr="00822C48">
              <w:rPr>
                <w:rFonts w:ascii="Arial" w:eastAsiaTheme="minorHAnsi" w:hAnsi="Arial"/>
                <w:bCs/>
              </w:rPr>
              <w:t>Designer/ Draftsperson</w:t>
            </w:r>
          </w:p>
          <w:p w14:paraId="1E2A2A66" w14:textId="77777777" w:rsidR="0044498A" w:rsidRPr="00822C48" w:rsidRDefault="0044498A" w:rsidP="00822C48">
            <w:pPr>
              <w:pStyle w:val="NoSpacing"/>
              <w:numPr>
                <w:ilvl w:val="0"/>
                <w:numId w:val="27"/>
              </w:numPr>
              <w:rPr>
                <w:rFonts w:ascii="Arial" w:eastAsiaTheme="minorHAnsi" w:hAnsi="Arial"/>
                <w:bCs/>
              </w:rPr>
            </w:pPr>
            <w:r w:rsidRPr="00822C48">
              <w:rPr>
                <w:rFonts w:ascii="Arial" w:eastAsiaTheme="minorHAnsi" w:hAnsi="Arial"/>
                <w:bCs/>
              </w:rPr>
              <w:t>Plumber</w:t>
            </w:r>
          </w:p>
          <w:p w14:paraId="3C49C343" w14:textId="52A948A5" w:rsidR="0044498A" w:rsidRPr="00822C48" w:rsidRDefault="0044498A" w:rsidP="00822C48">
            <w:pPr>
              <w:pStyle w:val="NoSpacing"/>
              <w:numPr>
                <w:ilvl w:val="0"/>
                <w:numId w:val="27"/>
              </w:numPr>
              <w:rPr>
                <w:rFonts w:ascii="Arial" w:eastAsiaTheme="minorHAnsi" w:hAnsi="Arial"/>
                <w:bCs/>
              </w:rPr>
            </w:pPr>
            <w:r w:rsidRPr="00822C48">
              <w:rPr>
                <w:rFonts w:ascii="Arial" w:eastAsiaTheme="minorHAnsi" w:hAnsi="Arial"/>
                <w:bCs/>
              </w:rPr>
              <w:t>Fire Safety Practitioner</w:t>
            </w:r>
          </w:p>
        </w:tc>
        <w:tc>
          <w:tcPr>
            <w:tcW w:w="993" w:type="dxa"/>
            <w:vMerge/>
            <w:tcBorders>
              <w:left w:val="single" w:sz="4" w:space="0" w:color="AEAAAA" w:themeColor="background2" w:themeShade="BF"/>
            </w:tcBorders>
            <w:shd w:val="clear" w:color="auto" w:fill="auto"/>
            <w:vAlign w:val="center"/>
          </w:tcPr>
          <w:p w14:paraId="3C49C344" w14:textId="77777777" w:rsidR="0044498A" w:rsidRPr="00BA4499" w:rsidRDefault="0044498A" w:rsidP="0044498A">
            <w:pPr>
              <w:pStyle w:val="ListParagraph"/>
              <w:numPr>
                <w:ilvl w:val="0"/>
                <w:numId w:val="3"/>
              </w:numPr>
              <w:spacing w:after="0" w:line="240" w:lineRule="auto"/>
              <w:ind w:hanging="376"/>
              <w:jc w:val="center"/>
              <w:rPr>
                <w:sz w:val="20"/>
                <w:szCs w:val="20"/>
              </w:rPr>
            </w:pPr>
          </w:p>
        </w:tc>
        <w:tc>
          <w:tcPr>
            <w:tcW w:w="850" w:type="dxa"/>
            <w:vMerge/>
            <w:shd w:val="clear" w:color="auto" w:fill="auto"/>
            <w:vAlign w:val="center"/>
          </w:tcPr>
          <w:p w14:paraId="3C49C345" w14:textId="77777777" w:rsidR="0044498A" w:rsidRPr="00632C72" w:rsidRDefault="0044498A" w:rsidP="0044498A">
            <w:pPr>
              <w:spacing w:after="0" w:line="240" w:lineRule="auto"/>
              <w:jc w:val="center"/>
              <w:rPr>
                <w:rFonts w:cstheme="minorHAnsi"/>
                <w:sz w:val="20"/>
                <w:szCs w:val="20"/>
              </w:rPr>
            </w:pPr>
          </w:p>
        </w:tc>
        <w:tc>
          <w:tcPr>
            <w:tcW w:w="672" w:type="dxa"/>
            <w:vMerge/>
            <w:shd w:val="clear" w:color="auto" w:fill="auto"/>
            <w:vAlign w:val="center"/>
          </w:tcPr>
          <w:p w14:paraId="3C49C346" w14:textId="77777777" w:rsidR="0044498A" w:rsidRPr="00632C72" w:rsidRDefault="0044498A" w:rsidP="0044498A">
            <w:pPr>
              <w:spacing w:after="0" w:line="240" w:lineRule="auto"/>
              <w:jc w:val="center"/>
              <w:rPr>
                <w:rFonts w:cstheme="minorHAnsi"/>
                <w:sz w:val="20"/>
                <w:szCs w:val="20"/>
              </w:rPr>
            </w:pPr>
          </w:p>
        </w:tc>
        <w:tc>
          <w:tcPr>
            <w:tcW w:w="656" w:type="dxa"/>
            <w:vMerge/>
            <w:shd w:val="clear" w:color="auto" w:fill="auto"/>
            <w:vAlign w:val="center"/>
          </w:tcPr>
          <w:p w14:paraId="3C49C347" w14:textId="77777777" w:rsidR="0044498A" w:rsidRPr="00632C72" w:rsidRDefault="0044498A" w:rsidP="0044498A">
            <w:pPr>
              <w:spacing w:after="0" w:line="240" w:lineRule="auto"/>
              <w:jc w:val="center"/>
              <w:rPr>
                <w:rFonts w:cstheme="minorHAnsi"/>
                <w:sz w:val="20"/>
                <w:szCs w:val="20"/>
              </w:rPr>
            </w:pPr>
          </w:p>
        </w:tc>
        <w:tc>
          <w:tcPr>
            <w:tcW w:w="655" w:type="dxa"/>
            <w:vMerge/>
            <w:shd w:val="clear" w:color="auto" w:fill="auto"/>
            <w:vAlign w:val="center"/>
          </w:tcPr>
          <w:p w14:paraId="3C49C348" w14:textId="77777777" w:rsidR="0044498A" w:rsidRPr="00632C72" w:rsidRDefault="0044498A" w:rsidP="0044498A">
            <w:pPr>
              <w:spacing w:after="0" w:line="240" w:lineRule="auto"/>
              <w:jc w:val="center"/>
              <w:rPr>
                <w:rFonts w:cstheme="minorHAnsi"/>
                <w:sz w:val="20"/>
                <w:szCs w:val="20"/>
              </w:rPr>
            </w:pPr>
          </w:p>
        </w:tc>
        <w:tc>
          <w:tcPr>
            <w:tcW w:w="656" w:type="dxa"/>
            <w:vMerge/>
            <w:shd w:val="clear" w:color="auto" w:fill="auto"/>
            <w:vAlign w:val="center"/>
          </w:tcPr>
          <w:p w14:paraId="3C49C349" w14:textId="77777777" w:rsidR="0044498A" w:rsidRPr="00632C72" w:rsidRDefault="0044498A" w:rsidP="0044498A">
            <w:pPr>
              <w:spacing w:after="0" w:line="240" w:lineRule="auto"/>
              <w:jc w:val="center"/>
              <w:rPr>
                <w:rFonts w:cstheme="minorHAnsi"/>
                <w:sz w:val="20"/>
                <w:szCs w:val="20"/>
              </w:rPr>
            </w:pPr>
          </w:p>
        </w:tc>
        <w:tc>
          <w:tcPr>
            <w:tcW w:w="656" w:type="dxa"/>
            <w:vMerge/>
            <w:shd w:val="clear" w:color="auto" w:fill="auto"/>
            <w:vAlign w:val="center"/>
          </w:tcPr>
          <w:p w14:paraId="3C49C34A" w14:textId="77777777" w:rsidR="0044498A" w:rsidRPr="00632C72" w:rsidRDefault="0044498A" w:rsidP="0044498A">
            <w:pPr>
              <w:spacing w:after="0" w:line="240" w:lineRule="auto"/>
              <w:jc w:val="center"/>
              <w:rPr>
                <w:rFonts w:cstheme="minorHAnsi"/>
                <w:sz w:val="20"/>
                <w:szCs w:val="20"/>
              </w:rPr>
            </w:pPr>
          </w:p>
        </w:tc>
        <w:tc>
          <w:tcPr>
            <w:tcW w:w="655" w:type="dxa"/>
            <w:vMerge/>
            <w:shd w:val="clear" w:color="auto" w:fill="auto"/>
            <w:vAlign w:val="center"/>
          </w:tcPr>
          <w:p w14:paraId="3C49C34B" w14:textId="77777777" w:rsidR="0044498A" w:rsidRPr="00632C72" w:rsidRDefault="0044498A" w:rsidP="0044498A">
            <w:pPr>
              <w:spacing w:after="0" w:line="240" w:lineRule="auto"/>
              <w:jc w:val="center"/>
              <w:rPr>
                <w:rFonts w:cstheme="minorHAnsi"/>
                <w:sz w:val="20"/>
                <w:szCs w:val="20"/>
              </w:rPr>
            </w:pPr>
          </w:p>
        </w:tc>
        <w:tc>
          <w:tcPr>
            <w:tcW w:w="656" w:type="dxa"/>
            <w:vMerge/>
            <w:shd w:val="clear" w:color="auto" w:fill="auto"/>
            <w:vAlign w:val="center"/>
          </w:tcPr>
          <w:p w14:paraId="3C49C34C" w14:textId="77777777" w:rsidR="0044498A" w:rsidRPr="00632C72" w:rsidRDefault="0044498A" w:rsidP="0044498A">
            <w:pPr>
              <w:spacing w:after="0" w:line="240" w:lineRule="auto"/>
              <w:jc w:val="center"/>
              <w:rPr>
                <w:rFonts w:cstheme="minorHAnsi"/>
                <w:sz w:val="20"/>
                <w:szCs w:val="20"/>
              </w:rPr>
            </w:pPr>
          </w:p>
        </w:tc>
        <w:tc>
          <w:tcPr>
            <w:tcW w:w="656" w:type="dxa"/>
            <w:vMerge/>
            <w:shd w:val="clear" w:color="auto" w:fill="auto"/>
            <w:vAlign w:val="center"/>
          </w:tcPr>
          <w:p w14:paraId="3C49C34D" w14:textId="77777777" w:rsidR="0044498A" w:rsidRPr="00632C72" w:rsidRDefault="0044498A" w:rsidP="0044498A">
            <w:pPr>
              <w:spacing w:after="0" w:line="240" w:lineRule="auto"/>
              <w:jc w:val="center"/>
              <w:rPr>
                <w:rFonts w:cstheme="minorHAnsi"/>
                <w:sz w:val="20"/>
                <w:szCs w:val="20"/>
              </w:rPr>
            </w:pPr>
          </w:p>
        </w:tc>
      </w:tr>
      <w:tr w:rsidR="007B46F4" w:rsidRPr="003D4354" w14:paraId="3C49C35E" w14:textId="77777777" w:rsidTr="003D3F57">
        <w:trPr>
          <w:gridAfter w:val="1"/>
          <w:wAfter w:w="6" w:type="dxa"/>
          <w:trHeight w:val="255"/>
        </w:trPr>
        <w:tc>
          <w:tcPr>
            <w:tcW w:w="8789" w:type="dxa"/>
            <w:gridSpan w:val="2"/>
            <w:tcBorders>
              <w:top w:val="single" w:sz="4" w:space="0" w:color="AEAAAA" w:themeColor="background2" w:themeShade="BF"/>
            </w:tcBorders>
            <w:shd w:val="clear" w:color="auto" w:fill="F2F2F2" w:themeFill="background1" w:themeFillShade="F2"/>
          </w:tcPr>
          <w:p w14:paraId="4354C79F" w14:textId="77777777"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t>That each jurisdiction prescribes consistent requirements for the registration of building practitioners including:</w:t>
            </w:r>
          </w:p>
          <w:p w14:paraId="267AE4E6" w14:textId="77777777" w:rsidR="0044498A" w:rsidRPr="00822C48" w:rsidRDefault="0044498A" w:rsidP="007B46F4">
            <w:pPr>
              <w:pStyle w:val="NoSpacing"/>
              <w:numPr>
                <w:ilvl w:val="0"/>
                <w:numId w:val="29"/>
              </w:numPr>
              <w:rPr>
                <w:rFonts w:ascii="Arial" w:eastAsiaTheme="minorHAnsi" w:hAnsi="Arial"/>
                <w:bCs/>
              </w:rPr>
            </w:pPr>
            <w:r w:rsidRPr="00822C48">
              <w:rPr>
                <w:rFonts w:ascii="Arial" w:eastAsiaTheme="minorHAnsi" w:hAnsi="Arial"/>
                <w:bCs/>
              </w:rPr>
              <w:t>certificated training which includes compulsory training on the operation and use of the NCC as it applies to each category of registration;</w:t>
            </w:r>
          </w:p>
          <w:p w14:paraId="53ABFFA1" w14:textId="77777777" w:rsidR="0044498A" w:rsidRPr="00822C48" w:rsidRDefault="0044498A" w:rsidP="007B46F4">
            <w:pPr>
              <w:pStyle w:val="NoSpacing"/>
              <w:numPr>
                <w:ilvl w:val="0"/>
                <w:numId w:val="29"/>
              </w:numPr>
              <w:rPr>
                <w:rFonts w:ascii="Arial" w:eastAsiaTheme="minorHAnsi" w:hAnsi="Arial"/>
                <w:bCs/>
              </w:rPr>
            </w:pPr>
            <w:r w:rsidRPr="00822C48">
              <w:rPr>
                <w:rFonts w:ascii="Arial" w:eastAsiaTheme="minorHAnsi" w:hAnsi="Arial"/>
                <w:bCs/>
              </w:rPr>
              <w:t>additional competency and experience requirements;</w:t>
            </w:r>
          </w:p>
          <w:p w14:paraId="087AA68C" w14:textId="77777777" w:rsidR="0044498A" w:rsidRPr="00822C48" w:rsidRDefault="0044498A" w:rsidP="007B46F4">
            <w:pPr>
              <w:pStyle w:val="NoSpacing"/>
              <w:numPr>
                <w:ilvl w:val="0"/>
                <w:numId w:val="29"/>
              </w:numPr>
              <w:rPr>
                <w:rFonts w:ascii="Arial" w:eastAsiaTheme="minorHAnsi" w:hAnsi="Arial"/>
                <w:bCs/>
              </w:rPr>
            </w:pPr>
            <w:r w:rsidRPr="00822C48">
              <w:rPr>
                <w:rFonts w:ascii="Arial" w:eastAsiaTheme="minorHAnsi" w:hAnsi="Arial"/>
                <w:bCs/>
              </w:rPr>
              <w:t>where it is available, compulsory insurance in the form of professional indemnity and/or warranty insurance together with financial viability requirements where appropriate; and</w:t>
            </w:r>
          </w:p>
          <w:p w14:paraId="3C49C353" w14:textId="64540147" w:rsidR="0044498A" w:rsidRPr="00822C48" w:rsidRDefault="0044498A" w:rsidP="007B46F4">
            <w:pPr>
              <w:pStyle w:val="NoSpacing"/>
              <w:numPr>
                <w:ilvl w:val="0"/>
                <w:numId w:val="29"/>
              </w:numPr>
              <w:rPr>
                <w:rFonts w:ascii="Arial" w:eastAsiaTheme="minorHAnsi" w:hAnsi="Arial"/>
                <w:bCs/>
              </w:rPr>
            </w:pPr>
            <w:r w:rsidRPr="00822C48">
              <w:rPr>
                <w:rFonts w:ascii="Arial" w:eastAsiaTheme="minorHAnsi" w:hAnsi="Arial"/>
                <w:bCs/>
              </w:rPr>
              <w:t>evidence of practitioner integrity, based on an assessment of fit-and-proper person requirements.</w:t>
            </w:r>
          </w:p>
        </w:tc>
        <w:tc>
          <w:tcPr>
            <w:tcW w:w="993" w:type="dxa"/>
            <w:shd w:val="clear" w:color="auto" w:fill="auto"/>
            <w:vAlign w:val="center"/>
          </w:tcPr>
          <w:p w14:paraId="3C49C354" w14:textId="07CB678D" w:rsidR="0044498A" w:rsidRPr="00C7592C" w:rsidRDefault="0044498A" w:rsidP="0044498A">
            <w:pPr>
              <w:spacing w:after="0" w:line="240" w:lineRule="auto"/>
              <w:ind w:left="8"/>
              <w:jc w:val="center"/>
              <w:rPr>
                <w:sz w:val="20"/>
                <w:szCs w:val="20"/>
              </w:rPr>
            </w:pPr>
            <w:r>
              <w:rPr>
                <w:noProof/>
                <w:lang w:eastAsia="en-AU"/>
              </w:rPr>
              <w:drawing>
                <wp:inline distT="0" distB="0" distL="0" distR="0" wp14:anchorId="215031D7" wp14:editId="1C94BFA1">
                  <wp:extent cx="325755" cy="270510"/>
                  <wp:effectExtent l="0" t="0" r="0" b="0"/>
                  <wp:docPr id="2" name="Picture 2"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 cy="270510"/>
                          </a:xfrm>
                          <a:prstGeom prst="rect">
                            <a:avLst/>
                          </a:prstGeom>
                          <a:noFill/>
                          <a:ln>
                            <a:noFill/>
                          </a:ln>
                        </pic:spPr>
                      </pic:pic>
                    </a:graphicData>
                  </a:graphic>
                </wp:inline>
              </w:drawing>
            </w:r>
          </w:p>
        </w:tc>
        <w:tc>
          <w:tcPr>
            <w:tcW w:w="850" w:type="dxa"/>
            <w:shd w:val="clear" w:color="auto" w:fill="auto"/>
            <w:vAlign w:val="center"/>
          </w:tcPr>
          <w:p w14:paraId="3C49C355" w14:textId="0B52EB74" w:rsidR="0044498A" w:rsidRPr="00632C72" w:rsidRDefault="0044498A" w:rsidP="0044498A">
            <w:pPr>
              <w:spacing w:after="0" w:line="240" w:lineRule="auto"/>
              <w:jc w:val="center"/>
              <w:rPr>
                <w:rFonts w:cstheme="minorHAnsi"/>
                <w:sz w:val="20"/>
                <w:szCs w:val="20"/>
              </w:rPr>
            </w:pPr>
            <w:r w:rsidRPr="00632C72">
              <w:rPr>
                <w:rFonts w:cstheme="minorHAnsi"/>
                <w:sz w:val="20"/>
                <w:szCs w:val="20"/>
              </w:rPr>
              <w:t>SOG</w:t>
            </w:r>
            <w:r>
              <w:rPr>
                <w:rFonts w:cstheme="minorHAnsi"/>
                <w:sz w:val="20"/>
                <w:szCs w:val="20"/>
              </w:rPr>
              <w:t>/ ABCB</w:t>
            </w:r>
          </w:p>
        </w:tc>
        <w:tc>
          <w:tcPr>
            <w:tcW w:w="672" w:type="dxa"/>
            <w:shd w:val="clear" w:color="auto" w:fill="auto"/>
            <w:vAlign w:val="center"/>
          </w:tcPr>
          <w:p w14:paraId="3C49C356" w14:textId="0442C868"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shd w:val="clear" w:color="auto" w:fill="auto"/>
            <w:vAlign w:val="center"/>
          </w:tcPr>
          <w:p w14:paraId="3C49C357" w14:textId="0527C434"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5" w:type="dxa"/>
            <w:shd w:val="clear" w:color="auto" w:fill="auto"/>
            <w:vAlign w:val="center"/>
          </w:tcPr>
          <w:p w14:paraId="3C49C358" w14:textId="21C5BF75"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shd w:val="clear" w:color="auto" w:fill="auto"/>
            <w:vAlign w:val="center"/>
          </w:tcPr>
          <w:p w14:paraId="3C49C359" w14:textId="796EA43A"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6" w:type="dxa"/>
            <w:shd w:val="clear" w:color="auto" w:fill="auto"/>
            <w:vAlign w:val="center"/>
          </w:tcPr>
          <w:p w14:paraId="3C49C35A" w14:textId="0AE13AD2" w:rsidR="0044498A" w:rsidRPr="00632C72" w:rsidRDefault="0044498A" w:rsidP="0044498A">
            <w:pPr>
              <w:spacing w:after="0" w:line="240" w:lineRule="auto"/>
              <w:jc w:val="center"/>
              <w:rPr>
                <w:rFonts w:cstheme="minorHAnsi"/>
                <w:sz w:val="20"/>
                <w:szCs w:val="20"/>
              </w:rPr>
            </w:pPr>
            <w:r>
              <w:rPr>
                <w:rFonts w:cstheme="minorHAnsi"/>
                <w:sz w:val="20"/>
                <w:szCs w:val="20"/>
              </w:rPr>
              <w:t>PI</w:t>
            </w:r>
          </w:p>
        </w:tc>
        <w:tc>
          <w:tcPr>
            <w:tcW w:w="655" w:type="dxa"/>
            <w:shd w:val="clear" w:color="auto" w:fill="auto"/>
            <w:vAlign w:val="center"/>
          </w:tcPr>
          <w:p w14:paraId="3C49C35B" w14:textId="22F82617"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shd w:val="clear" w:color="auto" w:fill="auto"/>
            <w:vAlign w:val="center"/>
          </w:tcPr>
          <w:p w14:paraId="3C49C35C" w14:textId="5B9C5F52" w:rsidR="0044498A" w:rsidRPr="00632C72" w:rsidRDefault="0044498A" w:rsidP="0044498A">
            <w:pPr>
              <w:spacing w:after="0" w:line="240" w:lineRule="auto"/>
              <w:jc w:val="center"/>
              <w:rPr>
                <w:rFonts w:cstheme="minorHAnsi"/>
                <w:sz w:val="20"/>
                <w:szCs w:val="20"/>
              </w:rPr>
            </w:pPr>
            <w:r>
              <w:rPr>
                <w:rFonts w:cstheme="minorHAnsi"/>
                <w:sz w:val="20"/>
                <w:szCs w:val="20"/>
              </w:rPr>
              <w:t>PI</w:t>
            </w:r>
          </w:p>
        </w:tc>
        <w:tc>
          <w:tcPr>
            <w:tcW w:w="656" w:type="dxa"/>
            <w:shd w:val="clear" w:color="auto" w:fill="auto"/>
            <w:vAlign w:val="center"/>
          </w:tcPr>
          <w:p w14:paraId="3C49C35D" w14:textId="72256058"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w:t>
            </w:r>
            <w:r>
              <w:rPr>
                <w:rFonts w:cstheme="minorHAnsi"/>
                <w:sz w:val="20"/>
                <w:szCs w:val="20"/>
              </w:rPr>
              <w:t>I</w:t>
            </w:r>
          </w:p>
        </w:tc>
      </w:tr>
      <w:tr w:rsidR="007B46F4" w:rsidRPr="003D4354" w14:paraId="3C49C36A" w14:textId="77777777" w:rsidTr="003D3F57">
        <w:trPr>
          <w:gridAfter w:val="1"/>
          <w:wAfter w:w="6" w:type="dxa"/>
          <w:trHeight w:val="146"/>
        </w:trPr>
        <w:tc>
          <w:tcPr>
            <w:tcW w:w="8789" w:type="dxa"/>
            <w:gridSpan w:val="2"/>
            <w:shd w:val="clear" w:color="auto" w:fill="F2F2F2" w:themeFill="background1" w:themeFillShade="F2"/>
          </w:tcPr>
          <w:p w14:paraId="3C49C35F" w14:textId="05C1F862"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t>That each jurisdiction requires all practitioners to undertake compulsory Continuing Professional Development (CPD) on the NCC.</w:t>
            </w:r>
          </w:p>
        </w:tc>
        <w:tc>
          <w:tcPr>
            <w:tcW w:w="993" w:type="dxa"/>
            <w:shd w:val="clear" w:color="auto" w:fill="auto"/>
            <w:vAlign w:val="center"/>
          </w:tcPr>
          <w:p w14:paraId="3C49C360" w14:textId="77777777" w:rsidR="0044498A" w:rsidRPr="009544AA" w:rsidRDefault="0044498A" w:rsidP="0044498A">
            <w:pPr>
              <w:spacing w:after="0" w:line="240" w:lineRule="auto"/>
              <w:ind w:hanging="376"/>
              <w:jc w:val="center"/>
              <w:rPr>
                <w:sz w:val="20"/>
                <w:szCs w:val="20"/>
              </w:rPr>
            </w:pPr>
          </w:p>
        </w:tc>
        <w:tc>
          <w:tcPr>
            <w:tcW w:w="850" w:type="dxa"/>
            <w:shd w:val="clear" w:color="auto" w:fill="auto"/>
            <w:vAlign w:val="center"/>
          </w:tcPr>
          <w:p w14:paraId="3C49C361" w14:textId="2A7CC462" w:rsidR="0044498A" w:rsidRPr="00632C72" w:rsidRDefault="0044498A" w:rsidP="0044498A">
            <w:pPr>
              <w:spacing w:after="0" w:line="240" w:lineRule="auto"/>
              <w:jc w:val="center"/>
              <w:rPr>
                <w:rFonts w:cstheme="minorHAnsi"/>
                <w:sz w:val="20"/>
                <w:szCs w:val="20"/>
              </w:rPr>
            </w:pPr>
            <w:r>
              <w:rPr>
                <w:rFonts w:cstheme="minorHAnsi"/>
                <w:sz w:val="20"/>
                <w:szCs w:val="20"/>
              </w:rPr>
              <w:t>SOG/</w:t>
            </w:r>
            <w:r w:rsidR="00822C48">
              <w:rPr>
                <w:rFonts w:cstheme="minorHAnsi"/>
                <w:sz w:val="20"/>
                <w:szCs w:val="20"/>
              </w:rPr>
              <w:t xml:space="preserve"> </w:t>
            </w:r>
            <w:r w:rsidRPr="00632C72">
              <w:rPr>
                <w:rFonts w:cstheme="minorHAnsi"/>
                <w:sz w:val="20"/>
                <w:szCs w:val="20"/>
              </w:rPr>
              <w:t>ABCB</w:t>
            </w:r>
          </w:p>
        </w:tc>
        <w:tc>
          <w:tcPr>
            <w:tcW w:w="672" w:type="dxa"/>
            <w:shd w:val="clear" w:color="auto" w:fill="auto"/>
            <w:vAlign w:val="center"/>
          </w:tcPr>
          <w:p w14:paraId="3C49C362" w14:textId="2B6B56B4"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6" w:type="dxa"/>
            <w:shd w:val="clear" w:color="auto" w:fill="auto"/>
            <w:vAlign w:val="center"/>
          </w:tcPr>
          <w:p w14:paraId="3C49C363" w14:textId="5D3A28EE"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5" w:type="dxa"/>
            <w:shd w:val="clear" w:color="auto" w:fill="auto"/>
            <w:vAlign w:val="center"/>
          </w:tcPr>
          <w:p w14:paraId="3C49C364" w14:textId="2AAF8A11"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6" w:type="dxa"/>
            <w:shd w:val="clear" w:color="auto" w:fill="auto"/>
            <w:vAlign w:val="center"/>
          </w:tcPr>
          <w:p w14:paraId="3C49C365" w14:textId="49D28665"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6" w:type="dxa"/>
            <w:shd w:val="clear" w:color="auto" w:fill="auto"/>
            <w:vAlign w:val="center"/>
          </w:tcPr>
          <w:p w14:paraId="3C49C366" w14:textId="78E45577"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5" w:type="dxa"/>
            <w:shd w:val="clear" w:color="auto" w:fill="auto"/>
            <w:vAlign w:val="center"/>
          </w:tcPr>
          <w:p w14:paraId="3C49C367" w14:textId="6DFFDFCC"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shd w:val="clear" w:color="auto" w:fill="auto"/>
            <w:vAlign w:val="center"/>
          </w:tcPr>
          <w:p w14:paraId="3C49C368" w14:textId="13F1C020"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shd w:val="clear" w:color="auto" w:fill="auto"/>
            <w:vAlign w:val="center"/>
          </w:tcPr>
          <w:p w14:paraId="3C49C369" w14:textId="6F3F9E4F" w:rsidR="0044498A" w:rsidRPr="00632C72" w:rsidRDefault="0044498A" w:rsidP="0044498A">
            <w:pPr>
              <w:spacing w:after="0" w:line="240" w:lineRule="auto"/>
              <w:jc w:val="center"/>
              <w:rPr>
                <w:rFonts w:cstheme="minorHAnsi"/>
                <w:sz w:val="20"/>
                <w:szCs w:val="20"/>
              </w:rPr>
            </w:pPr>
            <w:r>
              <w:rPr>
                <w:rFonts w:cstheme="minorHAnsi"/>
                <w:sz w:val="20"/>
                <w:szCs w:val="20"/>
              </w:rPr>
              <w:t>IP</w:t>
            </w:r>
            <w:r w:rsidRPr="00632C72">
              <w:rPr>
                <w:rFonts w:cstheme="minorHAnsi"/>
                <w:sz w:val="20"/>
                <w:szCs w:val="20"/>
              </w:rPr>
              <w:t>S</w:t>
            </w:r>
          </w:p>
        </w:tc>
      </w:tr>
      <w:tr w:rsidR="007B46F4" w:rsidRPr="003D4354" w14:paraId="3C49C376" w14:textId="77777777" w:rsidTr="003D3F57">
        <w:trPr>
          <w:gridAfter w:val="1"/>
          <w:wAfter w:w="6" w:type="dxa"/>
          <w:trHeight w:val="510"/>
        </w:trPr>
        <w:tc>
          <w:tcPr>
            <w:tcW w:w="8789" w:type="dxa"/>
            <w:gridSpan w:val="2"/>
            <w:shd w:val="clear" w:color="auto" w:fill="F2F2F2" w:themeFill="background1" w:themeFillShade="F2"/>
          </w:tcPr>
          <w:p w14:paraId="3C49C36B" w14:textId="7D62772D"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t>That each jurisdiction establishes a supervised training scheme which provides a defined pathway for becoming a registered building surveyor.</w:t>
            </w:r>
          </w:p>
        </w:tc>
        <w:tc>
          <w:tcPr>
            <w:tcW w:w="993" w:type="dxa"/>
            <w:shd w:val="clear" w:color="auto" w:fill="auto"/>
            <w:vAlign w:val="center"/>
          </w:tcPr>
          <w:p w14:paraId="3C49C36C" w14:textId="77777777" w:rsidR="0044498A" w:rsidRPr="009544AA" w:rsidRDefault="0044498A" w:rsidP="0044498A">
            <w:pPr>
              <w:spacing w:after="0" w:line="240" w:lineRule="auto"/>
              <w:ind w:hanging="376"/>
              <w:jc w:val="center"/>
              <w:rPr>
                <w:sz w:val="20"/>
                <w:szCs w:val="20"/>
              </w:rPr>
            </w:pPr>
          </w:p>
        </w:tc>
        <w:tc>
          <w:tcPr>
            <w:tcW w:w="850" w:type="dxa"/>
            <w:shd w:val="clear" w:color="auto" w:fill="auto"/>
            <w:vAlign w:val="center"/>
          </w:tcPr>
          <w:p w14:paraId="3C49C36D" w14:textId="20C88918" w:rsidR="0044498A" w:rsidRPr="00632C72" w:rsidRDefault="0044498A" w:rsidP="0044498A">
            <w:pPr>
              <w:spacing w:after="0" w:line="240" w:lineRule="auto"/>
              <w:jc w:val="center"/>
              <w:rPr>
                <w:rFonts w:cstheme="minorHAnsi"/>
                <w:sz w:val="20"/>
                <w:szCs w:val="20"/>
              </w:rPr>
            </w:pPr>
            <w:r>
              <w:rPr>
                <w:rFonts w:cstheme="minorHAnsi"/>
                <w:sz w:val="20"/>
                <w:szCs w:val="20"/>
              </w:rPr>
              <w:t>SOG/</w:t>
            </w:r>
            <w:r w:rsidR="00822C48">
              <w:rPr>
                <w:rFonts w:cstheme="minorHAnsi"/>
                <w:sz w:val="20"/>
                <w:szCs w:val="20"/>
              </w:rPr>
              <w:t xml:space="preserve"> </w:t>
            </w:r>
            <w:r w:rsidRPr="00632C72">
              <w:rPr>
                <w:rFonts w:cstheme="minorHAnsi"/>
                <w:sz w:val="20"/>
                <w:szCs w:val="20"/>
              </w:rPr>
              <w:t>BRF</w:t>
            </w:r>
          </w:p>
        </w:tc>
        <w:tc>
          <w:tcPr>
            <w:tcW w:w="672" w:type="dxa"/>
            <w:shd w:val="clear" w:color="auto" w:fill="auto"/>
            <w:vAlign w:val="center"/>
          </w:tcPr>
          <w:p w14:paraId="3C49C36E" w14:textId="54F422B4" w:rsidR="0044498A" w:rsidRPr="00632C72" w:rsidRDefault="0044498A" w:rsidP="0044498A">
            <w:pPr>
              <w:spacing w:after="0" w:line="240" w:lineRule="auto"/>
              <w:jc w:val="center"/>
              <w:rPr>
                <w:rFonts w:cstheme="minorHAnsi"/>
                <w:sz w:val="20"/>
                <w:szCs w:val="20"/>
              </w:rPr>
            </w:pPr>
            <w:r w:rsidRPr="00632C72">
              <w:rPr>
                <w:rFonts w:cstheme="minorHAnsi"/>
                <w:sz w:val="20"/>
                <w:szCs w:val="20"/>
              </w:rPr>
              <w:t>UC</w:t>
            </w:r>
          </w:p>
        </w:tc>
        <w:tc>
          <w:tcPr>
            <w:tcW w:w="656" w:type="dxa"/>
            <w:shd w:val="clear" w:color="auto" w:fill="auto"/>
            <w:vAlign w:val="center"/>
          </w:tcPr>
          <w:p w14:paraId="3C49C36F" w14:textId="301288D5"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5" w:type="dxa"/>
            <w:shd w:val="clear" w:color="auto" w:fill="auto"/>
            <w:vAlign w:val="center"/>
          </w:tcPr>
          <w:p w14:paraId="3C49C370" w14:textId="0218EB36"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shd w:val="clear" w:color="auto" w:fill="auto"/>
            <w:vAlign w:val="center"/>
          </w:tcPr>
          <w:p w14:paraId="3C49C371" w14:textId="6A25917E"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6" w:type="dxa"/>
            <w:shd w:val="clear" w:color="auto" w:fill="auto"/>
            <w:vAlign w:val="center"/>
          </w:tcPr>
          <w:p w14:paraId="3C49C372" w14:textId="6F60708A"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5" w:type="dxa"/>
            <w:shd w:val="clear" w:color="auto" w:fill="auto"/>
            <w:vAlign w:val="center"/>
          </w:tcPr>
          <w:p w14:paraId="3C49C373" w14:textId="290B182A"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shd w:val="clear" w:color="auto" w:fill="auto"/>
            <w:vAlign w:val="center"/>
          </w:tcPr>
          <w:p w14:paraId="3C49C374" w14:textId="18309971" w:rsidR="0044498A" w:rsidRPr="00632C72" w:rsidRDefault="0044498A" w:rsidP="0044498A">
            <w:pPr>
              <w:spacing w:after="0" w:line="240" w:lineRule="auto"/>
              <w:jc w:val="center"/>
              <w:rPr>
                <w:rFonts w:cstheme="minorHAnsi"/>
                <w:sz w:val="20"/>
                <w:szCs w:val="20"/>
              </w:rPr>
            </w:pPr>
            <w:r w:rsidRPr="00632C72">
              <w:rPr>
                <w:rFonts w:cstheme="minorHAnsi"/>
                <w:sz w:val="20"/>
                <w:szCs w:val="20"/>
              </w:rPr>
              <w:t>UC</w:t>
            </w:r>
          </w:p>
        </w:tc>
        <w:tc>
          <w:tcPr>
            <w:tcW w:w="656" w:type="dxa"/>
            <w:shd w:val="clear" w:color="auto" w:fill="auto"/>
            <w:vAlign w:val="center"/>
          </w:tcPr>
          <w:p w14:paraId="3C49C375" w14:textId="62D15369"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r>
      <w:tr w:rsidR="007B46F4" w:rsidRPr="003D4354" w14:paraId="3C49C382" w14:textId="77777777" w:rsidTr="003D3F57">
        <w:trPr>
          <w:gridAfter w:val="1"/>
          <w:wAfter w:w="6" w:type="dxa"/>
          <w:trHeight w:val="198"/>
        </w:trPr>
        <w:tc>
          <w:tcPr>
            <w:tcW w:w="8789" w:type="dxa"/>
            <w:gridSpan w:val="2"/>
            <w:shd w:val="clear" w:color="auto" w:fill="F2F2F2" w:themeFill="background1" w:themeFillShade="F2"/>
          </w:tcPr>
          <w:p w14:paraId="3C49C377" w14:textId="458306AA"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t>That each state establishes formal mechanisms for a more collaborative and effective partnership between those with responsibility for regulatory oversight, including relevant state government bodies, local governments and private building surveyors (if they have an enforcement role).</w:t>
            </w:r>
          </w:p>
        </w:tc>
        <w:tc>
          <w:tcPr>
            <w:tcW w:w="993" w:type="dxa"/>
            <w:shd w:val="clear" w:color="auto" w:fill="auto"/>
            <w:vAlign w:val="center"/>
          </w:tcPr>
          <w:p w14:paraId="3C49C378" w14:textId="77777777" w:rsidR="0044498A" w:rsidRPr="009544AA" w:rsidRDefault="0044498A" w:rsidP="0044498A">
            <w:pPr>
              <w:spacing w:after="0" w:line="240" w:lineRule="auto"/>
              <w:ind w:hanging="376"/>
              <w:jc w:val="center"/>
              <w:rPr>
                <w:sz w:val="20"/>
                <w:szCs w:val="20"/>
              </w:rPr>
            </w:pPr>
          </w:p>
        </w:tc>
        <w:tc>
          <w:tcPr>
            <w:tcW w:w="850" w:type="dxa"/>
            <w:shd w:val="clear" w:color="auto" w:fill="auto"/>
            <w:vAlign w:val="center"/>
          </w:tcPr>
          <w:p w14:paraId="3C49C379" w14:textId="6072500D" w:rsidR="0044498A" w:rsidRPr="00632C72" w:rsidRDefault="0044498A" w:rsidP="0044498A">
            <w:pPr>
              <w:spacing w:after="0" w:line="240" w:lineRule="auto"/>
              <w:jc w:val="center"/>
              <w:rPr>
                <w:rFonts w:cstheme="minorHAnsi"/>
                <w:sz w:val="20"/>
                <w:szCs w:val="20"/>
              </w:rPr>
            </w:pPr>
            <w:r w:rsidRPr="00632C72">
              <w:rPr>
                <w:rFonts w:cstheme="minorHAnsi"/>
                <w:sz w:val="20"/>
                <w:szCs w:val="20"/>
              </w:rPr>
              <w:t>BRF</w:t>
            </w:r>
          </w:p>
        </w:tc>
        <w:tc>
          <w:tcPr>
            <w:tcW w:w="672" w:type="dxa"/>
            <w:shd w:val="clear" w:color="auto" w:fill="auto"/>
            <w:vAlign w:val="center"/>
          </w:tcPr>
          <w:p w14:paraId="3C49C37A" w14:textId="4108F912"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6" w:type="dxa"/>
            <w:shd w:val="clear" w:color="auto" w:fill="auto"/>
            <w:vAlign w:val="center"/>
          </w:tcPr>
          <w:p w14:paraId="3C49C37B" w14:textId="36AE894C" w:rsidR="0044498A" w:rsidRPr="00632C72" w:rsidRDefault="0044498A" w:rsidP="0044498A">
            <w:pPr>
              <w:spacing w:after="0" w:line="240" w:lineRule="auto"/>
              <w:jc w:val="center"/>
              <w:rPr>
                <w:rFonts w:cstheme="minorHAnsi"/>
                <w:sz w:val="20"/>
                <w:szCs w:val="20"/>
              </w:rPr>
            </w:pPr>
            <w:r w:rsidRPr="00632C72">
              <w:rPr>
                <w:rFonts w:cstheme="minorHAnsi"/>
                <w:sz w:val="20"/>
                <w:szCs w:val="20"/>
              </w:rPr>
              <w:t>S</w:t>
            </w:r>
          </w:p>
        </w:tc>
        <w:tc>
          <w:tcPr>
            <w:tcW w:w="655" w:type="dxa"/>
            <w:shd w:val="clear" w:color="auto" w:fill="auto"/>
            <w:vAlign w:val="center"/>
          </w:tcPr>
          <w:p w14:paraId="3C49C37C" w14:textId="0C4B7169" w:rsidR="0044498A" w:rsidRPr="00632C72" w:rsidRDefault="0044498A" w:rsidP="0044498A">
            <w:pPr>
              <w:spacing w:after="0" w:line="240" w:lineRule="auto"/>
              <w:jc w:val="center"/>
              <w:rPr>
                <w:rFonts w:cstheme="minorHAnsi"/>
                <w:sz w:val="20"/>
                <w:szCs w:val="20"/>
              </w:rPr>
            </w:pPr>
            <w:r w:rsidRPr="00632C72">
              <w:rPr>
                <w:rFonts w:cstheme="minorHAnsi"/>
                <w:sz w:val="20"/>
                <w:szCs w:val="20"/>
              </w:rPr>
              <w:t>S</w:t>
            </w:r>
          </w:p>
        </w:tc>
        <w:tc>
          <w:tcPr>
            <w:tcW w:w="656" w:type="dxa"/>
            <w:shd w:val="clear" w:color="auto" w:fill="auto"/>
            <w:vAlign w:val="center"/>
          </w:tcPr>
          <w:p w14:paraId="3C49C37D" w14:textId="571A003B" w:rsidR="0044498A" w:rsidRPr="00632C72" w:rsidRDefault="0044498A" w:rsidP="0044498A">
            <w:pPr>
              <w:spacing w:after="0" w:line="240" w:lineRule="auto"/>
              <w:jc w:val="center"/>
              <w:rPr>
                <w:rFonts w:cstheme="minorHAnsi"/>
                <w:sz w:val="20"/>
                <w:szCs w:val="20"/>
              </w:rPr>
            </w:pPr>
            <w:r>
              <w:rPr>
                <w:rFonts w:cstheme="minorHAnsi"/>
                <w:sz w:val="20"/>
                <w:szCs w:val="20"/>
              </w:rPr>
              <w:t>IP</w:t>
            </w:r>
            <w:r w:rsidRPr="00632C72">
              <w:rPr>
                <w:rFonts w:cstheme="minorHAnsi"/>
                <w:sz w:val="20"/>
                <w:szCs w:val="20"/>
              </w:rPr>
              <w:t>S</w:t>
            </w:r>
          </w:p>
        </w:tc>
        <w:tc>
          <w:tcPr>
            <w:tcW w:w="656" w:type="dxa"/>
            <w:shd w:val="clear" w:color="auto" w:fill="auto"/>
            <w:vAlign w:val="center"/>
          </w:tcPr>
          <w:p w14:paraId="3C49C37E" w14:textId="43B08DAC"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w:t>
            </w:r>
            <w:r>
              <w:rPr>
                <w:rFonts w:cstheme="minorHAnsi"/>
                <w:sz w:val="20"/>
                <w:szCs w:val="20"/>
              </w:rPr>
              <w:t>I</w:t>
            </w:r>
          </w:p>
        </w:tc>
        <w:tc>
          <w:tcPr>
            <w:tcW w:w="655" w:type="dxa"/>
            <w:shd w:val="clear" w:color="auto" w:fill="auto"/>
            <w:vAlign w:val="center"/>
          </w:tcPr>
          <w:p w14:paraId="3C49C37F" w14:textId="6708DAC2"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6" w:type="dxa"/>
            <w:shd w:val="clear" w:color="auto" w:fill="auto"/>
            <w:vAlign w:val="center"/>
          </w:tcPr>
          <w:p w14:paraId="3C49C380" w14:textId="4B264E39" w:rsidR="0044498A" w:rsidRPr="00632C72" w:rsidRDefault="0044498A" w:rsidP="0044498A">
            <w:pPr>
              <w:spacing w:after="0" w:line="240" w:lineRule="auto"/>
              <w:jc w:val="center"/>
              <w:rPr>
                <w:rFonts w:cstheme="minorHAnsi"/>
                <w:sz w:val="20"/>
                <w:szCs w:val="20"/>
              </w:rPr>
            </w:pPr>
            <w:r w:rsidRPr="00632C72">
              <w:rPr>
                <w:rFonts w:cstheme="minorHAnsi"/>
                <w:sz w:val="20"/>
                <w:szCs w:val="20"/>
              </w:rPr>
              <w:t>N/A</w:t>
            </w:r>
          </w:p>
        </w:tc>
        <w:tc>
          <w:tcPr>
            <w:tcW w:w="656" w:type="dxa"/>
            <w:shd w:val="clear" w:color="auto" w:fill="auto"/>
            <w:vAlign w:val="center"/>
          </w:tcPr>
          <w:p w14:paraId="3C49C381" w14:textId="17C1D18B" w:rsidR="0044498A" w:rsidRPr="00632C72" w:rsidRDefault="0044498A" w:rsidP="0044498A">
            <w:pPr>
              <w:spacing w:after="0" w:line="240" w:lineRule="auto"/>
              <w:jc w:val="center"/>
              <w:rPr>
                <w:rFonts w:cstheme="minorHAnsi"/>
                <w:sz w:val="20"/>
                <w:szCs w:val="20"/>
              </w:rPr>
            </w:pPr>
            <w:r>
              <w:rPr>
                <w:rFonts w:cstheme="minorHAnsi"/>
                <w:sz w:val="20"/>
                <w:szCs w:val="20"/>
              </w:rPr>
              <w:t>N/A</w:t>
            </w:r>
          </w:p>
        </w:tc>
      </w:tr>
      <w:tr w:rsidR="007B46F4" w:rsidRPr="003D4354" w14:paraId="3C49C38E" w14:textId="77777777" w:rsidTr="003D3F57">
        <w:trPr>
          <w:gridAfter w:val="1"/>
          <w:wAfter w:w="6" w:type="dxa"/>
          <w:trHeight w:val="510"/>
        </w:trPr>
        <w:tc>
          <w:tcPr>
            <w:tcW w:w="8789" w:type="dxa"/>
            <w:gridSpan w:val="2"/>
            <w:shd w:val="clear" w:color="auto" w:fill="F2F2F2" w:themeFill="background1" w:themeFillShade="F2"/>
          </w:tcPr>
          <w:p w14:paraId="3C49C383" w14:textId="4EA37169"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lastRenderedPageBreak/>
              <w:t>That each jurisdiction give regulators a broad suite of powers to monitor buildings and building work so that, as necessary, they can take strong compliance and enforcement action.</w:t>
            </w:r>
          </w:p>
        </w:tc>
        <w:tc>
          <w:tcPr>
            <w:tcW w:w="993" w:type="dxa"/>
            <w:shd w:val="clear" w:color="auto" w:fill="auto"/>
            <w:vAlign w:val="center"/>
          </w:tcPr>
          <w:p w14:paraId="3C49C384" w14:textId="77777777" w:rsidR="0044498A" w:rsidRPr="009544AA" w:rsidRDefault="0044498A" w:rsidP="0044498A">
            <w:pPr>
              <w:spacing w:after="0" w:line="240" w:lineRule="auto"/>
              <w:ind w:hanging="376"/>
              <w:jc w:val="center"/>
              <w:rPr>
                <w:sz w:val="20"/>
                <w:szCs w:val="20"/>
              </w:rPr>
            </w:pPr>
          </w:p>
        </w:tc>
        <w:tc>
          <w:tcPr>
            <w:tcW w:w="850" w:type="dxa"/>
            <w:shd w:val="clear" w:color="auto" w:fill="auto"/>
            <w:vAlign w:val="center"/>
          </w:tcPr>
          <w:p w14:paraId="3C49C385" w14:textId="4FF666DF" w:rsidR="0044498A" w:rsidRPr="00632C72" w:rsidRDefault="0044498A" w:rsidP="0044498A">
            <w:pPr>
              <w:spacing w:after="0" w:line="240" w:lineRule="auto"/>
              <w:jc w:val="center"/>
              <w:rPr>
                <w:rFonts w:cstheme="minorHAnsi"/>
                <w:sz w:val="20"/>
                <w:szCs w:val="20"/>
              </w:rPr>
            </w:pPr>
            <w:r>
              <w:rPr>
                <w:rFonts w:cstheme="minorHAnsi"/>
                <w:sz w:val="20"/>
                <w:szCs w:val="20"/>
              </w:rPr>
              <w:t>SOG/</w:t>
            </w:r>
            <w:r w:rsidR="007B46F4">
              <w:rPr>
                <w:rFonts w:cstheme="minorHAnsi"/>
                <w:sz w:val="20"/>
                <w:szCs w:val="20"/>
              </w:rPr>
              <w:t xml:space="preserve"> </w:t>
            </w:r>
            <w:r w:rsidRPr="00632C72">
              <w:rPr>
                <w:rFonts w:cstheme="minorHAnsi"/>
                <w:sz w:val="20"/>
                <w:szCs w:val="20"/>
              </w:rPr>
              <w:t>BRF</w:t>
            </w:r>
          </w:p>
        </w:tc>
        <w:tc>
          <w:tcPr>
            <w:tcW w:w="672" w:type="dxa"/>
            <w:shd w:val="clear" w:color="auto" w:fill="auto"/>
            <w:vAlign w:val="center"/>
          </w:tcPr>
          <w:p w14:paraId="3C49C386" w14:textId="225F3288"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shd w:val="clear" w:color="auto" w:fill="auto"/>
            <w:vAlign w:val="center"/>
          </w:tcPr>
          <w:p w14:paraId="3C49C387" w14:textId="728E18DE"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5" w:type="dxa"/>
            <w:shd w:val="clear" w:color="auto" w:fill="auto"/>
            <w:vAlign w:val="center"/>
          </w:tcPr>
          <w:p w14:paraId="3C49C388" w14:textId="16D95180"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shd w:val="clear" w:color="auto" w:fill="auto"/>
            <w:vAlign w:val="center"/>
          </w:tcPr>
          <w:p w14:paraId="3C49C389" w14:textId="0175402D" w:rsidR="0044498A" w:rsidRPr="00632C72" w:rsidRDefault="0044498A" w:rsidP="0044498A">
            <w:pPr>
              <w:spacing w:after="0" w:line="240" w:lineRule="auto"/>
              <w:jc w:val="center"/>
              <w:rPr>
                <w:rFonts w:cstheme="minorHAnsi"/>
                <w:sz w:val="20"/>
                <w:szCs w:val="20"/>
              </w:rPr>
            </w:pPr>
            <w:r>
              <w:rPr>
                <w:rFonts w:cstheme="minorHAnsi"/>
                <w:sz w:val="20"/>
                <w:szCs w:val="20"/>
              </w:rPr>
              <w:t>IP</w:t>
            </w:r>
            <w:r w:rsidRPr="00632C72">
              <w:rPr>
                <w:rFonts w:cstheme="minorHAnsi"/>
                <w:sz w:val="20"/>
                <w:szCs w:val="20"/>
              </w:rPr>
              <w:t>S</w:t>
            </w:r>
          </w:p>
        </w:tc>
        <w:tc>
          <w:tcPr>
            <w:tcW w:w="656" w:type="dxa"/>
            <w:shd w:val="clear" w:color="auto" w:fill="auto"/>
            <w:vAlign w:val="center"/>
          </w:tcPr>
          <w:p w14:paraId="3C49C38A" w14:textId="4B8803D9"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5" w:type="dxa"/>
            <w:shd w:val="clear" w:color="auto" w:fill="auto"/>
            <w:vAlign w:val="center"/>
          </w:tcPr>
          <w:p w14:paraId="3C49C38B" w14:textId="2C5080C7"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shd w:val="clear" w:color="auto" w:fill="auto"/>
            <w:vAlign w:val="center"/>
          </w:tcPr>
          <w:p w14:paraId="3C49C38C" w14:textId="08A0E819" w:rsidR="0044498A" w:rsidRPr="00632C72" w:rsidRDefault="0044498A" w:rsidP="0044498A">
            <w:pPr>
              <w:spacing w:after="0" w:line="240" w:lineRule="auto"/>
              <w:jc w:val="center"/>
              <w:rPr>
                <w:rFonts w:cstheme="minorHAnsi"/>
                <w:sz w:val="20"/>
                <w:szCs w:val="20"/>
              </w:rPr>
            </w:pPr>
            <w:r>
              <w:rPr>
                <w:rFonts w:cstheme="minorHAnsi"/>
                <w:sz w:val="20"/>
                <w:szCs w:val="20"/>
              </w:rPr>
              <w:t>PI</w:t>
            </w:r>
          </w:p>
        </w:tc>
        <w:tc>
          <w:tcPr>
            <w:tcW w:w="656" w:type="dxa"/>
            <w:shd w:val="clear" w:color="auto" w:fill="auto"/>
            <w:vAlign w:val="center"/>
          </w:tcPr>
          <w:p w14:paraId="3C49C38D" w14:textId="08F6A506" w:rsidR="0044498A" w:rsidRPr="00632C72" w:rsidRDefault="0044498A" w:rsidP="0044498A">
            <w:pPr>
              <w:spacing w:after="0" w:line="240" w:lineRule="auto"/>
              <w:jc w:val="center"/>
              <w:rPr>
                <w:rFonts w:cstheme="minorHAnsi"/>
                <w:sz w:val="20"/>
                <w:szCs w:val="20"/>
              </w:rPr>
            </w:pPr>
            <w:r>
              <w:rPr>
                <w:rFonts w:cstheme="minorHAnsi"/>
                <w:sz w:val="20"/>
                <w:szCs w:val="20"/>
              </w:rPr>
              <w:t>AI</w:t>
            </w:r>
          </w:p>
        </w:tc>
      </w:tr>
      <w:tr w:rsidR="007B46F4" w:rsidRPr="003D4354" w14:paraId="3C49C39A" w14:textId="77777777" w:rsidTr="003D3F57">
        <w:trPr>
          <w:gridAfter w:val="1"/>
          <w:wAfter w:w="6" w:type="dxa"/>
          <w:trHeight w:val="572"/>
        </w:trPr>
        <w:tc>
          <w:tcPr>
            <w:tcW w:w="8789" w:type="dxa"/>
            <w:gridSpan w:val="2"/>
            <w:shd w:val="clear" w:color="auto" w:fill="F2F2F2" w:themeFill="background1" w:themeFillShade="F2"/>
          </w:tcPr>
          <w:p w14:paraId="3C49C38F" w14:textId="6F42B830"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t>That each jurisdiction makes public its audit strategy for regulatory oversight of the construction of Commercial buildings, with annual reporting on audit findings and outcomes.</w:t>
            </w:r>
          </w:p>
        </w:tc>
        <w:tc>
          <w:tcPr>
            <w:tcW w:w="993" w:type="dxa"/>
            <w:shd w:val="clear" w:color="auto" w:fill="auto"/>
            <w:vAlign w:val="center"/>
          </w:tcPr>
          <w:p w14:paraId="3C49C390" w14:textId="77777777" w:rsidR="0044498A" w:rsidRPr="009544AA" w:rsidRDefault="0044498A" w:rsidP="0044498A">
            <w:pPr>
              <w:spacing w:after="0" w:line="240" w:lineRule="auto"/>
              <w:ind w:hanging="376"/>
              <w:jc w:val="center"/>
              <w:rPr>
                <w:sz w:val="20"/>
                <w:szCs w:val="20"/>
              </w:rPr>
            </w:pPr>
          </w:p>
        </w:tc>
        <w:tc>
          <w:tcPr>
            <w:tcW w:w="850" w:type="dxa"/>
            <w:shd w:val="clear" w:color="auto" w:fill="auto"/>
            <w:vAlign w:val="center"/>
          </w:tcPr>
          <w:p w14:paraId="3C49C391" w14:textId="4C09EEF3" w:rsidR="0044498A" w:rsidRPr="00632C72" w:rsidRDefault="0044498A" w:rsidP="0044498A">
            <w:pPr>
              <w:spacing w:after="0" w:line="240" w:lineRule="auto"/>
              <w:jc w:val="center"/>
              <w:rPr>
                <w:rFonts w:cstheme="minorHAnsi"/>
                <w:sz w:val="20"/>
                <w:szCs w:val="20"/>
              </w:rPr>
            </w:pPr>
            <w:r w:rsidRPr="00632C72">
              <w:rPr>
                <w:rFonts w:cstheme="minorHAnsi"/>
                <w:sz w:val="20"/>
                <w:szCs w:val="20"/>
              </w:rPr>
              <w:t>BRF</w:t>
            </w:r>
          </w:p>
        </w:tc>
        <w:tc>
          <w:tcPr>
            <w:tcW w:w="672" w:type="dxa"/>
            <w:shd w:val="clear" w:color="auto" w:fill="auto"/>
            <w:vAlign w:val="center"/>
          </w:tcPr>
          <w:p w14:paraId="3C49C392" w14:textId="30DA99FB"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shd w:val="clear" w:color="auto" w:fill="auto"/>
            <w:vAlign w:val="center"/>
          </w:tcPr>
          <w:p w14:paraId="3C49C393" w14:textId="5C3A3B2A"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5" w:type="dxa"/>
            <w:shd w:val="clear" w:color="auto" w:fill="auto"/>
            <w:vAlign w:val="center"/>
          </w:tcPr>
          <w:p w14:paraId="3C49C394" w14:textId="387EEA14"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shd w:val="clear" w:color="auto" w:fill="auto"/>
            <w:vAlign w:val="center"/>
          </w:tcPr>
          <w:p w14:paraId="3C49C395" w14:textId="6BCA0B00" w:rsidR="0044498A" w:rsidRPr="00632C72" w:rsidRDefault="0044498A" w:rsidP="0044498A">
            <w:pPr>
              <w:spacing w:after="0" w:line="240" w:lineRule="auto"/>
              <w:jc w:val="center"/>
              <w:rPr>
                <w:rFonts w:cstheme="minorHAnsi"/>
                <w:sz w:val="20"/>
                <w:szCs w:val="20"/>
              </w:rPr>
            </w:pPr>
            <w:r>
              <w:rPr>
                <w:rFonts w:cstheme="minorHAnsi"/>
                <w:sz w:val="20"/>
                <w:szCs w:val="20"/>
              </w:rPr>
              <w:t>IP</w:t>
            </w:r>
            <w:r w:rsidRPr="00632C72">
              <w:rPr>
                <w:rFonts w:cstheme="minorHAnsi"/>
                <w:sz w:val="20"/>
                <w:szCs w:val="20"/>
              </w:rPr>
              <w:t>S</w:t>
            </w:r>
          </w:p>
        </w:tc>
        <w:tc>
          <w:tcPr>
            <w:tcW w:w="656" w:type="dxa"/>
            <w:shd w:val="clear" w:color="auto" w:fill="auto"/>
            <w:vAlign w:val="center"/>
          </w:tcPr>
          <w:p w14:paraId="3C49C396" w14:textId="59C96B17"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5" w:type="dxa"/>
            <w:shd w:val="clear" w:color="auto" w:fill="auto"/>
            <w:vAlign w:val="center"/>
          </w:tcPr>
          <w:p w14:paraId="3C49C397" w14:textId="64EFFD60"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shd w:val="clear" w:color="auto" w:fill="auto"/>
            <w:vAlign w:val="center"/>
          </w:tcPr>
          <w:p w14:paraId="3C49C398" w14:textId="32F76EF4" w:rsidR="0044498A" w:rsidRPr="00632C72" w:rsidRDefault="0044498A" w:rsidP="0044498A">
            <w:pPr>
              <w:spacing w:after="0" w:line="240" w:lineRule="auto"/>
              <w:jc w:val="center"/>
              <w:rPr>
                <w:rFonts w:cstheme="minorHAnsi"/>
                <w:sz w:val="20"/>
                <w:szCs w:val="20"/>
              </w:rPr>
            </w:pPr>
            <w:r>
              <w:rPr>
                <w:rFonts w:cstheme="minorHAnsi"/>
                <w:sz w:val="20"/>
                <w:szCs w:val="20"/>
              </w:rPr>
              <w:t>PI</w:t>
            </w:r>
          </w:p>
        </w:tc>
        <w:tc>
          <w:tcPr>
            <w:tcW w:w="656" w:type="dxa"/>
            <w:shd w:val="clear" w:color="auto" w:fill="auto"/>
            <w:vAlign w:val="center"/>
          </w:tcPr>
          <w:p w14:paraId="3C49C399" w14:textId="0FEBF2AB" w:rsidR="0044498A" w:rsidRPr="00632C72" w:rsidRDefault="0044498A" w:rsidP="0044498A">
            <w:pPr>
              <w:spacing w:after="0" w:line="240" w:lineRule="auto"/>
              <w:jc w:val="center"/>
              <w:rPr>
                <w:rFonts w:cstheme="minorHAnsi"/>
                <w:sz w:val="20"/>
                <w:szCs w:val="20"/>
              </w:rPr>
            </w:pPr>
            <w:r>
              <w:rPr>
                <w:rFonts w:cstheme="minorHAnsi"/>
                <w:sz w:val="20"/>
                <w:szCs w:val="20"/>
              </w:rPr>
              <w:t>PI</w:t>
            </w:r>
          </w:p>
        </w:tc>
      </w:tr>
      <w:tr w:rsidR="007B46F4" w:rsidRPr="003D4354" w14:paraId="3C49C3A6" w14:textId="77777777" w:rsidTr="003D3F57">
        <w:trPr>
          <w:gridAfter w:val="1"/>
          <w:wAfter w:w="6" w:type="dxa"/>
          <w:trHeight w:val="20"/>
        </w:trPr>
        <w:tc>
          <w:tcPr>
            <w:tcW w:w="8789" w:type="dxa"/>
            <w:gridSpan w:val="2"/>
            <w:shd w:val="clear" w:color="auto" w:fill="F2F2F2" w:themeFill="background1" w:themeFillShade="F2"/>
          </w:tcPr>
          <w:p w14:paraId="3C49C39B" w14:textId="6DA0EA9E"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t xml:space="preserve">That, consistent with the International Fire Engineering Guidelines (IFEG), each jurisdiction requires developers, architects, builders, engineers and building surveyors to engage with fire authorities as part of the design process. </w:t>
            </w:r>
          </w:p>
        </w:tc>
        <w:tc>
          <w:tcPr>
            <w:tcW w:w="993" w:type="dxa"/>
            <w:shd w:val="clear" w:color="auto" w:fill="auto"/>
            <w:vAlign w:val="center"/>
          </w:tcPr>
          <w:p w14:paraId="3C49C39C" w14:textId="77777777" w:rsidR="0044498A" w:rsidRPr="009544AA" w:rsidRDefault="0044498A" w:rsidP="0044498A">
            <w:pPr>
              <w:spacing w:after="0" w:line="240" w:lineRule="auto"/>
              <w:ind w:hanging="376"/>
              <w:jc w:val="center"/>
              <w:rPr>
                <w:sz w:val="20"/>
                <w:szCs w:val="20"/>
              </w:rPr>
            </w:pPr>
          </w:p>
        </w:tc>
        <w:tc>
          <w:tcPr>
            <w:tcW w:w="850" w:type="dxa"/>
            <w:shd w:val="clear" w:color="auto" w:fill="auto"/>
            <w:vAlign w:val="center"/>
          </w:tcPr>
          <w:p w14:paraId="3C49C39D" w14:textId="65631026" w:rsidR="0044498A" w:rsidRPr="00632C72" w:rsidRDefault="0044498A" w:rsidP="0044498A">
            <w:pPr>
              <w:spacing w:after="0" w:line="240" w:lineRule="auto"/>
              <w:jc w:val="center"/>
              <w:rPr>
                <w:rFonts w:cstheme="minorHAnsi"/>
                <w:sz w:val="20"/>
                <w:szCs w:val="20"/>
              </w:rPr>
            </w:pPr>
            <w:r>
              <w:rPr>
                <w:rFonts w:cstheme="minorHAnsi"/>
                <w:sz w:val="20"/>
                <w:szCs w:val="20"/>
              </w:rPr>
              <w:t>ABCB</w:t>
            </w:r>
          </w:p>
        </w:tc>
        <w:tc>
          <w:tcPr>
            <w:tcW w:w="672" w:type="dxa"/>
            <w:shd w:val="clear" w:color="auto" w:fill="auto"/>
            <w:vAlign w:val="center"/>
          </w:tcPr>
          <w:p w14:paraId="3C49C39E" w14:textId="67025720"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shd w:val="clear" w:color="auto" w:fill="auto"/>
            <w:vAlign w:val="center"/>
          </w:tcPr>
          <w:p w14:paraId="3C49C39F" w14:textId="150DF046"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5" w:type="dxa"/>
            <w:shd w:val="clear" w:color="auto" w:fill="auto"/>
            <w:vAlign w:val="center"/>
          </w:tcPr>
          <w:p w14:paraId="3C49C3A0" w14:textId="46F44969"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shd w:val="clear" w:color="auto" w:fill="auto"/>
            <w:vAlign w:val="center"/>
          </w:tcPr>
          <w:p w14:paraId="3C49C3A1" w14:textId="36E9C3CD"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6" w:type="dxa"/>
            <w:shd w:val="clear" w:color="auto" w:fill="auto"/>
            <w:vAlign w:val="center"/>
          </w:tcPr>
          <w:p w14:paraId="3C49C3A2" w14:textId="1F8A65B7" w:rsidR="0044498A" w:rsidRPr="00632C72" w:rsidRDefault="0044498A" w:rsidP="0044498A">
            <w:pPr>
              <w:spacing w:after="0" w:line="240" w:lineRule="auto"/>
              <w:jc w:val="center"/>
              <w:rPr>
                <w:rFonts w:cstheme="minorHAnsi"/>
                <w:sz w:val="20"/>
                <w:szCs w:val="20"/>
              </w:rPr>
            </w:pPr>
            <w:r>
              <w:rPr>
                <w:rFonts w:cstheme="minorHAnsi"/>
                <w:sz w:val="20"/>
                <w:szCs w:val="20"/>
              </w:rPr>
              <w:t>AI</w:t>
            </w:r>
          </w:p>
        </w:tc>
        <w:tc>
          <w:tcPr>
            <w:tcW w:w="655" w:type="dxa"/>
            <w:shd w:val="clear" w:color="auto" w:fill="auto"/>
            <w:vAlign w:val="center"/>
          </w:tcPr>
          <w:p w14:paraId="3C49C3A3" w14:textId="38233DFB"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shd w:val="clear" w:color="auto" w:fill="auto"/>
            <w:vAlign w:val="center"/>
          </w:tcPr>
          <w:p w14:paraId="3C49C3A4" w14:textId="1142E013"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shd w:val="clear" w:color="auto" w:fill="auto"/>
            <w:vAlign w:val="center"/>
          </w:tcPr>
          <w:p w14:paraId="3C49C3A5" w14:textId="4DB29CA8" w:rsidR="0044498A" w:rsidRPr="00632C72" w:rsidRDefault="0044498A" w:rsidP="0044498A">
            <w:pPr>
              <w:spacing w:after="0" w:line="240" w:lineRule="auto"/>
              <w:jc w:val="center"/>
              <w:rPr>
                <w:rFonts w:cstheme="minorHAnsi"/>
                <w:sz w:val="20"/>
                <w:szCs w:val="20"/>
              </w:rPr>
            </w:pPr>
            <w:r>
              <w:rPr>
                <w:rFonts w:cstheme="minorHAnsi"/>
                <w:sz w:val="20"/>
                <w:szCs w:val="20"/>
              </w:rPr>
              <w:t>AI</w:t>
            </w:r>
          </w:p>
        </w:tc>
      </w:tr>
      <w:tr w:rsidR="007B46F4" w:rsidRPr="003D4354" w14:paraId="3C49C3B2" w14:textId="77777777" w:rsidTr="003D3F57">
        <w:trPr>
          <w:gridAfter w:val="1"/>
          <w:wAfter w:w="6" w:type="dxa"/>
          <w:trHeight w:val="20"/>
        </w:trPr>
        <w:tc>
          <w:tcPr>
            <w:tcW w:w="8789" w:type="dxa"/>
            <w:gridSpan w:val="2"/>
            <w:shd w:val="clear" w:color="auto" w:fill="F2F2F2" w:themeFill="background1" w:themeFillShade="F2"/>
          </w:tcPr>
          <w:p w14:paraId="3C49C3A7" w14:textId="51559FDD"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t xml:space="preserve">That each jurisdiction establishes minimum statutory controls to mitigate conflicts of interest and increase transparency of the engagement and responsibilities of private building surveyors. </w:t>
            </w:r>
          </w:p>
        </w:tc>
        <w:tc>
          <w:tcPr>
            <w:tcW w:w="993" w:type="dxa"/>
            <w:shd w:val="clear" w:color="auto" w:fill="auto"/>
            <w:vAlign w:val="center"/>
          </w:tcPr>
          <w:p w14:paraId="3C49C3A8" w14:textId="118831A6" w:rsidR="0044498A" w:rsidRPr="00C7592C" w:rsidRDefault="0044498A" w:rsidP="0044498A">
            <w:pPr>
              <w:spacing w:after="0" w:line="240" w:lineRule="auto"/>
              <w:jc w:val="center"/>
              <w:rPr>
                <w:sz w:val="20"/>
                <w:szCs w:val="20"/>
              </w:rPr>
            </w:pPr>
            <w:r>
              <w:rPr>
                <w:noProof/>
                <w:lang w:eastAsia="en-AU"/>
              </w:rPr>
              <w:drawing>
                <wp:inline distT="0" distB="0" distL="0" distR="0" wp14:anchorId="30E55C96" wp14:editId="6A1DB191">
                  <wp:extent cx="325755" cy="270510"/>
                  <wp:effectExtent l="0" t="0" r="0" b="0"/>
                  <wp:docPr id="3" name="Picture 3"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 cy="270510"/>
                          </a:xfrm>
                          <a:prstGeom prst="rect">
                            <a:avLst/>
                          </a:prstGeom>
                          <a:noFill/>
                          <a:ln>
                            <a:noFill/>
                          </a:ln>
                        </pic:spPr>
                      </pic:pic>
                    </a:graphicData>
                  </a:graphic>
                </wp:inline>
              </w:drawing>
            </w:r>
          </w:p>
        </w:tc>
        <w:tc>
          <w:tcPr>
            <w:tcW w:w="850" w:type="dxa"/>
            <w:shd w:val="clear" w:color="auto" w:fill="auto"/>
            <w:vAlign w:val="center"/>
          </w:tcPr>
          <w:p w14:paraId="3C49C3A9" w14:textId="60A568E5" w:rsidR="0044498A" w:rsidRPr="00632C72" w:rsidRDefault="0044498A" w:rsidP="0044498A">
            <w:pPr>
              <w:spacing w:after="0" w:line="240" w:lineRule="auto"/>
              <w:jc w:val="center"/>
              <w:rPr>
                <w:rFonts w:cstheme="minorHAnsi"/>
                <w:sz w:val="20"/>
                <w:szCs w:val="20"/>
              </w:rPr>
            </w:pPr>
            <w:r w:rsidRPr="00632C72">
              <w:rPr>
                <w:rFonts w:cstheme="minorHAnsi"/>
                <w:sz w:val="20"/>
                <w:szCs w:val="20"/>
              </w:rPr>
              <w:t>SOG</w:t>
            </w:r>
          </w:p>
        </w:tc>
        <w:tc>
          <w:tcPr>
            <w:tcW w:w="672" w:type="dxa"/>
            <w:shd w:val="clear" w:color="auto" w:fill="auto"/>
            <w:vAlign w:val="center"/>
          </w:tcPr>
          <w:p w14:paraId="3C49C3AA" w14:textId="60563AA8"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shd w:val="clear" w:color="auto" w:fill="auto"/>
            <w:vAlign w:val="center"/>
          </w:tcPr>
          <w:p w14:paraId="3C49C3AB" w14:textId="2F6514D0"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5" w:type="dxa"/>
            <w:shd w:val="clear" w:color="auto" w:fill="auto"/>
            <w:vAlign w:val="center"/>
          </w:tcPr>
          <w:p w14:paraId="3C49C3AC" w14:textId="45859FC1"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shd w:val="clear" w:color="auto" w:fill="auto"/>
            <w:vAlign w:val="center"/>
          </w:tcPr>
          <w:p w14:paraId="3C49C3AD" w14:textId="08537C8D"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6" w:type="dxa"/>
            <w:shd w:val="clear" w:color="auto" w:fill="auto"/>
            <w:vAlign w:val="center"/>
          </w:tcPr>
          <w:p w14:paraId="3C49C3AE" w14:textId="2CC85BC7"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5" w:type="dxa"/>
            <w:shd w:val="clear" w:color="auto" w:fill="auto"/>
            <w:vAlign w:val="center"/>
          </w:tcPr>
          <w:p w14:paraId="3C49C3AF" w14:textId="46291516"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shd w:val="clear" w:color="auto" w:fill="auto"/>
            <w:vAlign w:val="center"/>
          </w:tcPr>
          <w:p w14:paraId="3C49C3B0" w14:textId="6D027743"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shd w:val="clear" w:color="auto" w:fill="auto"/>
            <w:vAlign w:val="center"/>
          </w:tcPr>
          <w:p w14:paraId="3C49C3B1" w14:textId="0D3474F0" w:rsidR="0044498A" w:rsidRPr="00632C72" w:rsidRDefault="0044498A" w:rsidP="0044498A">
            <w:pPr>
              <w:spacing w:after="0" w:line="240" w:lineRule="auto"/>
              <w:jc w:val="center"/>
              <w:rPr>
                <w:rFonts w:cstheme="minorHAnsi"/>
                <w:sz w:val="20"/>
                <w:szCs w:val="20"/>
              </w:rPr>
            </w:pPr>
            <w:r>
              <w:rPr>
                <w:rFonts w:cstheme="minorHAnsi"/>
                <w:sz w:val="20"/>
                <w:szCs w:val="20"/>
              </w:rPr>
              <w:t>PI</w:t>
            </w:r>
          </w:p>
        </w:tc>
      </w:tr>
      <w:tr w:rsidR="007B46F4" w:rsidRPr="003D4354" w14:paraId="3C49C3BE" w14:textId="77777777" w:rsidTr="003D3F57">
        <w:trPr>
          <w:gridAfter w:val="1"/>
          <w:wAfter w:w="6" w:type="dxa"/>
          <w:trHeight w:val="255"/>
        </w:trPr>
        <w:tc>
          <w:tcPr>
            <w:tcW w:w="8789" w:type="dxa"/>
            <w:gridSpan w:val="2"/>
            <w:shd w:val="clear" w:color="auto" w:fill="F2F2F2" w:themeFill="background1" w:themeFillShade="F2"/>
          </w:tcPr>
          <w:p w14:paraId="3C49C3B3" w14:textId="5CE2D3D9"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t>That each jurisdiction put in place a code of conduct for building surveyors which addresses the key matters which, if contravened, would be a ground for a disciplinary inquiry.</w:t>
            </w:r>
          </w:p>
        </w:tc>
        <w:tc>
          <w:tcPr>
            <w:tcW w:w="993" w:type="dxa"/>
            <w:shd w:val="clear" w:color="auto" w:fill="auto"/>
            <w:vAlign w:val="center"/>
          </w:tcPr>
          <w:p w14:paraId="3C49C3B4" w14:textId="1DDC0EE7" w:rsidR="0044498A" w:rsidRPr="00C7592C" w:rsidRDefault="0044498A" w:rsidP="0044498A">
            <w:pPr>
              <w:spacing w:after="0" w:line="240" w:lineRule="auto"/>
              <w:jc w:val="center"/>
              <w:rPr>
                <w:sz w:val="20"/>
                <w:szCs w:val="20"/>
              </w:rPr>
            </w:pPr>
            <w:r>
              <w:rPr>
                <w:noProof/>
                <w:lang w:eastAsia="en-AU"/>
              </w:rPr>
              <w:drawing>
                <wp:inline distT="0" distB="0" distL="0" distR="0" wp14:anchorId="1E346BE4" wp14:editId="5C1BD79A">
                  <wp:extent cx="325755" cy="270510"/>
                  <wp:effectExtent l="0" t="0" r="0" b="0"/>
                  <wp:docPr id="4" name="Picture 4"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 cy="270510"/>
                          </a:xfrm>
                          <a:prstGeom prst="rect">
                            <a:avLst/>
                          </a:prstGeom>
                          <a:noFill/>
                          <a:ln>
                            <a:noFill/>
                          </a:ln>
                        </pic:spPr>
                      </pic:pic>
                    </a:graphicData>
                  </a:graphic>
                </wp:inline>
              </w:drawing>
            </w:r>
          </w:p>
        </w:tc>
        <w:tc>
          <w:tcPr>
            <w:tcW w:w="850" w:type="dxa"/>
            <w:shd w:val="clear" w:color="auto" w:fill="auto"/>
            <w:vAlign w:val="center"/>
          </w:tcPr>
          <w:p w14:paraId="3C49C3B5" w14:textId="14C8D99B" w:rsidR="0044498A" w:rsidRPr="00632C72" w:rsidRDefault="0044498A" w:rsidP="0044498A">
            <w:pPr>
              <w:spacing w:after="0" w:line="240" w:lineRule="auto"/>
              <w:jc w:val="center"/>
              <w:rPr>
                <w:rFonts w:cstheme="minorHAnsi"/>
                <w:sz w:val="20"/>
                <w:szCs w:val="20"/>
              </w:rPr>
            </w:pPr>
            <w:r w:rsidRPr="00632C72">
              <w:rPr>
                <w:rFonts w:cstheme="minorHAnsi"/>
                <w:sz w:val="20"/>
                <w:szCs w:val="20"/>
              </w:rPr>
              <w:t>SOG</w:t>
            </w:r>
          </w:p>
        </w:tc>
        <w:tc>
          <w:tcPr>
            <w:tcW w:w="672" w:type="dxa"/>
            <w:shd w:val="clear" w:color="auto" w:fill="auto"/>
            <w:vAlign w:val="center"/>
          </w:tcPr>
          <w:p w14:paraId="3C49C3B6" w14:textId="589B44A9"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shd w:val="clear" w:color="auto" w:fill="auto"/>
            <w:vAlign w:val="center"/>
          </w:tcPr>
          <w:p w14:paraId="3C49C3B7" w14:textId="159E3FDB"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5" w:type="dxa"/>
            <w:shd w:val="clear" w:color="auto" w:fill="auto"/>
            <w:vAlign w:val="center"/>
          </w:tcPr>
          <w:p w14:paraId="3C49C3B8" w14:textId="0AAD97BB"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shd w:val="clear" w:color="auto" w:fill="auto"/>
            <w:vAlign w:val="center"/>
          </w:tcPr>
          <w:p w14:paraId="3C49C3B9" w14:textId="37F09425"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6" w:type="dxa"/>
            <w:shd w:val="clear" w:color="auto" w:fill="auto"/>
            <w:vAlign w:val="center"/>
          </w:tcPr>
          <w:p w14:paraId="3C49C3BA" w14:textId="20798601" w:rsidR="0044498A" w:rsidRPr="00632C72" w:rsidRDefault="0044498A" w:rsidP="0044498A">
            <w:pPr>
              <w:spacing w:after="0" w:line="240" w:lineRule="auto"/>
              <w:jc w:val="center"/>
              <w:rPr>
                <w:rFonts w:cstheme="minorHAnsi"/>
                <w:sz w:val="20"/>
                <w:szCs w:val="20"/>
              </w:rPr>
            </w:pPr>
            <w:r w:rsidRPr="00632C72">
              <w:rPr>
                <w:rFonts w:cstheme="minorHAnsi"/>
                <w:sz w:val="20"/>
                <w:szCs w:val="20"/>
              </w:rPr>
              <w:t>S</w:t>
            </w:r>
          </w:p>
        </w:tc>
        <w:tc>
          <w:tcPr>
            <w:tcW w:w="655" w:type="dxa"/>
            <w:shd w:val="clear" w:color="auto" w:fill="auto"/>
            <w:vAlign w:val="center"/>
          </w:tcPr>
          <w:p w14:paraId="3C49C3BB" w14:textId="0A09C1E6"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shd w:val="clear" w:color="auto" w:fill="auto"/>
            <w:vAlign w:val="center"/>
          </w:tcPr>
          <w:p w14:paraId="3C49C3BC" w14:textId="11789868"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shd w:val="clear" w:color="auto" w:fill="auto"/>
            <w:vAlign w:val="center"/>
          </w:tcPr>
          <w:p w14:paraId="3C49C3BD" w14:textId="506DC363" w:rsidR="0044498A" w:rsidRPr="00632C72" w:rsidRDefault="0044498A" w:rsidP="0044498A">
            <w:pPr>
              <w:spacing w:after="0" w:line="240" w:lineRule="auto"/>
              <w:jc w:val="center"/>
              <w:rPr>
                <w:rFonts w:cstheme="minorHAnsi"/>
                <w:sz w:val="20"/>
                <w:szCs w:val="20"/>
              </w:rPr>
            </w:pPr>
            <w:r>
              <w:rPr>
                <w:rFonts w:cstheme="minorHAnsi"/>
                <w:sz w:val="20"/>
                <w:szCs w:val="20"/>
              </w:rPr>
              <w:t>AI</w:t>
            </w:r>
          </w:p>
        </w:tc>
      </w:tr>
      <w:tr w:rsidR="007B46F4" w:rsidRPr="003D4354" w14:paraId="3C49C3CA" w14:textId="77777777" w:rsidTr="003D3F57">
        <w:trPr>
          <w:gridAfter w:val="1"/>
          <w:wAfter w:w="6" w:type="dxa"/>
          <w:trHeight w:val="255"/>
        </w:trPr>
        <w:tc>
          <w:tcPr>
            <w:tcW w:w="8789" w:type="dxa"/>
            <w:gridSpan w:val="2"/>
            <w:shd w:val="clear" w:color="auto" w:fill="F2F2F2" w:themeFill="background1" w:themeFillShade="F2"/>
          </w:tcPr>
          <w:p w14:paraId="3C49C3BF" w14:textId="04E621A0"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t>That each jurisdiction provides private building surveyors with enhanced supervisory powers and mandatory reporting obligations.</w:t>
            </w:r>
          </w:p>
        </w:tc>
        <w:tc>
          <w:tcPr>
            <w:tcW w:w="993" w:type="dxa"/>
            <w:shd w:val="clear" w:color="auto" w:fill="auto"/>
            <w:vAlign w:val="center"/>
          </w:tcPr>
          <w:p w14:paraId="3C49C3C0" w14:textId="77515B13" w:rsidR="0044498A" w:rsidRPr="00C7592C" w:rsidRDefault="0044498A" w:rsidP="0044498A">
            <w:pPr>
              <w:spacing w:after="0" w:line="240" w:lineRule="auto"/>
              <w:jc w:val="center"/>
              <w:rPr>
                <w:sz w:val="20"/>
                <w:szCs w:val="20"/>
              </w:rPr>
            </w:pPr>
            <w:r>
              <w:rPr>
                <w:noProof/>
                <w:lang w:eastAsia="en-AU"/>
              </w:rPr>
              <w:drawing>
                <wp:inline distT="0" distB="0" distL="0" distR="0" wp14:anchorId="071FDED1" wp14:editId="6CB3B597">
                  <wp:extent cx="325755" cy="270510"/>
                  <wp:effectExtent l="0" t="0" r="0" b="0"/>
                  <wp:docPr id="5" name="Picture 5"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 cy="270510"/>
                          </a:xfrm>
                          <a:prstGeom prst="rect">
                            <a:avLst/>
                          </a:prstGeom>
                          <a:noFill/>
                          <a:ln>
                            <a:noFill/>
                          </a:ln>
                        </pic:spPr>
                      </pic:pic>
                    </a:graphicData>
                  </a:graphic>
                </wp:inline>
              </w:drawing>
            </w:r>
          </w:p>
        </w:tc>
        <w:tc>
          <w:tcPr>
            <w:tcW w:w="850" w:type="dxa"/>
            <w:shd w:val="clear" w:color="auto" w:fill="auto"/>
            <w:vAlign w:val="center"/>
          </w:tcPr>
          <w:p w14:paraId="3C49C3C1" w14:textId="4DA0C6F1" w:rsidR="0044498A" w:rsidRPr="00632C72" w:rsidRDefault="0044498A" w:rsidP="0044498A">
            <w:pPr>
              <w:spacing w:after="0" w:line="240" w:lineRule="auto"/>
              <w:jc w:val="center"/>
              <w:rPr>
                <w:rFonts w:cstheme="minorHAnsi"/>
                <w:sz w:val="20"/>
                <w:szCs w:val="20"/>
              </w:rPr>
            </w:pPr>
            <w:r w:rsidRPr="00632C72">
              <w:rPr>
                <w:rFonts w:cstheme="minorHAnsi"/>
                <w:sz w:val="20"/>
                <w:szCs w:val="20"/>
              </w:rPr>
              <w:t>SOG</w:t>
            </w:r>
          </w:p>
        </w:tc>
        <w:tc>
          <w:tcPr>
            <w:tcW w:w="672" w:type="dxa"/>
            <w:shd w:val="clear" w:color="auto" w:fill="auto"/>
            <w:vAlign w:val="center"/>
          </w:tcPr>
          <w:p w14:paraId="3C49C3C2" w14:textId="3E2549D1"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shd w:val="clear" w:color="auto" w:fill="auto"/>
            <w:vAlign w:val="center"/>
          </w:tcPr>
          <w:p w14:paraId="3C49C3C3" w14:textId="509DEE11"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5" w:type="dxa"/>
            <w:shd w:val="clear" w:color="auto" w:fill="auto"/>
            <w:vAlign w:val="center"/>
          </w:tcPr>
          <w:p w14:paraId="3C49C3C4" w14:textId="2F2EDABF"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shd w:val="clear" w:color="auto" w:fill="auto"/>
            <w:vAlign w:val="center"/>
          </w:tcPr>
          <w:p w14:paraId="3C49C3C5" w14:textId="69D1E200"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6" w:type="dxa"/>
            <w:shd w:val="clear" w:color="auto" w:fill="auto"/>
            <w:vAlign w:val="center"/>
          </w:tcPr>
          <w:p w14:paraId="3C49C3C6" w14:textId="7FDD4353" w:rsidR="0044498A" w:rsidRPr="00632C72" w:rsidRDefault="0044498A" w:rsidP="0044498A">
            <w:pPr>
              <w:spacing w:after="0" w:line="240" w:lineRule="auto"/>
              <w:jc w:val="center"/>
              <w:rPr>
                <w:rFonts w:cstheme="minorHAnsi"/>
                <w:sz w:val="20"/>
                <w:szCs w:val="20"/>
              </w:rPr>
            </w:pPr>
            <w:r w:rsidRPr="00632C72">
              <w:rPr>
                <w:rFonts w:cstheme="minorHAnsi"/>
                <w:sz w:val="20"/>
                <w:szCs w:val="20"/>
              </w:rPr>
              <w:t>UC</w:t>
            </w:r>
          </w:p>
        </w:tc>
        <w:tc>
          <w:tcPr>
            <w:tcW w:w="655" w:type="dxa"/>
            <w:shd w:val="clear" w:color="auto" w:fill="auto"/>
            <w:vAlign w:val="center"/>
          </w:tcPr>
          <w:p w14:paraId="3C49C3C7" w14:textId="751A8BF6"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shd w:val="clear" w:color="auto" w:fill="auto"/>
            <w:vAlign w:val="center"/>
          </w:tcPr>
          <w:p w14:paraId="3C49C3C8" w14:textId="1E4E2F36"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shd w:val="clear" w:color="auto" w:fill="auto"/>
            <w:vAlign w:val="center"/>
          </w:tcPr>
          <w:p w14:paraId="3C49C3C9" w14:textId="1E659E6B" w:rsidR="0044498A" w:rsidRPr="00632C72" w:rsidRDefault="0044498A" w:rsidP="0044498A">
            <w:pPr>
              <w:spacing w:after="0" w:line="240" w:lineRule="auto"/>
              <w:jc w:val="center"/>
              <w:rPr>
                <w:rFonts w:cstheme="minorHAnsi"/>
                <w:sz w:val="20"/>
                <w:szCs w:val="20"/>
              </w:rPr>
            </w:pPr>
            <w:r>
              <w:rPr>
                <w:rFonts w:cstheme="minorHAnsi"/>
                <w:sz w:val="20"/>
                <w:szCs w:val="20"/>
              </w:rPr>
              <w:t>PI</w:t>
            </w:r>
          </w:p>
        </w:tc>
      </w:tr>
      <w:tr w:rsidR="007B46F4" w:rsidRPr="003D4354" w14:paraId="3C49C3D6" w14:textId="77777777" w:rsidTr="003D3F57">
        <w:trPr>
          <w:gridAfter w:val="1"/>
          <w:wAfter w:w="6" w:type="dxa"/>
          <w:trHeight w:val="198"/>
        </w:trPr>
        <w:tc>
          <w:tcPr>
            <w:tcW w:w="8789" w:type="dxa"/>
            <w:gridSpan w:val="2"/>
            <w:shd w:val="clear" w:color="auto" w:fill="F2F2F2" w:themeFill="background1" w:themeFillShade="F2"/>
          </w:tcPr>
          <w:p w14:paraId="3C49C3CB" w14:textId="0BA498EC"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t xml:space="preserve">That each jurisdiction establishes a building information database that provides a centralised source of building design and construction documentation. </w:t>
            </w:r>
          </w:p>
        </w:tc>
        <w:tc>
          <w:tcPr>
            <w:tcW w:w="993" w:type="dxa"/>
            <w:shd w:val="clear" w:color="auto" w:fill="auto"/>
            <w:vAlign w:val="center"/>
          </w:tcPr>
          <w:p w14:paraId="3C49C3CC" w14:textId="77777777" w:rsidR="0044498A" w:rsidRPr="009544AA" w:rsidRDefault="0044498A" w:rsidP="0044498A">
            <w:pPr>
              <w:spacing w:after="0" w:line="240" w:lineRule="auto"/>
              <w:ind w:hanging="376"/>
              <w:jc w:val="center"/>
              <w:rPr>
                <w:sz w:val="20"/>
                <w:szCs w:val="20"/>
              </w:rPr>
            </w:pPr>
          </w:p>
        </w:tc>
        <w:tc>
          <w:tcPr>
            <w:tcW w:w="850" w:type="dxa"/>
            <w:shd w:val="clear" w:color="auto" w:fill="auto"/>
            <w:vAlign w:val="center"/>
          </w:tcPr>
          <w:p w14:paraId="3C49C3CD" w14:textId="1F410747" w:rsidR="0044498A" w:rsidRPr="00632C72" w:rsidRDefault="0044498A" w:rsidP="0044498A">
            <w:pPr>
              <w:spacing w:after="0" w:line="240" w:lineRule="auto"/>
              <w:jc w:val="center"/>
              <w:rPr>
                <w:rFonts w:cstheme="minorHAnsi"/>
                <w:sz w:val="20"/>
                <w:szCs w:val="20"/>
              </w:rPr>
            </w:pPr>
            <w:r w:rsidRPr="00632C72">
              <w:rPr>
                <w:rFonts w:cstheme="minorHAnsi"/>
                <w:sz w:val="20"/>
                <w:szCs w:val="20"/>
              </w:rPr>
              <w:t>SOG</w:t>
            </w:r>
          </w:p>
        </w:tc>
        <w:tc>
          <w:tcPr>
            <w:tcW w:w="672" w:type="dxa"/>
            <w:shd w:val="clear" w:color="auto" w:fill="auto"/>
            <w:vAlign w:val="center"/>
          </w:tcPr>
          <w:p w14:paraId="3C49C3CE" w14:textId="7E34DE40"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shd w:val="clear" w:color="auto" w:fill="auto"/>
            <w:vAlign w:val="center"/>
          </w:tcPr>
          <w:p w14:paraId="3C49C3CF" w14:textId="0D6A855F"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5" w:type="dxa"/>
            <w:shd w:val="clear" w:color="auto" w:fill="auto"/>
            <w:vAlign w:val="center"/>
          </w:tcPr>
          <w:p w14:paraId="3C49C3D0" w14:textId="5D348577"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shd w:val="clear" w:color="auto" w:fill="auto"/>
            <w:vAlign w:val="center"/>
          </w:tcPr>
          <w:p w14:paraId="3C49C3D1" w14:textId="362BBB37"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6" w:type="dxa"/>
            <w:shd w:val="clear" w:color="auto" w:fill="auto"/>
            <w:vAlign w:val="center"/>
          </w:tcPr>
          <w:p w14:paraId="3C49C3D2" w14:textId="69459C3A" w:rsidR="0044498A" w:rsidRPr="00632C72" w:rsidRDefault="0044498A" w:rsidP="0044498A">
            <w:pPr>
              <w:spacing w:after="0" w:line="240" w:lineRule="auto"/>
              <w:jc w:val="center"/>
              <w:rPr>
                <w:rFonts w:cstheme="minorHAnsi"/>
                <w:sz w:val="20"/>
                <w:szCs w:val="20"/>
              </w:rPr>
            </w:pPr>
            <w:r w:rsidRPr="00632C72">
              <w:rPr>
                <w:rFonts w:cstheme="minorHAnsi"/>
                <w:sz w:val="20"/>
                <w:szCs w:val="20"/>
              </w:rPr>
              <w:t>S</w:t>
            </w:r>
          </w:p>
        </w:tc>
        <w:tc>
          <w:tcPr>
            <w:tcW w:w="655" w:type="dxa"/>
            <w:shd w:val="clear" w:color="auto" w:fill="auto"/>
            <w:vAlign w:val="center"/>
          </w:tcPr>
          <w:p w14:paraId="3C49C3D3" w14:textId="17631703" w:rsidR="0044498A" w:rsidRPr="00632C72" w:rsidRDefault="0044498A" w:rsidP="0044498A">
            <w:pPr>
              <w:spacing w:after="0" w:line="240" w:lineRule="auto"/>
              <w:jc w:val="center"/>
              <w:rPr>
                <w:rFonts w:cstheme="minorHAnsi"/>
                <w:sz w:val="20"/>
                <w:szCs w:val="20"/>
              </w:rPr>
            </w:pPr>
            <w:r w:rsidRPr="00632C72">
              <w:rPr>
                <w:rFonts w:cstheme="minorHAnsi"/>
                <w:sz w:val="20"/>
                <w:szCs w:val="20"/>
              </w:rPr>
              <w:t>S</w:t>
            </w:r>
          </w:p>
        </w:tc>
        <w:tc>
          <w:tcPr>
            <w:tcW w:w="656" w:type="dxa"/>
            <w:shd w:val="clear" w:color="auto" w:fill="auto"/>
            <w:vAlign w:val="center"/>
          </w:tcPr>
          <w:p w14:paraId="3C49C3D4" w14:textId="1423DD82" w:rsidR="0044498A" w:rsidRPr="00632C72" w:rsidRDefault="0044498A" w:rsidP="0044498A">
            <w:pPr>
              <w:spacing w:after="0" w:line="240" w:lineRule="auto"/>
              <w:jc w:val="center"/>
              <w:rPr>
                <w:rFonts w:cstheme="minorHAnsi"/>
                <w:sz w:val="20"/>
                <w:szCs w:val="20"/>
              </w:rPr>
            </w:pPr>
            <w:r>
              <w:rPr>
                <w:rFonts w:cstheme="minorHAnsi"/>
                <w:sz w:val="20"/>
                <w:szCs w:val="20"/>
              </w:rPr>
              <w:t>PI</w:t>
            </w:r>
          </w:p>
        </w:tc>
        <w:tc>
          <w:tcPr>
            <w:tcW w:w="656" w:type="dxa"/>
            <w:shd w:val="clear" w:color="auto" w:fill="auto"/>
            <w:vAlign w:val="center"/>
          </w:tcPr>
          <w:p w14:paraId="3C49C3D5" w14:textId="6D48402B" w:rsidR="0044498A" w:rsidRPr="00632C72" w:rsidRDefault="0044498A" w:rsidP="0044498A">
            <w:pPr>
              <w:spacing w:after="0" w:line="240" w:lineRule="auto"/>
              <w:jc w:val="center"/>
              <w:rPr>
                <w:rFonts w:cstheme="minorHAnsi"/>
                <w:sz w:val="20"/>
                <w:szCs w:val="20"/>
              </w:rPr>
            </w:pPr>
            <w:r>
              <w:rPr>
                <w:rFonts w:cstheme="minorHAnsi"/>
                <w:sz w:val="20"/>
                <w:szCs w:val="20"/>
              </w:rPr>
              <w:t>AI</w:t>
            </w:r>
          </w:p>
        </w:tc>
      </w:tr>
      <w:tr w:rsidR="007B46F4" w:rsidRPr="003D4354" w14:paraId="3C49C3E2" w14:textId="77777777" w:rsidTr="003D3F57">
        <w:trPr>
          <w:gridAfter w:val="1"/>
          <w:wAfter w:w="6" w:type="dxa"/>
          <w:trHeight w:val="255"/>
        </w:trPr>
        <w:tc>
          <w:tcPr>
            <w:tcW w:w="8789" w:type="dxa"/>
            <w:gridSpan w:val="2"/>
            <w:shd w:val="clear" w:color="auto" w:fill="F2F2F2" w:themeFill="background1" w:themeFillShade="F2"/>
          </w:tcPr>
          <w:p w14:paraId="3C49C3D7" w14:textId="448B4623"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t>That each jurisdiction requires building approval documentation to be prepared by appropriate categories of registered practitioners, demonstrating that the proposed building complies with the National Construction Code.</w:t>
            </w:r>
          </w:p>
        </w:tc>
        <w:tc>
          <w:tcPr>
            <w:tcW w:w="993" w:type="dxa"/>
            <w:shd w:val="clear" w:color="auto" w:fill="auto"/>
            <w:vAlign w:val="center"/>
          </w:tcPr>
          <w:p w14:paraId="3C49C3D8" w14:textId="556D390C" w:rsidR="0044498A" w:rsidRPr="00C7592C" w:rsidRDefault="0044498A" w:rsidP="0044498A">
            <w:pPr>
              <w:spacing w:after="0" w:line="240" w:lineRule="auto"/>
              <w:jc w:val="center"/>
              <w:rPr>
                <w:sz w:val="20"/>
                <w:szCs w:val="20"/>
              </w:rPr>
            </w:pPr>
            <w:r>
              <w:rPr>
                <w:noProof/>
                <w:lang w:eastAsia="en-AU"/>
              </w:rPr>
              <w:drawing>
                <wp:inline distT="0" distB="0" distL="0" distR="0" wp14:anchorId="5A326935" wp14:editId="5AFB0D04">
                  <wp:extent cx="325755" cy="270510"/>
                  <wp:effectExtent l="0" t="0" r="0" b="0"/>
                  <wp:docPr id="6" name="Picture 6"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 cy="270510"/>
                          </a:xfrm>
                          <a:prstGeom prst="rect">
                            <a:avLst/>
                          </a:prstGeom>
                          <a:noFill/>
                          <a:ln>
                            <a:noFill/>
                          </a:ln>
                        </pic:spPr>
                      </pic:pic>
                    </a:graphicData>
                  </a:graphic>
                </wp:inline>
              </w:drawing>
            </w:r>
          </w:p>
        </w:tc>
        <w:tc>
          <w:tcPr>
            <w:tcW w:w="850" w:type="dxa"/>
            <w:shd w:val="clear" w:color="auto" w:fill="auto"/>
            <w:vAlign w:val="center"/>
          </w:tcPr>
          <w:p w14:paraId="3C49C3D9" w14:textId="33ABC994" w:rsidR="0044498A" w:rsidRPr="00632C72" w:rsidRDefault="0044498A" w:rsidP="0044498A">
            <w:pPr>
              <w:spacing w:after="0" w:line="240" w:lineRule="auto"/>
              <w:jc w:val="center"/>
              <w:rPr>
                <w:rFonts w:cstheme="minorHAnsi"/>
                <w:sz w:val="20"/>
                <w:szCs w:val="20"/>
              </w:rPr>
            </w:pPr>
            <w:r w:rsidRPr="00632C72">
              <w:rPr>
                <w:rFonts w:cstheme="minorHAnsi"/>
                <w:sz w:val="20"/>
                <w:szCs w:val="20"/>
              </w:rPr>
              <w:t>SOG</w:t>
            </w:r>
          </w:p>
        </w:tc>
        <w:tc>
          <w:tcPr>
            <w:tcW w:w="672" w:type="dxa"/>
            <w:shd w:val="clear" w:color="auto" w:fill="auto"/>
            <w:vAlign w:val="center"/>
          </w:tcPr>
          <w:p w14:paraId="3C49C3DA" w14:textId="3630FDAD"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 &amp; IPS</w:t>
            </w:r>
          </w:p>
        </w:tc>
        <w:tc>
          <w:tcPr>
            <w:tcW w:w="656" w:type="dxa"/>
            <w:shd w:val="clear" w:color="auto" w:fill="auto"/>
            <w:vAlign w:val="center"/>
          </w:tcPr>
          <w:p w14:paraId="3C49C3DB" w14:textId="34735E04"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5" w:type="dxa"/>
            <w:shd w:val="clear" w:color="auto" w:fill="auto"/>
            <w:vAlign w:val="center"/>
          </w:tcPr>
          <w:p w14:paraId="3C49C3DC" w14:textId="68362460"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6" w:type="dxa"/>
            <w:shd w:val="clear" w:color="auto" w:fill="auto"/>
            <w:vAlign w:val="center"/>
          </w:tcPr>
          <w:p w14:paraId="3C49C3DD" w14:textId="2B832F2C"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6" w:type="dxa"/>
            <w:shd w:val="clear" w:color="auto" w:fill="auto"/>
            <w:vAlign w:val="center"/>
          </w:tcPr>
          <w:p w14:paraId="3C49C3DE" w14:textId="66D5684E" w:rsidR="0044498A" w:rsidRPr="00632C72" w:rsidRDefault="0044498A" w:rsidP="0044498A">
            <w:pPr>
              <w:spacing w:after="0" w:line="240" w:lineRule="auto"/>
              <w:jc w:val="center"/>
              <w:rPr>
                <w:rFonts w:cstheme="minorHAnsi"/>
                <w:sz w:val="20"/>
                <w:szCs w:val="20"/>
              </w:rPr>
            </w:pPr>
            <w:r>
              <w:rPr>
                <w:rFonts w:cstheme="minorHAnsi"/>
                <w:sz w:val="20"/>
                <w:szCs w:val="20"/>
              </w:rPr>
              <w:t>PI &amp; IPS</w:t>
            </w:r>
          </w:p>
        </w:tc>
        <w:tc>
          <w:tcPr>
            <w:tcW w:w="655" w:type="dxa"/>
            <w:shd w:val="clear" w:color="auto" w:fill="auto"/>
            <w:vAlign w:val="center"/>
          </w:tcPr>
          <w:p w14:paraId="3C49C3DF" w14:textId="7F6DC4DD"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shd w:val="clear" w:color="auto" w:fill="auto"/>
            <w:vAlign w:val="center"/>
          </w:tcPr>
          <w:p w14:paraId="3C49C3E0" w14:textId="2548C1D1" w:rsidR="0044498A" w:rsidRPr="00632C72" w:rsidRDefault="0044498A" w:rsidP="0044498A">
            <w:pPr>
              <w:spacing w:after="0" w:line="240" w:lineRule="auto"/>
              <w:jc w:val="center"/>
              <w:rPr>
                <w:rFonts w:cstheme="minorHAnsi"/>
                <w:sz w:val="20"/>
                <w:szCs w:val="20"/>
              </w:rPr>
            </w:pPr>
            <w:r w:rsidRPr="00632C72">
              <w:rPr>
                <w:rFonts w:cstheme="minorHAnsi"/>
                <w:sz w:val="20"/>
                <w:szCs w:val="20"/>
              </w:rPr>
              <w:t>UC</w:t>
            </w:r>
          </w:p>
        </w:tc>
        <w:tc>
          <w:tcPr>
            <w:tcW w:w="656" w:type="dxa"/>
            <w:shd w:val="clear" w:color="auto" w:fill="auto"/>
            <w:vAlign w:val="center"/>
          </w:tcPr>
          <w:p w14:paraId="3C49C3E1" w14:textId="03A77F37" w:rsidR="0044498A" w:rsidRPr="00632C72" w:rsidRDefault="0044498A" w:rsidP="0044498A">
            <w:pPr>
              <w:spacing w:after="0" w:line="240" w:lineRule="auto"/>
              <w:jc w:val="center"/>
              <w:rPr>
                <w:rFonts w:cstheme="minorHAnsi"/>
                <w:sz w:val="20"/>
                <w:szCs w:val="20"/>
              </w:rPr>
            </w:pPr>
            <w:r>
              <w:rPr>
                <w:rFonts w:cstheme="minorHAnsi"/>
                <w:sz w:val="20"/>
                <w:szCs w:val="20"/>
              </w:rPr>
              <w:t>AI</w:t>
            </w:r>
          </w:p>
        </w:tc>
      </w:tr>
      <w:tr w:rsidR="007B46F4" w:rsidRPr="003D4354" w14:paraId="3C49C3EE" w14:textId="77777777" w:rsidTr="003D3F57">
        <w:trPr>
          <w:gridAfter w:val="1"/>
          <w:wAfter w:w="6" w:type="dxa"/>
          <w:trHeight w:val="697"/>
        </w:trPr>
        <w:tc>
          <w:tcPr>
            <w:tcW w:w="8789" w:type="dxa"/>
            <w:gridSpan w:val="2"/>
            <w:shd w:val="clear" w:color="auto" w:fill="F2F2F2" w:themeFill="background1" w:themeFillShade="F2"/>
          </w:tcPr>
          <w:p w14:paraId="3C49C3E3" w14:textId="2E0E9398"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t>That each jurisdiction sets out the information which must be included in performance solutions, specifying in occupancy certificates the circumstances in which performance solutions have been used and for what purpose.</w:t>
            </w:r>
          </w:p>
        </w:tc>
        <w:tc>
          <w:tcPr>
            <w:tcW w:w="993" w:type="dxa"/>
            <w:shd w:val="clear" w:color="auto" w:fill="auto"/>
            <w:vAlign w:val="center"/>
          </w:tcPr>
          <w:p w14:paraId="3C49C3E4" w14:textId="77777777" w:rsidR="0044498A" w:rsidRPr="009544AA" w:rsidRDefault="0044498A" w:rsidP="0044498A">
            <w:pPr>
              <w:spacing w:after="0" w:line="240" w:lineRule="auto"/>
              <w:ind w:hanging="376"/>
              <w:jc w:val="center"/>
              <w:rPr>
                <w:sz w:val="20"/>
                <w:szCs w:val="20"/>
              </w:rPr>
            </w:pPr>
          </w:p>
        </w:tc>
        <w:tc>
          <w:tcPr>
            <w:tcW w:w="850" w:type="dxa"/>
            <w:shd w:val="clear" w:color="auto" w:fill="auto"/>
            <w:vAlign w:val="center"/>
          </w:tcPr>
          <w:p w14:paraId="3C49C3E5" w14:textId="03590893" w:rsidR="0044498A" w:rsidRPr="00632C72" w:rsidRDefault="0044498A" w:rsidP="0044498A">
            <w:pPr>
              <w:spacing w:after="0" w:line="240" w:lineRule="auto"/>
              <w:jc w:val="center"/>
              <w:rPr>
                <w:rFonts w:cstheme="minorHAnsi"/>
                <w:sz w:val="20"/>
                <w:szCs w:val="20"/>
              </w:rPr>
            </w:pPr>
            <w:r>
              <w:rPr>
                <w:rFonts w:cstheme="minorHAnsi"/>
                <w:sz w:val="20"/>
                <w:szCs w:val="20"/>
              </w:rPr>
              <w:t>ABCB</w:t>
            </w:r>
          </w:p>
        </w:tc>
        <w:tc>
          <w:tcPr>
            <w:tcW w:w="672" w:type="dxa"/>
            <w:shd w:val="clear" w:color="auto" w:fill="auto"/>
            <w:vAlign w:val="center"/>
          </w:tcPr>
          <w:p w14:paraId="3C49C3E6" w14:textId="573B4D5D"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 &amp; IPS</w:t>
            </w:r>
          </w:p>
        </w:tc>
        <w:tc>
          <w:tcPr>
            <w:tcW w:w="656" w:type="dxa"/>
            <w:shd w:val="clear" w:color="auto" w:fill="auto"/>
            <w:vAlign w:val="center"/>
          </w:tcPr>
          <w:p w14:paraId="3C49C3E7" w14:textId="2640C43F"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5" w:type="dxa"/>
            <w:shd w:val="clear" w:color="auto" w:fill="auto"/>
            <w:vAlign w:val="center"/>
          </w:tcPr>
          <w:p w14:paraId="3C49C3E8" w14:textId="5510CB28"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shd w:val="clear" w:color="auto" w:fill="auto"/>
            <w:vAlign w:val="center"/>
          </w:tcPr>
          <w:p w14:paraId="3C49C3E9" w14:textId="651FC601"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6" w:type="dxa"/>
            <w:shd w:val="clear" w:color="auto" w:fill="auto"/>
            <w:vAlign w:val="center"/>
          </w:tcPr>
          <w:p w14:paraId="3C49C3EA" w14:textId="765AADFE" w:rsidR="0044498A" w:rsidRPr="00632C72" w:rsidRDefault="0044498A" w:rsidP="0044498A">
            <w:pPr>
              <w:spacing w:after="0" w:line="240" w:lineRule="auto"/>
              <w:jc w:val="center"/>
              <w:rPr>
                <w:rFonts w:cstheme="minorHAnsi"/>
                <w:sz w:val="20"/>
                <w:szCs w:val="20"/>
              </w:rPr>
            </w:pPr>
            <w:r>
              <w:rPr>
                <w:rFonts w:cstheme="minorHAnsi"/>
                <w:sz w:val="20"/>
                <w:szCs w:val="20"/>
              </w:rPr>
              <w:t xml:space="preserve">PI &amp; </w:t>
            </w:r>
            <w:r w:rsidRPr="00632C72">
              <w:rPr>
                <w:rFonts w:cstheme="minorHAnsi"/>
                <w:sz w:val="20"/>
                <w:szCs w:val="20"/>
              </w:rPr>
              <w:t>IPS</w:t>
            </w:r>
          </w:p>
        </w:tc>
        <w:tc>
          <w:tcPr>
            <w:tcW w:w="655" w:type="dxa"/>
            <w:shd w:val="clear" w:color="auto" w:fill="auto"/>
            <w:vAlign w:val="center"/>
          </w:tcPr>
          <w:p w14:paraId="3C49C3EB" w14:textId="00505D98"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shd w:val="clear" w:color="auto" w:fill="auto"/>
            <w:vAlign w:val="center"/>
          </w:tcPr>
          <w:p w14:paraId="3C49C3EC" w14:textId="2F289506" w:rsidR="0044498A" w:rsidRPr="00632C72" w:rsidRDefault="0044498A" w:rsidP="0044498A">
            <w:pPr>
              <w:spacing w:after="0" w:line="240" w:lineRule="auto"/>
              <w:jc w:val="center"/>
              <w:rPr>
                <w:rFonts w:cstheme="minorHAnsi"/>
                <w:sz w:val="20"/>
                <w:szCs w:val="20"/>
              </w:rPr>
            </w:pPr>
            <w:r>
              <w:rPr>
                <w:rFonts w:cstheme="minorHAnsi"/>
                <w:sz w:val="20"/>
                <w:szCs w:val="20"/>
              </w:rPr>
              <w:t>PI</w:t>
            </w:r>
          </w:p>
        </w:tc>
        <w:tc>
          <w:tcPr>
            <w:tcW w:w="656" w:type="dxa"/>
            <w:shd w:val="clear" w:color="auto" w:fill="auto"/>
            <w:vAlign w:val="center"/>
          </w:tcPr>
          <w:p w14:paraId="3C49C3ED" w14:textId="1F95C392" w:rsidR="0044498A" w:rsidRPr="00632C72" w:rsidRDefault="0044498A" w:rsidP="0044498A">
            <w:pPr>
              <w:spacing w:after="0" w:line="240" w:lineRule="auto"/>
              <w:jc w:val="center"/>
              <w:rPr>
                <w:rFonts w:cstheme="minorHAnsi"/>
                <w:sz w:val="20"/>
                <w:szCs w:val="20"/>
              </w:rPr>
            </w:pPr>
            <w:r>
              <w:rPr>
                <w:rFonts w:cstheme="minorHAnsi"/>
                <w:sz w:val="20"/>
                <w:szCs w:val="20"/>
              </w:rPr>
              <w:t>AI</w:t>
            </w:r>
          </w:p>
        </w:tc>
      </w:tr>
      <w:tr w:rsidR="007B46F4" w:rsidRPr="003D4354" w14:paraId="3C49C3FA" w14:textId="77777777" w:rsidTr="003D3F57">
        <w:trPr>
          <w:gridAfter w:val="1"/>
          <w:wAfter w:w="6" w:type="dxa"/>
          <w:trHeight w:val="454"/>
        </w:trPr>
        <w:tc>
          <w:tcPr>
            <w:tcW w:w="8789" w:type="dxa"/>
            <w:gridSpan w:val="2"/>
            <w:shd w:val="clear" w:color="auto" w:fill="F2F2F2" w:themeFill="background1" w:themeFillShade="F2"/>
          </w:tcPr>
          <w:p w14:paraId="3C49C3EF" w14:textId="0040F0C2"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t>That each jurisdiction provides a transparent and robust process for the approval of performance solutions for constructed building work.</w:t>
            </w:r>
          </w:p>
        </w:tc>
        <w:tc>
          <w:tcPr>
            <w:tcW w:w="993" w:type="dxa"/>
            <w:shd w:val="clear" w:color="auto" w:fill="auto"/>
            <w:vAlign w:val="center"/>
          </w:tcPr>
          <w:p w14:paraId="3C49C3F0" w14:textId="77777777" w:rsidR="0044498A" w:rsidRPr="009544AA" w:rsidRDefault="0044498A" w:rsidP="0044498A">
            <w:pPr>
              <w:spacing w:after="0" w:line="240" w:lineRule="auto"/>
              <w:ind w:hanging="376"/>
              <w:jc w:val="center"/>
              <w:rPr>
                <w:sz w:val="20"/>
                <w:szCs w:val="20"/>
              </w:rPr>
            </w:pPr>
          </w:p>
        </w:tc>
        <w:tc>
          <w:tcPr>
            <w:tcW w:w="850" w:type="dxa"/>
            <w:shd w:val="clear" w:color="auto" w:fill="auto"/>
            <w:vAlign w:val="center"/>
          </w:tcPr>
          <w:p w14:paraId="3C49C3F1" w14:textId="728D9F87" w:rsidR="0044498A" w:rsidRPr="00632C72" w:rsidRDefault="0044498A" w:rsidP="0044498A">
            <w:pPr>
              <w:spacing w:after="0" w:line="240" w:lineRule="auto"/>
              <w:jc w:val="center"/>
              <w:rPr>
                <w:rFonts w:cstheme="minorHAnsi"/>
                <w:sz w:val="20"/>
                <w:szCs w:val="20"/>
              </w:rPr>
            </w:pPr>
            <w:r>
              <w:rPr>
                <w:rFonts w:cstheme="minorHAnsi"/>
                <w:sz w:val="20"/>
                <w:szCs w:val="20"/>
              </w:rPr>
              <w:t>SOG</w:t>
            </w:r>
          </w:p>
        </w:tc>
        <w:tc>
          <w:tcPr>
            <w:tcW w:w="672" w:type="dxa"/>
            <w:shd w:val="clear" w:color="auto" w:fill="auto"/>
            <w:vAlign w:val="center"/>
          </w:tcPr>
          <w:p w14:paraId="3C49C3F2" w14:textId="761277A5" w:rsidR="0044498A" w:rsidRPr="00632C72" w:rsidRDefault="0044498A" w:rsidP="0044498A">
            <w:pPr>
              <w:spacing w:after="0" w:line="240" w:lineRule="auto"/>
              <w:jc w:val="center"/>
              <w:rPr>
                <w:rFonts w:cstheme="minorHAnsi"/>
                <w:sz w:val="20"/>
                <w:szCs w:val="20"/>
              </w:rPr>
            </w:pPr>
            <w:r w:rsidRPr="00632C72">
              <w:rPr>
                <w:rFonts w:cstheme="minorHAnsi"/>
                <w:sz w:val="20"/>
                <w:szCs w:val="20"/>
              </w:rPr>
              <w:t>UC</w:t>
            </w:r>
          </w:p>
        </w:tc>
        <w:tc>
          <w:tcPr>
            <w:tcW w:w="656" w:type="dxa"/>
            <w:shd w:val="clear" w:color="auto" w:fill="auto"/>
            <w:vAlign w:val="center"/>
          </w:tcPr>
          <w:p w14:paraId="3C49C3F3" w14:textId="2E6A58E3"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5" w:type="dxa"/>
            <w:shd w:val="clear" w:color="auto" w:fill="auto"/>
            <w:vAlign w:val="center"/>
          </w:tcPr>
          <w:p w14:paraId="3C49C3F4" w14:textId="0815135B"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shd w:val="clear" w:color="auto" w:fill="auto"/>
            <w:vAlign w:val="center"/>
          </w:tcPr>
          <w:p w14:paraId="3C49C3F5" w14:textId="6EEFFA9F"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6" w:type="dxa"/>
            <w:shd w:val="clear" w:color="auto" w:fill="auto"/>
            <w:vAlign w:val="center"/>
          </w:tcPr>
          <w:p w14:paraId="3C49C3F6" w14:textId="3B51E182"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5" w:type="dxa"/>
            <w:shd w:val="clear" w:color="auto" w:fill="auto"/>
            <w:vAlign w:val="center"/>
          </w:tcPr>
          <w:p w14:paraId="3C49C3F7" w14:textId="28C17D1E"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shd w:val="clear" w:color="auto" w:fill="auto"/>
            <w:vAlign w:val="center"/>
          </w:tcPr>
          <w:p w14:paraId="3C49C3F8" w14:textId="1A64DEC4" w:rsidR="0044498A" w:rsidRPr="00632C72" w:rsidRDefault="0044498A" w:rsidP="0044498A">
            <w:pPr>
              <w:spacing w:after="0" w:line="240" w:lineRule="auto"/>
              <w:jc w:val="center"/>
              <w:rPr>
                <w:rFonts w:cstheme="minorHAnsi"/>
                <w:sz w:val="20"/>
                <w:szCs w:val="20"/>
              </w:rPr>
            </w:pPr>
            <w:r>
              <w:rPr>
                <w:rFonts w:cstheme="minorHAnsi"/>
                <w:sz w:val="20"/>
                <w:szCs w:val="20"/>
              </w:rPr>
              <w:t>UC</w:t>
            </w:r>
          </w:p>
        </w:tc>
        <w:tc>
          <w:tcPr>
            <w:tcW w:w="656" w:type="dxa"/>
            <w:shd w:val="clear" w:color="auto" w:fill="auto"/>
            <w:vAlign w:val="center"/>
          </w:tcPr>
          <w:p w14:paraId="3C49C3F9" w14:textId="0B47DBFB" w:rsidR="0044498A" w:rsidRPr="00632C72" w:rsidRDefault="0044498A" w:rsidP="0044498A">
            <w:pPr>
              <w:spacing w:after="0" w:line="240" w:lineRule="auto"/>
              <w:jc w:val="center"/>
              <w:rPr>
                <w:rFonts w:cstheme="minorHAnsi"/>
                <w:sz w:val="20"/>
                <w:szCs w:val="20"/>
              </w:rPr>
            </w:pPr>
            <w:r>
              <w:rPr>
                <w:rFonts w:cstheme="minorHAnsi"/>
                <w:sz w:val="20"/>
                <w:szCs w:val="20"/>
              </w:rPr>
              <w:t>AI</w:t>
            </w:r>
          </w:p>
        </w:tc>
      </w:tr>
      <w:tr w:rsidR="007B46F4" w:rsidRPr="003D4354" w14:paraId="3C49C406" w14:textId="77777777" w:rsidTr="003D3F57">
        <w:trPr>
          <w:gridAfter w:val="1"/>
          <w:wAfter w:w="6" w:type="dxa"/>
          <w:trHeight w:val="212"/>
        </w:trPr>
        <w:tc>
          <w:tcPr>
            <w:tcW w:w="8789" w:type="dxa"/>
            <w:gridSpan w:val="2"/>
            <w:shd w:val="clear" w:color="auto" w:fill="F2F2F2" w:themeFill="background1" w:themeFillShade="F2"/>
          </w:tcPr>
          <w:p w14:paraId="3C49C3FB" w14:textId="56610157"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lastRenderedPageBreak/>
              <w:t xml:space="preserve">That each jurisdiction provides for a building compliance process which incorporates clear obligations for the ongoing approval of amended documentation by the appointed building surveyor throughout a project. </w:t>
            </w:r>
          </w:p>
        </w:tc>
        <w:tc>
          <w:tcPr>
            <w:tcW w:w="993" w:type="dxa"/>
            <w:shd w:val="clear" w:color="auto" w:fill="auto"/>
            <w:vAlign w:val="center"/>
          </w:tcPr>
          <w:p w14:paraId="3C49C3FC" w14:textId="77777777" w:rsidR="0044498A" w:rsidRPr="009544AA" w:rsidRDefault="0044498A" w:rsidP="0044498A">
            <w:pPr>
              <w:spacing w:after="0" w:line="240" w:lineRule="auto"/>
              <w:ind w:hanging="376"/>
              <w:jc w:val="center"/>
              <w:rPr>
                <w:sz w:val="20"/>
                <w:szCs w:val="20"/>
              </w:rPr>
            </w:pPr>
          </w:p>
        </w:tc>
        <w:tc>
          <w:tcPr>
            <w:tcW w:w="850" w:type="dxa"/>
            <w:shd w:val="clear" w:color="auto" w:fill="auto"/>
            <w:vAlign w:val="center"/>
          </w:tcPr>
          <w:p w14:paraId="3C49C3FD" w14:textId="3FA2BA99" w:rsidR="0044498A" w:rsidRPr="00632C72" w:rsidRDefault="0044498A" w:rsidP="0044498A">
            <w:pPr>
              <w:spacing w:after="0" w:line="240" w:lineRule="auto"/>
              <w:jc w:val="center"/>
              <w:rPr>
                <w:rFonts w:cstheme="minorHAnsi"/>
                <w:sz w:val="20"/>
                <w:szCs w:val="20"/>
              </w:rPr>
            </w:pPr>
            <w:r>
              <w:rPr>
                <w:rFonts w:cstheme="minorHAnsi"/>
                <w:sz w:val="20"/>
                <w:szCs w:val="20"/>
              </w:rPr>
              <w:t>SOG/</w:t>
            </w:r>
            <w:r w:rsidR="007B46F4">
              <w:rPr>
                <w:rFonts w:cstheme="minorHAnsi"/>
                <w:sz w:val="20"/>
                <w:szCs w:val="20"/>
              </w:rPr>
              <w:t xml:space="preserve"> </w:t>
            </w:r>
            <w:r w:rsidRPr="00632C72">
              <w:rPr>
                <w:rFonts w:cstheme="minorHAnsi"/>
                <w:sz w:val="20"/>
                <w:szCs w:val="20"/>
              </w:rPr>
              <w:t>BRF</w:t>
            </w:r>
          </w:p>
        </w:tc>
        <w:tc>
          <w:tcPr>
            <w:tcW w:w="672" w:type="dxa"/>
            <w:shd w:val="clear" w:color="auto" w:fill="auto"/>
            <w:vAlign w:val="center"/>
          </w:tcPr>
          <w:p w14:paraId="3C49C3FE" w14:textId="42C2F86B"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6" w:type="dxa"/>
            <w:shd w:val="clear" w:color="auto" w:fill="auto"/>
            <w:vAlign w:val="center"/>
          </w:tcPr>
          <w:p w14:paraId="3C49C3FF" w14:textId="22508A70"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5" w:type="dxa"/>
            <w:shd w:val="clear" w:color="auto" w:fill="auto"/>
            <w:vAlign w:val="center"/>
          </w:tcPr>
          <w:p w14:paraId="3C49C400" w14:textId="3554C024"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shd w:val="clear" w:color="auto" w:fill="auto"/>
            <w:vAlign w:val="center"/>
          </w:tcPr>
          <w:p w14:paraId="3C49C401" w14:textId="57D668F7"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6" w:type="dxa"/>
            <w:shd w:val="clear" w:color="auto" w:fill="auto"/>
            <w:vAlign w:val="center"/>
          </w:tcPr>
          <w:p w14:paraId="3C49C402" w14:textId="3CD487B8"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5" w:type="dxa"/>
            <w:shd w:val="clear" w:color="auto" w:fill="auto"/>
            <w:vAlign w:val="center"/>
          </w:tcPr>
          <w:p w14:paraId="3C49C403" w14:textId="5E3BD12A"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shd w:val="clear" w:color="auto" w:fill="auto"/>
            <w:vAlign w:val="center"/>
          </w:tcPr>
          <w:p w14:paraId="3C49C404" w14:textId="60875B11" w:rsidR="0044498A" w:rsidRPr="00632C72" w:rsidRDefault="0044498A" w:rsidP="0044498A">
            <w:pPr>
              <w:spacing w:after="0" w:line="240" w:lineRule="auto"/>
              <w:jc w:val="center"/>
              <w:rPr>
                <w:rFonts w:cstheme="minorHAnsi"/>
                <w:sz w:val="20"/>
                <w:szCs w:val="20"/>
              </w:rPr>
            </w:pPr>
            <w:r>
              <w:rPr>
                <w:rFonts w:cstheme="minorHAnsi"/>
                <w:sz w:val="20"/>
                <w:szCs w:val="20"/>
              </w:rPr>
              <w:t>AI</w:t>
            </w:r>
          </w:p>
        </w:tc>
        <w:tc>
          <w:tcPr>
            <w:tcW w:w="656" w:type="dxa"/>
            <w:shd w:val="clear" w:color="auto" w:fill="auto"/>
            <w:vAlign w:val="center"/>
          </w:tcPr>
          <w:p w14:paraId="3C49C405" w14:textId="5A18DFC4" w:rsidR="0044498A" w:rsidRPr="00632C72" w:rsidRDefault="0044498A" w:rsidP="0044498A">
            <w:pPr>
              <w:spacing w:after="0" w:line="240" w:lineRule="auto"/>
              <w:jc w:val="center"/>
              <w:rPr>
                <w:rFonts w:cstheme="minorHAnsi"/>
                <w:sz w:val="20"/>
                <w:szCs w:val="20"/>
              </w:rPr>
            </w:pPr>
            <w:r>
              <w:rPr>
                <w:rFonts w:cstheme="minorHAnsi"/>
                <w:sz w:val="20"/>
                <w:szCs w:val="20"/>
              </w:rPr>
              <w:t>IP</w:t>
            </w:r>
            <w:r w:rsidRPr="00632C72">
              <w:rPr>
                <w:rFonts w:cstheme="minorHAnsi"/>
                <w:sz w:val="20"/>
                <w:szCs w:val="20"/>
              </w:rPr>
              <w:t>S</w:t>
            </w:r>
          </w:p>
        </w:tc>
      </w:tr>
      <w:tr w:rsidR="007B46F4" w:rsidRPr="003D4354" w14:paraId="3C49C412" w14:textId="77777777" w:rsidTr="003D3F57">
        <w:trPr>
          <w:gridAfter w:val="1"/>
          <w:wAfter w:w="6" w:type="dxa"/>
          <w:trHeight w:val="510"/>
        </w:trPr>
        <w:tc>
          <w:tcPr>
            <w:tcW w:w="8789" w:type="dxa"/>
            <w:gridSpan w:val="2"/>
            <w:shd w:val="clear" w:color="auto" w:fill="F2F2F2" w:themeFill="background1" w:themeFillShade="F2"/>
          </w:tcPr>
          <w:p w14:paraId="3C49C407" w14:textId="627D4FA8"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t>That each jurisdiction requires genuine independent third party review for specified components of designs and/or certain types of buildings.</w:t>
            </w:r>
          </w:p>
        </w:tc>
        <w:tc>
          <w:tcPr>
            <w:tcW w:w="993" w:type="dxa"/>
            <w:shd w:val="clear" w:color="auto" w:fill="auto"/>
            <w:vAlign w:val="center"/>
          </w:tcPr>
          <w:p w14:paraId="3C49C408" w14:textId="77777777" w:rsidR="0044498A" w:rsidRPr="009544AA" w:rsidRDefault="0044498A" w:rsidP="0044498A">
            <w:pPr>
              <w:spacing w:after="0" w:line="240" w:lineRule="auto"/>
              <w:ind w:hanging="376"/>
              <w:jc w:val="center"/>
              <w:rPr>
                <w:sz w:val="20"/>
                <w:szCs w:val="20"/>
              </w:rPr>
            </w:pPr>
          </w:p>
        </w:tc>
        <w:tc>
          <w:tcPr>
            <w:tcW w:w="850" w:type="dxa"/>
            <w:shd w:val="clear" w:color="auto" w:fill="auto"/>
            <w:vAlign w:val="center"/>
          </w:tcPr>
          <w:p w14:paraId="3C49C409" w14:textId="60223C63" w:rsidR="0044498A" w:rsidRPr="00632C72" w:rsidRDefault="0044498A" w:rsidP="0044498A">
            <w:pPr>
              <w:spacing w:after="0" w:line="240" w:lineRule="auto"/>
              <w:jc w:val="center"/>
              <w:rPr>
                <w:rFonts w:cstheme="minorHAnsi"/>
                <w:sz w:val="20"/>
                <w:szCs w:val="20"/>
              </w:rPr>
            </w:pPr>
            <w:r w:rsidRPr="00632C72">
              <w:rPr>
                <w:rFonts w:cstheme="minorHAnsi"/>
                <w:sz w:val="20"/>
                <w:szCs w:val="20"/>
              </w:rPr>
              <w:t>SOG</w:t>
            </w:r>
          </w:p>
        </w:tc>
        <w:tc>
          <w:tcPr>
            <w:tcW w:w="672" w:type="dxa"/>
            <w:shd w:val="clear" w:color="auto" w:fill="auto"/>
            <w:vAlign w:val="center"/>
          </w:tcPr>
          <w:p w14:paraId="3C49C40A" w14:textId="39D71A3A"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w:t>
            </w:r>
            <w:r>
              <w:rPr>
                <w:rFonts w:cstheme="minorHAnsi"/>
                <w:sz w:val="20"/>
                <w:szCs w:val="20"/>
              </w:rPr>
              <w:t>S</w:t>
            </w:r>
            <w:r w:rsidRPr="00632C72">
              <w:rPr>
                <w:rFonts w:cstheme="minorHAnsi"/>
                <w:sz w:val="20"/>
                <w:szCs w:val="20"/>
              </w:rPr>
              <w:t xml:space="preserve"> &amp; PI</w:t>
            </w:r>
          </w:p>
        </w:tc>
        <w:tc>
          <w:tcPr>
            <w:tcW w:w="656" w:type="dxa"/>
            <w:shd w:val="clear" w:color="auto" w:fill="auto"/>
            <w:vAlign w:val="center"/>
          </w:tcPr>
          <w:p w14:paraId="3C49C40B" w14:textId="436BDE9E"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5" w:type="dxa"/>
            <w:shd w:val="clear" w:color="auto" w:fill="auto"/>
            <w:vAlign w:val="center"/>
          </w:tcPr>
          <w:p w14:paraId="3C49C40C" w14:textId="1797B35C"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6" w:type="dxa"/>
            <w:shd w:val="clear" w:color="auto" w:fill="auto"/>
            <w:vAlign w:val="center"/>
          </w:tcPr>
          <w:p w14:paraId="3C49C40D" w14:textId="78C5CEB1"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6" w:type="dxa"/>
            <w:shd w:val="clear" w:color="auto" w:fill="auto"/>
            <w:vAlign w:val="center"/>
          </w:tcPr>
          <w:p w14:paraId="3C49C40E" w14:textId="63E17CC0" w:rsidR="0044498A" w:rsidRPr="00632C72" w:rsidRDefault="0044498A" w:rsidP="0044498A">
            <w:pPr>
              <w:spacing w:after="0" w:line="240" w:lineRule="auto"/>
              <w:jc w:val="center"/>
              <w:rPr>
                <w:rFonts w:cstheme="minorHAnsi"/>
                <w:sz w:val="20"/>
                <w:szCs w:val="20"/>
              </w:rPr>
            </w:pPr>
            <w:r>
              <w:rPr>
                <w:rFonts w:cstheme="minorHAnsi"/>
                <w:sz w:val="20"/>
                <w:szCs w:val="20"/>
              </w:rPr>
              <w:t>UC</w:t>
            </w:r>
          </w:p>
        </w:tc>
        <w:tc>
          <w:tcPr>
            <w:tcW w:w="655" w:type="dxa"/>
            <w:shd w:val="clear" w:color="auto" w:fill="auto"/>
            <w:vAlign w:val="center"/>
          </w:tcPr>
          <w:p w14:paraId="3C49C40F" w14:textId="122D121B"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shd w:val="clear" w:color="auto" w:fill="auto"/>
            <w:vAlign w:val="center"/>
          </w:tcPr>
          <w:p w14:paraId="3C49C410" w14:textId="658AAED2" w:rsidR="0044498A" w:rsidRPr="00632C72" w:rsidRDefault="0044498A" w:rsidP="0044498A">
            <w:pPr>
              <w:spacing w:after="0" w:line="240" w:lineRule="auto"/>
              <w:jc w:val="center"/>
              <w:rPr>
                <w:rFonts w:cstheme="minorHAnsi"/>
                <w:sz w:val="20"/>
                <w:szCs w:val="20"/>
              </w:rPr>
            </w:pPr>
            <w:r>
              <w:rPr>
                <w:rFonts w:cstheme="minorHAnsi"/>
                <w:sz w:val="20"/>
                <w:szCs w:val="20"/>
              </w:rPr>
              <w:t>UC</w:t>
            </w:r>
          </w:p>
        </w:tc>
        <w:tc>
          <w:tcPr>
            <w:tcW w:w="656" w:type="dxa"/>
            <w:shd w:val="clear" w:color="auto" w:fill="auto"/>
            <w:vAlign w:val="center"/>
          </w:tcPr>
          <w:p w14:paraId="3C49C411" w14:textId="7E90360F"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r>
      <w:tr w:rsidR="007B46F4" w:rsidRPr="003D4354" w14:paraId="3C49C41E" w14:textId="77777777" w:rsidTr="003D3F57">
        <w:trPr>
          <w:gridAfter w:val="1"/>
          <w:wAfter w:w="6" w:type="dxa"/>
          <w:trHeight w:val="20"/>
        </w:trPr>
        <w:tc>
          <w:tcPr>
            <w:tcW w:w="8789" w:type="dxa"/>
            <w:gridSpan w:val="2"/>
            <w:shd w:val="clear" w:color="auto" w:fill="F2F2F2" w:themeFill="background1" w:themeFillShade="F2"/>
          </w:tcPr>
          <w:p w14:paraId="3C49C413" w14:textId="7C65BB37"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t>That each jurisdiction requires on-site inspections of building work at identified notification stages.</w:t>
            </w:r>
          </w:p>
        </w:tc>
        <w:tc>
          <w:tcPr>
            <w:tcW w:w="993" w:type="dxa"/>
            <w:shd w:val="clear" w:color="auto" w:fill="auto"/>
            <w:vAlign w:val="center"/>
          </w:tcPr>
          <w:p w14:paraId="3C49C414" w14:textId="77777777" w:rsidR="0044498A" w:rsidRPr="009544AA" w:rsidRDefault="0044498A" w:rsidP="0044498A">
            <w:pPr>
              <w:spacing w:after="0" w:line="240" w:lineRule="auto"/>
              <w:ind w:hanging="376"/>
              <w:jc w:val="center"/>
              <w:rPr>
                <w:sz w:val="20"/>
                <w:szCs w:val="20"/>
              </w:rPr>
            </w:pPr>
          </w:p>
        </w:tc>
        <w:tc>
          <w:tcPr>
            <w:tcW w:w="850" w:type="dxa"/>
            <w:shd w:val="clear" w:color="auto" w:fill="auto"/>
            <w:vAlign w:val="center"/>
          </w:tcPr>
          <w:p w14:paraId="3C49C415" w14:textId="2FE61271" w:rsidR="0044498A" w:rsidRPr="00632C72" w:rsidRDefault="0044498A" w:rsidP="0044498A">
            <w:pPr>
              <w:spacing w:after="0" w:line="240" w:lineRule="auto"/>
              <w:jc w:val="center"/>
              <w:rPr>
                <w:rFonts w:cstheme="minorHAnsi"/>
                <w:sz w:val="20"/>
                <w:szCs w:val="20"/>
              </w:rPr>
            </w:pPr>
            <w:r>
              <w:rPr>
                <w:rFonts w:cstheme="minorHAnsi"/>
                <w:sz w:val="20"/>
                <w:szCs w:val="20"/>
              </w:rPr>
              <w:t>SOG/</w:t>
            </w:r>
            <w:r w:rsidR="007B46F4">
              <w:rPr>
                <w:rFonts w:cstheme="minorHAnsi"/>
                <w:sz w:val="20"/>
                <w:szCs w:val="20"/>
              </w:rPr>
              <w:t xml:space="preserve"> </w:t>
            </w:r>
            <w:r w:rsidRPr="00632C72">
              <w:rPr>
                <w:rFonts w:cstheme="minorHAnsi"/>
                <w:sz w:val="20"/>
                <w:szCs w:val="20"/>
              </w:rPr>
              <w:t>BRF</w:t>
            </w:r>
          </w:p>
        </w:tc>
        <w:tc>
          <w:tcPr>
            <w:tcW w:w="672" w:type="dxa"/>
            <w:shd w:val="clear" w:color="auto" w:fill="auto"/>
            <w:vAlign w:val="center"/>
          </w:tcPr>
          <w:p w14:paraId="3C49C416" w14:textId="5469FE1B"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 &amp; UC</w:t>
            </w:r>
          </w:p>
        </w:tc>
        <w:tc>
          <w:tcPr>
            <w:tcW w:w="656" w:type="dxa"/>
            <w:shd w:val="clear" w:color="auto" w:fill="auto"/>
            <w:vAlign w:val="center"/>
          </w:tcPr>
          <w:p w14:paraId="3C49C417" w14:textId="7DC5BCCC"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5" w:type="dxa"/>
            <w:shd w:val="clear" w:color="auto" w:fill="auto"/>
            <w:vAlign w:val="center"/>
          </w:tcPr>
          <w:p w14:paraId="3C49C418" w14:textId="72F8B116"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shd w:val="clear" w:color="auto" w:fill="auto"/>
            <w:vAlign w:val="center"/>
          </w:tcPr>
          <w:p w14:paraId="3C49C419" w14:textId="4727284B"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6" w:type="dxa"/>
            <w:shd w:val="clear" w:color="auto" w:fill="auto"/>
            <w:vAlign w:val="center"/>
          </w:tcPr>
          <w:p w14:paraId="3C49C41A" w14:textId="22A69601"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5" w:type="dxa"/>
            <w:shd w:val="clear" w:color="auto" w:fill="auto"/>
            <w:vAlign w:val="center"/>
          </w:tcPr>
          <w:p w14:paraId="3C49C41B" w14:textId="76B0D592"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shd w:val="clear" w:color="auto" w:fill="auto"/>
            <w:vAlign w:val="center"/>
          </w:tcPr>
          <w:p w14:paraId="3C49C41C" w14:textId="4BFE24C1"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6" w:type="dxa"/>
            <w:shd w:val="clear" w:color="auto" w:fill="auto"/>
            <w:vAlign w:val="center"/>
          </w:tcPr>
          <w:p w14:paraId="3C49C41D" w14:textId="54E529DD" w:rsidR="0044498A" w:rsidRPr="00632C72" w:rsidRDefault="0044498A" w:rsidP="0044498A">
            <w:pPr>
              <w:spacing w:after="0" w:line="240" w:lineRule="auto"/>
              <w:jc w:val="center"/>
              <w:rPr>
                <w:rFonts w:cstheme="minorHAnsi"/>
                <w:sz w:val="20"/>
                <w:szCs w:val="20"/>
              </w:rPr>
            </w:pPr>
            <w:r>
              <w:rPr>
                <w:rFonts w:cstheme="minorHAnsi"/>
                <w:sz w:val="20"/>
                <w:szCs w:val="20"/>
              </w:rPr>
              <w:t>PI</w:t>
            </w:r>
          </w:p>
        </w:tc>
      </w:tr>
      <w:tr w:rsidR="007B46F4" w:rsidRPr="003D4354" w14:paraId="3C49C42A" w14:textId="77777777" w:rsidTr="003D3F57">
        <w:trPr>
          <w:gridAfter w:val="1"/>
          <w:wAfter w:w="6" w:type="dxa"/>
          <w:trHeight w:val="413"/>
        </w:trPr>
        <w:tc>
          <w:tcPr>
            <w:tcW w:w="8789" w:type="dxa"/>
            <w:gridSpan w:val="2"/>
            <w:shd w:val="clear" w:color="auto" w:fill="F2F2F2" w:themeFill="background1" w:themeFillShade="F2"/>
          </w:tcPr>
          <w:p w14:paraId="3C49C41F" w14:textId="65CC2F5B"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t xml:space="preserve">That each jurisdiction requires registered fire safety practitioners to design, install and certify the fire safety systems necessary in Commercial buildings. </w:t>
            </w:r>
          </w:p>
        </w:tc>
        <w:tc>
          <w:tcPr>
            <w:tcW w:w="993" w:type="dxa"/>
            <w:shd w:val="clear" w:color="auto" w:fill="auto"/>
            <w:vAlign w:val="center"/>
          </w:tcPr>
          <w:p w14:paraId="3C49C420" w14:textId="77777777" w:rsidR="0044498A" w:rsidRPr="009544AA" w:rsidRDefault="0044498A" w:rsidP="0044498A">
            <w:pPr>
              <w:spacing w:after="0" w:line="240" w:lineRule="auto"/>
              <w:ind w:hanging="376"/>
              <w:jc w:val="center"/>
              <w:rPr>
                <w:sz w:val="20"/>
                <w:szCs w:val="20"/>
              </w:rPr>
            </w:pPr>
          </w:p>
        </w:tc>
        <w:tc>
          <w:tcPr>
            <w:tcW w:w="850" w:type="dxa"/>
            <w:shd w:val="clear" w:color="auto" w:fill="auto"/>
            <w:vAlign w:val="center"/>
          </w:tcPr>
          <w:p w14:paraId="3C49C421" w14:textId="27672AF5" w:rsidR="0044498A" w:rsidRPr="00632C72" w:rsidRDefault="0044498A" w:rsidP="0044498A">
            <w:pPr>
              <w:spacing w:after="0" w:line="240" w:lineRule="auto"/>
              <w:jc w:val="center"/>
              <w:rPr>
                <w:rFonts w:cstheme="minorHAnsi"/>
                <w:sz w:val="20"/>
                <w:szCs w:val="20"/>
              </w:rPr>
            </w:pPr>
            <w:r w:rsidRPr="00632C72">
              <w:rPr>
                <w:rFonts w:cstheme="minorHAnsi"/>
                <w:sz w:val="20"/>
                <w:szCs w:val="20"/>
              </w:rPr>
              <w:t>SOG</w:t>
            </w:r>
          </w:p>
        </w:tc>
        <w:tc>
          <w:tcPr>
            <w:tcW w:w="672" w:type="dxa"/>
            <w:shd w:val="clear" w:color="auto" w:fill="auto"/>
            <w:vAlign w:val="center"/>
          </w:tcPr>
          <w:p w14:paraId="3C49C422" w14:textId="3ABE7232"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 &amp; UC</w:t>
            </w:r>
          </w:p>
        </w:tc>
        <w:tc>
          <w:tcPr>
            <w:tcW w:w="656" w:type="dxa"/>
            <w:shd w:val="clear" w:color="auto" w:fill="auto"/>
            <w:vAlign w:val="center"/>
          </w:tcPr>
          <w:p w14:paraId="3C49C423" w14:textId="3D7A7A50"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5" w:type="dxa"/>
            <w:shd w:val="clear" w:color="auto" w:fill="auto"/>
            <w:vAlign w:val="center"/>
          </w:tcPr>
          <w:p w14:paraId="3C49C424" w14:textId="596BC0A4"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shd w:val="clear" w:color="auto" w:fill="auto"/>
            <w:vAlign w:val="center"/>
          </w:tcPr>
          <w:p w14:paraId="3C49C425" w14:textId="0B2891EC"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6" w:type="dxa"/>
            <w:shd w:val="clear" w:color="auto" w:fill="auto"/>
            <w:vAlign w:val="center"/>
          </w:tcPr>
          <w:p w14:paraId="3C49C426" w14:textId="034E2B6A"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AI</w:t>
            </w:r>
          </w:p>
        </w:tc>
        <w:tc>
          <w:tcPr>
            <w:tcW w:w="655" w:type="dxa"/>
            <w:shd w:val="clear" w:color="auto" w:fill="auto"/>
            <w:vAlign w:val="center"/>
          </w:tcPr>
          <w:p w14:paraId="3C49C427" w14:textId="147888BE"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shd w:val="clear" w:color="auto" w:fill="auto"/>
            <w:vAlign w:val="center"/>
          </w:tcPr>
          <w:p w14:paraId="3C49C428" w14:textId="1F68047D" w:rsidR="0044498A" w:rsidRPr="00632C72" w:rsidRDefault="0044498A" w:rsidP="0044498A">
            <w:pPr>
              <w:spacing w:after="0" w:line="240" w:lineRule="auto"/>
              <w:jc w:val="center"/>
              <w:rPr>
                <w:rFonts w:cstheme="minorHAnsi"/>
                <w:sz w:val="20"/>
                <w:szCs w:val="20"/>
              </w:rPr>
            </w:pPr>
            <w:r>
              <w:rPr>
                <w:rFonts w:cstheme="minorHAnsi"/>
                <w:sz w:val="20"/>
                <w:szCs w:val="20"/>
              </w:rPr>
              <w:t>UC</w:t>
            </w:r>
          </w:p>
        </w:tc>
        <w:tc>
          <w:tcPr>
            <w:tcW w:w="656" w:type="dxa"/>
            <w:shd w:val="clear" w:color="auto" w:fill="auto"/>
            <w:vAlign w:val="center"/>
          </w:tcPr>
          <w:p w14:paraId="3C49C429" w14:textId="1369C3A7"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r>
      <w:tr w:rsidR="007B46F4" w:rsidRPr="003D4354" w14:paraId="3C49C436" w14:textId="77777777" w:rsidTr="003D3F57">
        <w:trPr>
          <w:gridAfter w:val="1"/>
          <w:wAfter w:w="6" w:type="dxa"/>
          <w:trHeight w:val="198"/>
        </w:trPr>
        <w:tc>
          <w:tcPr>
            <w:tcW w:w="8789" w:type="dxa"/>
            <w:gridSpan w:val="2"/>
            <w:shd w:val="clear" w:color="auto" w:fill="F2F2F2" w:themeFill="background1" w:themeFillShade="F2"/>
          </w:tcPr>
          <w:p w14:paraId="3C49C42B" w14:textId="654191FE"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t>That each jurisdiction requires that there be a comprehensive building manual for Commercial buildings that should be lodged with the building owners and made available to successive purchasers of the building.</w:t>
            </w:r>
          </w:p>
        </w:tc>
        <w:tc>
          <w:tcPr>
            <w:tcW w:w="993" w:type="dxa"/>
            <w:shd w:val="clear" w:color="auto" w:fill="auto"/>
            <w:vAlign w:val="center"/>
          </w:tcPr>
          <w:p w14:paraId="3C49C42C" w14:textId="77777777" w:rsidR="0044498A" w:rsidRPr="009544AA" w:rsidRDefault="0044498A" w:rsidP="0044498A">
            <w:pPr>
              <w:spacing w:after="0" w:line="240" w:lineRule="auto"/>
              <w:ind w:hanging="376"/>
              <w:jc w:val="center"/>
              <w:rPr>
                <w:sz w:val="20"/>
                <w:szCs w:val="20"/>
              </w:rPr>
            </w:pPr>
          </w:p>
        </w:tc>
        <w:tc>
          <w:tcPr>
            <w:tcW w:w="850" w:type="dxa"/>
            <w:shd w:val="clear" w:color="auto" w:fill="auto"/>
            <w:vAlign w:val="center"/>
          </w:tcPr>
          <w:p w14:paraId="3C49C42D" w14:textId="45D5CE0F" w:rsidR="0044498A" w:rsidRPr="00632C72" w:rsidRDefault="0044498A" w:rsidP="0044498A">
            <w:pPr>
              <w:spacing w:after="0" w:line="240" w:lineRule="auto"/>
              <w:jc w:val="center"/>
              <w:rPr>
                <w:rFonts w:cstheme="minorHAnsi"/>
                <w:sz w:val="20"/>
                <w:szCs w:val="20"/>
              </w:rPr>
            </w:pPr>
            <w:r w:rsidRPr="00632C72">
              <w:rPr>
                <w:rFonts w:cstheme="minorHAnsi"/>
                <w:sz w:val="20"/>
                <w:szCs w:val="20"/>
              </w:rPr>
              <w:t>SOG</w:t>
            </w:r>
          </w:p>
        </w:tc>
        <w:tc>
          <w:tcPr>
            <w:tcW w:w="672" w:type="dxa"/>
            <w:shd w:val="clear" w:color="auto" w:fill="auto"/>
            <w:vAlign w:val="center"/>
          </w:tcPr>
          <w:p w14:paraId="3C49C42E" w14:textId="619D8786" w:rsidR="0044498A" w:rsidRPr="00632C72" w:rsidRDefault="0044498A" w:rsidP="0044498A">
            <w:pPr>
              <w:spacing w:after="0" w:line="240" w:lineRule="auto"/>
              <w:jc w:val="center"/>
              <w:rPr>
                <w:rFonts w:cstheme="minorHAnsi"/>
                <w:sz w:val="20"/>
                <w:szCs w:val="20"/>
              </w:rPr>
            </w:pPr>
            <w:r>
              <w:rPr>
                <w:rFonts w:cstheme="minorHAnsi"/>
                <w:sz w:val="20"/>
                <w:szCs w:val="20"/>
              </w:rPr>
              <w:t>S</w:t>
            </w:r>
          </w:p>
        </w:tc>
        <w:tc>
          <w:tcPr>
            <w:tcW w:w="656" w:type="dxa"/>
            <w:shd w:val="clear" w:color="auto" w:fill="auto"/>
            <w:vAlign w:val="center"/>
          </w:tcPr>
          <w:p w14:paraId="3C49C42F" w14:textId="08993D62"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5" w:type="dxa"/>
            <w:shd w:val="clear" w:color="auto" w:fill="auto"/>
            <w:vAlign w:val="center"/>
          </w:tcPr>
          <w:p w14:paraId="3C49C430" w14:textId="68E3BA63" w:rsidR="0044498A" w:rsidRPr="00632C72" w:rsidRDefault="0044498A" w:rsidP="0044498A">
            <w:pPr>
              <w:spacing w:after="0" w:line="240" w:lineRule="auto"/>
              <w:jc w:val="center"/>
              <w:rPr>
                <w:rFonts w:cstheme="minorHAnsi"/>
                <w:sz w:val="20"/>
                <w:szCs w:val="20"/>
              </w:rPr>
            </w:pPr>
            <w:r w:rsidRPr="00632C72">
              <w:rPr>
                <w:rFonts w:cstheme="minorHAnsi"/>
                <w:sz w:val="20"/>
                <w:szCs w:val="20"/>
              </w:rPr>
              <w:t>PI</w:t>
            </w:r>
          </w:p>
        </w:tc>
        <w:tc>
          <w:tcPr>
            <w:tcW w:w="656" w:type="dxa"/>
            <w:shd w:val="clear" w:color="auto" w:fill="auto"/>
            <w:vAlign w:val="center"/>
          </w:tcPr>
          <w:p w14:paraId="3C49C431" w14:textId="5244C2A5"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6" w:type="dxa"/>
            <w:shd w:val="clear" w:color="auto" w:fill="auto"/>
            <w:vAlign w:val="center"/>
          </w:tcPr>
          <w:p w14:paraId="3C49C432" w14:textId="24A5C5A8"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c>
          <w:tcPr>
            <w:tcW w:w="655" w:type="dxa"/>
            <w:shd w:val="clear" w:color="auto" w:fill="auto"/>
            <w:vAlign w:val="center"/>
          </w:tcPr>
          <w:p w14:paraId="3C49C433" w14:textId="40081CDB" w:rsidR="0044498A" w:rsidRPr="00632C72" w:rsidRDefault="0044498A" w:rsidP="0044498A">
            <w:pPr>
              <w:spacing w:after="0" w:line="240" w:lineRule="auto"/>
              <w:jc w:val="center"/>
              <w:rPr>
                <w:rFonts w:cstheme="minorHAnsi"/>
                <w:sz w:val="20"/>
                <w:szCs w:val="20"/>
              </w:rPr>
            </w:pPr>
            <w:r w:rsidRPr="00632C72">
              <w:rPr>
                <w:rFonts w:cstheme="minorHAnsi"/>
                <w:sz w:val="20"/>
                <w:szCs w:val="20"/>
              </w:rPr>
              <w:t>S</w:t>
            </w:r>
          </w:p>
        </w:tc>
        <w:tc>
          <w:tcPr>
            <w:tcW w:w="656" w:type="dxa"/>
            <w:shd w:val="clear" w:color="auto" w:fill="auto"/>
            <w:vAlign w:val="center"/>
          </w:tcPr>
          <w:p w14:paraId="3C49C434" w14:textId="6AC2E2D8" w:rsidR="0044498A" w:rsidRPr="00632C72" w:rsidRDefault="0044498A" w:rsidP="0044498A">
            <w:pPr>
              <w:spacing w:after="0" w:line="240" w:lineRule="auto"/>
              <w:jc w:val="center"/>
              <w:rPr>
                <w:rFonts w:cstheme="minorHAnsi"/>
                <w:sz w:val="20"/>
                <w:szCs w:val="20"/>
              </w:rPr>
            </w:pPr>
            <w:r>
              <w:rPr>
                <w:rFonts w:cstheme="minorHAnsi"/>
                <w:sz w:val="20"/>
                <w:szCs w:val="20"/>
              </w:rPr>
              <w:t>PI</w:t>
            </w:r>
          </w:p>
        </w:tc>
        <w:tc>
          <w:tcPr>
            <w:tcW w:w="656" w:type="dxa"/>
            <w:shd w:val="clear" w:color="auto" w:fill="auto"/>
            <w:vAlign w:val="center"/>
          </w:tcPr>
          <w:p w14:paraId="3C49C435" w14:textId="0473DE33" w:rsidR="0044498A" w:rsidRPr="00632C72" w:rsidRDefault="0044498A" w:rsidP="0044498A">
            <w:pPr>
              <w:spacing w:after="0" w:line="240" w:lineRule="auto"/>
              <w:jc w:val="center"/>
              <w:rPr>
                <w:rFonts w:cstheme="minorHAnsi"/>
                <w:sz w:val="20"/>
                <w:szCs w:val="20"/>
              </w:rPr>
            </w:pPr>
            <w:r w:rsidRPr="00632C72">
              <w:rPr>
                <w:rFonts w:cstheme="minorHAnsi"/>
                <w:sz w:val="20"/>
                <w:szCs w:val="20"/>
              </w:rPr>
              <w:t>IPS</w:t>
            </w:r>
          </w:p>
        </w:tc>
      </w:tr>
      <w:tr w:rsidR="0044498A" w:rsidRPr="003D4354" w14:paraId="3C49C442" w14:textId="77777777" w:rsidTr="003D3F57">
        <w:trPr>
          <w:gridAfter w:val="1"/>
          <w:wAfter w:w="6" w:type="dxa"/>
          <w:trHeight w:val="198"/>
        </w:trPr>
        <w:tc>
          <w:tcPr>
            <w:tcW w:w="8789" w:type="dxa"/>
            <w:gridSpan w:val="2"/>
            <w:shd w:val="clear" w:color="auto" w:fill="F2F2F2" w:themeFill="background1" w:themeFillShade="F2"/>
          </w:tcPr>
          <w:p w14:paraId="3C49C437" w14:textId="1F8AB89C"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t>That the BMF agree its position on the establishment of a compulsory product certification system for high-risk building products.</w:t>
            </w:r>
          </w:p>
        </w:tc>
        <w:tc>
          <w:tcPr>
            <w:tcW w:w="993" w:type="dxa"/>
            <w:shd w:val="clear" w:color="auto" w:fill="auto"/>
            <w:vAlign w:val="center"/>
          </w:tcPr>
          <w:p w14:paraId="3C49C438" w14:textId="77777777" w:rsidR="0044498A" w:rsidRPr="009544AA" w:rsidRDefault="0044498A" w:rsidP="0044498A">
            <w:pPr>
              <w:spacing w:after="0" w:line="240" w:lineRule="auto"/>
              <w:ind w:hanging="376"/>
              <w:jc w:val="center"/>
              <w:rPr>
                <w:sz w:val="20"/>
                <w:szCs w:val="20"/>
              </w:rPr>
            </w:pPr>
          </w:p>
        </w:tc>
        <w:tc>
          <w:tcPr>
            <w:tcW w:w="850" w:type="dxa"/>
            <w:shd w:val="clear" w:color="auto" w:fill="auto"/>
            <w:vAlign w:val="center"/>
          </w:tcPr>
          <w:p w14:paraId="3C49C439" w14:textId="0A8CDA99" w:rsidR="0044498A" w:rsidRPr="00632C72" w:rsidRDefault="0044498A" w:rsidP="0044498A">
            <w:pPr>
              <w:spacing w:after="0" w:line="240" w:lineRule="auto"/>
              <w:jc w:val="center"/>
              <w:rPr>
                <w:rFonts w:cstheme="minorHAnsi"/>
                <w:sz w:val="20"/>
                <w:szCs w:val="20"/>
              </w:rPr>
            </w:pPr>
            <w:r w:rsidRPr="00632C72">
              <w:rPr>
                <w:rFonts w:cstheme="minorHAnsi"/>
                <w:sz w:val="20"/>
                <w:szCs w:val="20"/>
              </w:rPr>
              <w:t>SOG</w:t>
            </w:r>
          </w:p>
        </w:tc>
        <w:tc>
          <w:tcPr>
            <w:tcW w:w="5262" w:type="dxa"/>
            <w:gridSpan w:val="8"/>
            <w:shd w:val="clear" w:color="auto" w:fill="auto"/>
            <w:vAlign w:val="center"/>
          </w:tcPr>
          <w:p w14:paraId="3C49C441" w14:textId="2B7054DB" w:rsidR="0044498A" w:rsidRPr="00632C72" w:rsidRDefault="0044498A" w:rsidP="0044498A">
            <w:pPr>
              <w:spacing w:after="0" w:line="240" w:lineRule="auto"/>
              <w:jc w:val="center"/>
              <w:rPr>
                <w:rFonts w:cstheme="minorHAnsi"/>
                <w:sz w:val="20"/>
                <w:szCs w:val="20"/>
              </w:rPr>
            </w:pPr>
            <w:r>
              <w:rPr>
                <w:rFonts w:cstheme="minorHAnsi"/>
                <w:sz w:val="20"/>
                <w:szCs w:val="20"/>
              </w:rPr>
              <w:t>The BMF supports this recommendation, and has directed the SOG to continue its strategic response to this issue.</w:t>
            </w:r>
            <w:r>
              <w:rPr>
                <w:rStyle w:val="FootnoteReference"/>
                <w:rFonts w:cstheme="minorHAnsi"/>
                <w:sz w:val="20"/>
                <w:szCs w:val="20"/>
              </w:rPr>
              <w:footnoteReference w:id="1"/>
            </w:r>
          </w:p>
        </w:tc>
      </w:tr>
      <w:tr w:rsidR="0044498A" w:rsidRPr="003D4354" w14:paraId="3C49C44E" w14:textId="77777777" w:rsidTr="003D3F57">
        <w:trPr>
          <w:gridAfter w:val="1"/>
          <w:wAfter w:w="6" w:type="dxa"/>
          <w:trHeight w:val="212"/>
        </w:trPr>
        <w:tc>
          <w:tcPr>
            <w:tcW w:w="8789" w:type="dxa"/>
            <w:gridSpan w:val="2"/>
            <w:shd w:val="clear" w:color="auto" w:fill="F2F2F2" w:themeFill="background1" w:themeFillShade="F2"/>
          </w:tcPr>
          <w:p w14:paraId="3C49C443" w14:textId="27D8EB66"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t xml:space="preserve">That the BMF develop a national dictionary of terminology to assist jurisdictions, industry and consumers to understand the range of terminology used to describe the same or similar terms and processes in different jurisdictions. </w:t>
            </w:r>
          </w:p>
        </w:tc>
        <w:tc>
          <w:tcPr>
            <w:tcW w:w="993" w:type="dxa"/>
            <w:shd w:val="clear" w:color="auto" w:fill="auto"/>
            <w:vAlign w:val="center"/>
          </w:tcPr>
          <w:p w14:paraId="3C49C444" w14:textId="77777777" w:rsidR="0044498A" w:rsidRPr="009544AA" w:rsidRDefault="0044498A" w:rsidP="0044498A">
            <w:pPr>
              <w:spacing w:after="0" w:line="240" w:lineRule="auto"/>
              <w:ind w:hanging="376"/>
              <w:jc w:val="center"/>
              <w:rPr>
                <w:sz w:val="20"/>
                <w:szCs w:val="20"/>
              </w:rPr>
            </w:pPr>
          </w:p>
        </w:tc>
        <w:tc>
          <w:tcPr>
            <w:tcW w:w="850" w:type="dxa"/>
            <w:shd w:val="clear" w:color="auto" w:fill="auto"/>
            <w:vAlign w:val="center"/>
          </w:tcPr>
          <w:p w14:paraId="3C49C445" w14:textId="2B1C8762" w:rsidR="0044498A" w:rsidRPr="00632C72" w:rsidRDefault="0044498A" w:rsidP="0044498A">
            <w:pPr>
              <w:spacing w:after="0" w:line="240" w:lineRule="auto"/>
              <w:jc w:val="center"/>
              <w:rPr>
                <w:rFonts w:cstheme="minorHAnsi"/>
                <w:sz w:val="20"/>
                <w:szCs w:val="20"/>
              </w:rPr>
            </w:pPr>
            <w:r w:rsidRPr="00632C72">
              <w:rPr>
                <w:rFonts w:cstheme="minorHAnsi"/>
                <w:sz w:val="20"/>
                <w:szCs w:val="20"/>
              </w:rPr>
              <w:t>ABCB</w:t>
            </w:r>
          </w:p>
        </w:tc>
        <w:tc>
          <w:tcPr>
            <w:tcW w:w="5262" w:type="dxa"/>
            <w:gridSpan w:val="8"/>
            <w:shd w:val="clear" w:color="auto" w:fill="auto"/>
            <w:vAlign w:val="center"/>
          </w:tcPr>
          <w:p w14:paraId="3C49C44D" w14:textId="7548761A" w:rsidR="0044498A" w:rsidRPr="00632C72" w:rsidRDefault="0044498A" w:rsidP="0044498A">
            <w:pPr>
              <w:spacing w:after="0" w:line="240" w:lineRule="auto"/>
              <w:jc w:val="center"/>
              <w:rPr>
                <w:rFonts w:cstheme="minorHAnsi"/>
                <w:sz w:val="20"/>
                <w:szCs w:val="20"/>
              </w:rPr>
            </w:pPr>
            <w:r>
              <w:rPr>
                <w:rFonts w:cstheme="minorHAnsi"/>
                <w:sz w:val="20"/>
                <w:szCs w:val="20"/>
              </w:rPr>
              <w:t>The BMF supports this recommendation and has directed the ABCB to progress this recommendation.</w:t>
            </w:r>
          </w:p>
        </w:tc>
      </w:tr>
      <w:tr w:rsidR="0044498A" w:rsidRPr="003D4354" w14:paraId="3C49C45A" w14:textId="77777777" w:rsidTr="003D3F57">
        <w:trPr>
          <w:gridAfter w:val="1"/>
          <w:wAfter w:w="6" w:type="dxa"/>
          <w:trHeight w:val="198"/>
        </w:trPr>
        <w:tc>
          <w:tcPr>
            <w:tcW w:w="8789" w:type="dxa"/>
            <w:gridSpan w:val="2"/>
            <w:shd w:val="clear" w:color="auto" w:fill="F2F2F2" w:themeFill="background1" w:themeFillShade="F2"/>
          </w:tcPr>
          <w:p w14:paraId="3C49C44F" w14:textId="47CB80C5"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t>That the BMF acknowledges that the above recommendations are designed to form a coherent package and that they be implemented by all jurisdictions progressively over the next three years.</w:t>
            </w:r>
          </w:p>
        </w:tc>
        <w:tc>
          <w:tcPr>
            <w:tcW w:w="993" w:type="dxa"/>
            <w:shd w:val="clear" w:color="auto" w:fill="auto"/>
            <w:vAlign w:val="center"/>
          </w:tcPr>
          <w:p w14:paraId="3C49C450" w14:textId="66760669" w:rsidR="0044498A" w:rsidRPr="00C7592C" w:rsidRDefault="0044498A" w:rsidP="0044498A">
            <w:pPr>
              <w:spacing w:after="0" w:line="240" w:lineRule="auto"/>
              <w:jc w:val="center"/>
              <w:rPr>
                <w:sz w:val="20"/>
                <w:szCs w:val="20"/>
              </w:rPr>
            </w:pPr>
            <w:r>
              <w:rPr>
                <w:noProof/>
                <w:lang w:eastAsia="en-AU"/>
              </w:rPr>
              <w:drawing>
                <wp:inline distT="0" distB="0" distL="0" distR="0" wp14:anchorId="58E0DB0F" wp14:editId="4540C463">
                  <wp:extent cx="325755" cy="270510"/>
                  <wp:effectExtent l="0" t="0" r="0" b="0"/>
                  <wp:docPr id="7" name="Picture 7"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 cy="270510"/>
                          </a:xfrm>
                          <a:prstGeom prst="rect">
                            <a:avLst/>
                          </a:prstGeom>
                          <a:noFill/>
                          <a:ln>
                            <a:noFill/>
                          </a:ln>
                        </pic:spPr>
                      </pic:pic>
                    </a:graphicData>
                  </a:graphic>
                </wp:inline>
              </w:drawing>
            </w:r>
          </w:p>
        </w:tc>
        <w:tc>
          <w:tcPr>
            <w:tcW w:w="850" w:type="dxa"/>
            <w:shd w:val="clear" w:color="auto" w:fill="auto"/>
            <w:vAlign w:val="center"/>
          </w:tcPr>
          <w:p w14:paraId="3C49C451" w14:textId="2A971AF8" w:rsidR="0044498A" w:rsidRPr="00632C72" w:rsidRDefault="0044498A" w:rsidP="0044498A">
            <w:pPr>
              <w:spacing w:after="0" w:line="240" w:lineRule="auto"/>
              <w:jc w:val="center"/>
              <w:rPr>
                <w:rFonts w:cstheme="minorHAnsi"/>
                <w:sz w:val="20"/>
                <w:szCs w:val="20"/>
              </w:rPr>
            </w:pPr>
            <w:r w:rsidRPr="00632C72">
              <w:rPr>
                <w:rFonts w:cstheme="minorHAnsi"/>
                <w:sz w:val="20"/>
                <w:szCs w:val="20"/>
              </w:rPr>
              <w:t>SOG</w:t>
            </w:r>
          </w:p>
        </w:tc>
        <w:tc>
          <w:tcPr>
            <w:tcW w:w="5262" w:type="dxa"/>
            <w:gridSpan w:val="8"/>
            <w:vMerge w:val="restart"/>
            <w:shd w:val="clear" w:color="auto" w:fill="auto"/>
            <w:vAlign w:val="center"/>
          </w:tcPr>
          <w:p w14:paraId="3C49C459" w14:textId="104C946F" w:rsidR="0044498A" w:rsidRPr="00632C72" w:rsidRDefault="0044498A" w:rsidP="0044498A">
            <w:pPr>
              <w:spacing w:after="0" w:line="240" w:lineRule="auto"/>
              <w:jc w:val="center"/>
              <w:rPr>
                <w:rFonts w:cstheme="minorHAnsi"/>
                <w:sz w:val="20"/>
                <w:szCs w:val="20"/>
              </w:rPr>
            </w:pPr>
            <w:r>
              <w:rPr>
                <w:rFonts w:cstheme="minorHAnsi"/>
                <w:sz w:val="20"/>
                <w:szCs w:val="20"/>
              </w:rPr>
              <w:t>The BMF supports these recommendations, as set out in this implementation plan.</w:t>
            </w:r>
          </w:p>
        </w:tc>
      </w:tr>
      <w:tr w:rsidR="0044498A" w:rsidRPr="003D4354" w14:paraId="3C49C466" w14:textId="77777777" w:rsidTr="003D3F57">
        <w:trPr>
          <w:gridAfter w:val="1"/>
          <w:wAfter w:w="6" w:type="dxa"/>
          <w:trHeight w:val="212"/>
        </w:trPr>
        <w:tc>
          <w:tcPr>
            <w:tcW w:w="8789" w:type="dxa"/>
            <w:gridSpan w:val="2"/>
            <w:shd w:val="clear" w:color="auto" w:fill="F2F2F2" w:themeFill="background1" w:themeFillShade="F2"/>
          </w:tcPr>
          <w:p w14:paraId="3C49C45B" w14:textId="6517E1CD" w:rsidR="0044498A" w:rsidRPr="00822C48" w:rsidRDefault="0044498A" w:rsidP="0044498A">
            <w:pPr>
              <w:pStyle w:val="ListParagraph"/>
              <w:numPr>
                <w:ilvl w:val="0"/>
                <w:numId w:val="22"/>
              </w:numPr>
              <w:spacing w:after="0" w:line="240" w:lineRule="auto"/>
              <w:rPr>
                <w:rFonts w:ascii="Arial" w:eastAsiaTheme="minorHAnsi" w:hAnsi="Arial"/>
                <w:bCs/>
              </w:rPr>
            </w:pPr>
            <w:r w:rsidRPr="00822C48">
              <w:rPr>
                <w:rFonts w:ascii="Arial" w:eastAsiaTheme="minorHAnsi" w:hAnsi="Arial"/>
                <w:bCs/>
              </w:rPr>
              <w:t>That the BMF prioritise the preparation of a plan for the implementation of the recommendations against which each jurisdiction will report annually.</w:t>
            </w:r>
          </w:p>
        </w:tc>
        <w:tc>
          <w:tcPr>
            <w:tcW w:w="993" w:type="dxa"/>
            <w:shd w:val="clear" w:color="auto" w:fill="auto"/>
            <w:vAlign w:val="center"/>
          </w:tcPr>
          <w:p w14:paraId="3C49C45C" w14:textId="17FD7B4A" w:rsidR="0044498A" w:rsidRPr="00C7592C" w:rsidRDefault="0044498A" w:rsidP="0044498A">
            <w:pPr>
              <w:spacing w:after="0" w:line="240" w:lineRule="auto"/>
              <w:jc w:val="center"/>
              <w:rPr>
                <w:sz w:val="20"/>
                <w:szCs w:val="20"/>
              </w:rPr>
            </w:pPr>
            <w:r>
              <w:rPr>
                <w:noProof/>
                <w:lang w:eastAsia="en-AU"/>
              </w:rPr>
              <w:drawing>
                <wp:inline distT="0" distB="0" distL="0" distR="0" wp14:anchorId="726F86D8" wp14:editId="3B94F8D1">
                  <wp:extent cx="325755" cy="270510"/>
                  <wp:effectExtent l="0" t="0" r="0" b="0"/>
                  <wp:docPr id="9" name="Picture 9" descr="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 cy="270510"/>
                          </a:xfrm>
                          <a:prstGeom prst="rect">
                            <a:avLst/>
                          </a:prstGeom>
                          <a:noFill/>
                          <a:ln>
                            <a:noFill/>
                          </a:ln>
                        </pic:spPr>
                      </pic:pic>
                    </a:graphicData>
                  </a:graphic>
                </wp:inline>
              </w:drawing>
            </w:r>
          </w:p>
        </w:tc>
        <w:tc>
          <w:tcPr>
            <w:tcW w:w="850" w:type="dxa"/>
            <w:shd w:val="clear" w:color="auto" w:fill="auto"/>
            <w:vAlign w:val="center"/>
          </w:tcPr>
          <w:p w14:paraId="3C49C45D" w14:textId="4A8F926F" w:rsidR="0044498A" w:rsidRPr="00632C72" w:rsidRDefault="0044498A" w:rsidP="0044498A">
            <w:pPr>
              <w:spacing w:after="0" w:line="240" w:lineRule="auto"/>
              <w:jc w:val="center"/>
              <w:rPr>
                <w:rFonts w:cstheme="minorHAnsi"/>
                <w:sz w:val="20"/>
                <w:szCs w:val="20"/>
              </w:rPr>
            </w:pPr>
            <w:r w:rsidRPr="00632C72">
              <w:rPr>
                <w:rFonts w:cstheme="minorHAnsi"/>
                <w:sz w:val="20"/>
                <w:szCs w:val="20"/>
              </w:rPr>
              <w:t>SOG</w:t>
            </w:r>
          </w:p>
        </w:tc>
        <w:tc>
          <w:tcPr>
            <w:tcW w:w="5262" w:type="dxa"/>
            <w:gridSpan w:val="8"/>
            <w:vMerge/>
            <w:shd w:val="clear" w:color="auto" w:fill="F2F2F2" w:themeFill="background1" w:themeFillShade="F2"/>
            <w:vAlign w:val="center"/>
          </w:tcPr>
          <w:p w14:paraId="3C49C465" w14:textId="12CB041F" w:rsidR="0044498A" w:rsidRPr="00632C72" w:rsidRDefault="0044498A" w:rsidP="0044498A">
            <w:pPr>
              <w:spacing w:after="0" w:line="240" w:lineRule="auto"/>
              <w:jc w:val="center"/>
              <w:rPr>
                <w:rFonts w:cstheme="minorHAnsi"/>
                <w:sz w:val="20"/>
                <w:szCs w:val="20"/>
              </w:rPr>
            </w:pPr>
          </w:p>
        </w:tc>
      </w:tr>
    </w:tbl>
    <w:p w14:paraId="3C49C467" w14:textId="77777777" w:rsidR="00C65B8C" w:rsidRDefault="00C65B8C" w:rsidP="00704A52"/>
    <w:p w14:paraId="3C49C469" w14:textId="634E0AAC" w:rsidR="00C65B8C" w:rsidRDefault="00C65B8C" w:rsidP="00C04796">
      <w:pPr>
        <w:jc w:val="center"/>
        <w:sectPr w:rsidR="00C65B8C" w:rsidSect="002E65AB">
          <w:headerReference w:type="first" r:id="rId16"/>
          <w:pgSz w:w="16839" w:h="11907" w:orient="landscape" w:code="9"/>
          <w:pgMar w:top="1134" w:right="1440" w:bottom="851" w:left="1276" w:header="709" w:footer="465" w:gutter="0"/>
          <w:cols w:space="708"/>
          <w:docGrid w:linePitch="360"/>
        </w:sectPr>
      </w:pPr>
    </w:p>
    <w:p w14:paraId="4503AEDE" w14:textId="77777777" w:rsidR="00744D51" w:rsidRDefault="005C7A68" w:rsidP="00744D51">
      <w:pPr>
        <w:pStyle w:val="Heading2"/>
      </w:pPr>
      <w:bookmarkStart w:id="20" w:name="_Toc3991426"/>
      <w:r w:rsidRPr="000E1ADB">
        <w:lastRenderedPageBreak/>
        <w:t>New South Wales</w:t>
      </w:r>
      <w:bookmarkEnd w:id="20"/>
      <w:r w:rsidR="008B3830">
        <w:t xml:space="preserve"> </w:t>
      </w:r>
    </w:p>
    <w:p w14:paraId="5D843AE3" w14:textId="39585F21" w:rsidR="007B5515" w:rsidRPr="004A07E4" w:rsidRDefault="007B5515" w:rsidP="00744D51">
      <w:pPr>
        <w:pStyle w:val="Heading3"/>
      </w:pPr>
      <w:r w:rsidRPr="004A07E4">
        <w:t>Overview</w:t>
      </w:r>
    </w:p>
    <w:p w14:paraId="34D410AD" w14:textId="77777777" w:rsidR="007B5515" w:rsidRPr="000E1ADB" w:rsidRDefault="007B5515" w:rsidP="007B5515">
      <w:pPr>
        <w:rPr>
          <w:rFonts w:ascii="Arial" w:eastAsiaTheme="minorHAnsi" w:hAnsi="Arial"/>
        </w:rPr>
      </w:pPr>
      <w:r w:rsidRPr="000E1ADB">
        <w:rPr>
          <w:rFonts w:ascii="Arial" w:eastAsiaTheme="minorHAnsi" w:hAnsi="Arial"/>
        </w:rPr>
        <w:t xml:space="preserve">The NSW Government is committed to strengthening the building and construction sector through its announcement on 10 February 2019 of a response to the </w:t>
      </w:r>
      <w:r w:rsidRPr="003D3F57">
        <w:rPr>
          <w:rFonts w:ascii="Arial" w:eastAsiaTheme="minorHAnsi" w:hAnsi="Arial"/>
          <w:i/>
        </w:rPr>
        <w:t>Building Confidence</w:t>
      </w:r>
      <w:r w:rsidRPr="000E1ADB">
        <w:rPr>
          <w:rFonts w:ascii="Arial" w:eastAsiaTheme="minorHAnsi" w:hAnsi="Arial"/>
        </w:rPr>
        <w:t xml:space="preserve"> report, which complements other reforms underway in the sector.</w:t>
      </w:r>
      <w:r w:rsidRPr="003D3F57">
        <w:rPr>
          <w:rFonts w:ascii="Arial" w:eastAsiaTheme="minorHAnsi" w:hAnsi="Arial"/>
          <w:vertAlign w:val="superscript"/>
        </w:rPr>
        <w:footnoteReference w:id="2"/>
      </w:r>
      <w:r w:rsidRPr="000E1ADB">
        <w:rPr>
          <w:rFonts w:ascii="Arial" w:eastAsiaTheme="minorHAnsi" w:hAnsi="Arial"/>
        </w:rPr>
        <w:t xml:space="preserve"> </w:t>
      </w:r>
    </w:p>
    <w:p w14:paraId="46907A24" w14:textId="77777777" w:rsidR="007B5515" w:rsidRPr="000E1ADB" w:rsidRDefault="007B5515" w:rsidP="007B5515">
      <w:pPr>
        <w:rPr>
          <w:rFonts w:ascii="Arial" w:eastAsiaTheme="minorHAnsi" w:hAnsi="Arial"/>
        </w:rPr>
      </w:pPr>
      <w:r w:rsidRPr="000E1ADB">
        <w:rPr>
          <w:rFonts w:ascii="Arial" w:eastAsiaTheme="minorHAnsi" w:hAnsi="Arial"/>
        </w:rPr>
        <w:t xml:space="preserve">The NSW Government is progressing or has already introduced the majority of the reforms outlined in the report, particularly in relation to certification, and has committed to further reform. </w:t>
      </w:r>
    </w:p>
    <w:p w14:paraId="2FAA80E2" w14:textId="77777777" w:rsidR="007B5515" w:rsidRPr="000E1ADB" w:rsidRDefault="007B5515" w:rsidP="007B5515">
      <w:pPr>
        <w:rPr>
          <w:rFonts w:ascii="Arial" w:eastAsiaTheme="minorHAnsi" w:hAnsi="Arial"/>
        </w:rPr>
      </w:pPr>
      <w:r w:rsidRPr="000E1ADB">
        <w:rPr>
          <w:rFonts w:ascii="Arial" w:eastAsiaTheme="minorHAnsi" w:hAnsi="Arial"/>
        </w:rPr>
        <w:t xml:space="preserve">The NSW Government will continue to work closely with other jurisdictions to promote best practice across all Australian states and territories. </w:t>
      </w:r>
    </w:p>
    <w:p w14:paraId="3B1F34B8" w14:textId="77777777" w:rsidR="007B5515" w:rsidRPr="000E1ADB" w:rsidRDefault="007B5515" w:rsidP="005C7A68">
      <w:pPr>
        <w:pStyle w:val="Heading3"/>
        <w:rPr>
          <w:sz w:val="44"/>
        </w:rPr>
      </w:pPr>
      <w:r w:rsidRPr="004A07E4">
        <w:t>Reforms underway</w:t>
      </w:r>
    </w:p>
    <w:p w14:paraId="37364FC9" w14:textId="77777777" w:rsidR="007B5515" w:rsidRPr="008B3830" w:rsidRDefault="007B5515" w:rsidP="008B3830">
      <w:pPr>
        <w:pStyle w:val="Heading4"/>
      </w:pPr>
      <w:r w:rsidRPr="008B3830">
        <w:t>Introduction of the Building Products (Safety) Act 2017 (the BPS Act)</w:t>
      </w:r>
    </w:p>
    <w:p w14:paraId="399F9CCC" w14:textId="77777777" w:rsidR="007B5515" w:rsidRPr="0040633A" w:rsidRDefault="007B5515" w:rsidP="007B5515">
      <w:pPr>
        <w:rPr>
          <w:rFonts w:ascii="Arial" w:eastAsiaTheme="minorHAnsi" w:hAnsi="Arial"/>
        </w:rPr>
      </w:pPr>
      <w:r w:rsidRPr="0040633A">
        <w:rPr>
          <w:rFonts w:ascii="Arial" w:eastAsiaTheme="minorHAnsi" w:hAnsi="Arial"/>
        </w:rPr>
        <w:t>On 18 December 2017, the NSW Government introduced the BPS Act as part of its 10-point plan for fire safety. The BPS Act provides enhanced powers to monitor and restrict the use of unsafe building products in NSW. The powers under the BPS Act promote the safety of residential, commercial and industrial buildings by enabling the NSW Government to ban the unsafe use of a building product. In addition, the legislation gives councils increased powers to require the rectification of buildings that are a risk to public safety.</w:t>
      </w:r>
    </w:p>
    <w:p w14:paraId="3B4F2297" w14:textId="6C20B9D5" w:rsidR="007B5515" w:rsidRPr="0040633A" w:rsidRDefault="007B5515" w:rsidP="007B5515">
      <w:pPr>
        <w:rPr>
          <w:rFonts w:ascii="Arial" w:eastAsiaTheme="minorHAnsi" w:hAnsi="Arial"/>
        </w:rPr>
      </w:pPr>
      <w:r w:rsidRPr="0040633A">
        <w:rPr>
          <w:rFonts w:ascii="Arial" w:eastAsiaTheme="minorHAnsi" w:hAnsi="Arial"/>
        </w:rPr>
        <w:t>On 15 August 2018, the Commissioner for Fair Trading published a building product use ban for aluminium composite panels comprised of a core of greater than 30 per cent polyethylene in any external cladding, external wall, external insulation, façade or r</w:t>
      </w:r>
      <w:r w:rsidR="003D3F57">
        <w:rPr>
          <w:rFonts w:ascii="Arial" w:eastAsiaTheme="minorHAnsi" w:hAnsi="Arial"/>
        </w:rPr>
        <w:t>endered finish in certain multi</w:t>
      </w:r>
      <w:r w:rsidR="003D3F57">
        <w:rPr>
          <w:rFonts w:ascii="Arial" w:eastAsiaTheme="minorHAnsi" w:hAnsi="Arial"/>
        </w:rPr>
        <w:noBreakHyphen/>
      </w:r>
      <w:r w:rsidRPr="0040633A">
        <w:rPr>
          <w:rFonts w:ascii="Arial" w:eastAsiaTheme="minorHAnsi" w:hAnsi="Arial"/>
        </w:rPr>
        <w:t xml:space="preserve">storey buildings, subject to specific exceptions (the cladding ban). </w:t>
      </w:r>
    </w:p>
    <w:p w14:paraId="65EEC495" w14:textId="77777777" w:rsidR="007B5515" w:rsidRPr="0040633A" w:rsidRDefault="007B5515" w:rsidP="007B5515">
      <w:pPr>
        <w:rPr>
          <w:rFonts w:ascii="Arial" w:eastAsiaTheme="minorHAnsi" w:hAnsi="Arial"/>
        </w:rPr>
      </w:pPr>
      <w:r w:rsidRPr="0040633A">
        <w:rPr>
          <w:rFonts w:ascii="Arial" w:eastAsiaTheme="minorHAnsi" w:hAnsi="Arial"/>
        </w:rPr>
        <w:t xml:space="preserve">Under the BPS Act, it is an offence for a person to cause a building product to be used in contravention of the cladding ban. It is also an offence for a person, in trade or commerce, to represent that a building product is suitable for use in a building if that use would contravene the cladding ban. </w:t>
      </w:r>
    </w:p>
    <w:p w14:paraId="13F87E25" w14:textId="77777777" w:rsidR="007B5515" w:rsidRPr="00C42A6D" w:rsidRDefault="007B5515" w:rsidP="008B3830">
      <w:pPr>
        <w:pStyle w:val="Heading4"/>
      </w:pPr>
      <w:bookmarkStart w:id="21" w:name="_Hlk536101235"/>
      <w:bookmarkStart w:id="22" w:name="_Hlk1379182"/>
      <w:r w:rsidRPr="00C42A6D">
        <w:t xml:space="preserve">Four-point plan to improve the certification industry </w:t>
      </w:r>
    </w:p>
    <w:p w14:paraId="3F0C0824" w14:textId="77777777" w:rsidR="007B5515" w:rsidRPr="0040633A" w:rsidRDefault="007B5515" w:rsidP="007B5515">
      <w:pPr>
        <w:spacing w:before="120" w:after="120"/>
        <w:rPr>
          <w:rFonts w:ascii="Arial" w:eastAsiaTheme="minorHAnsi" w:hAnsi="Arial"/>
        </w:rPr>
      </w:pPr>
      <w:r w:rsidRPr="0040633A">
        <w:rPr>
          <w:rFonts w:ascii="Arial" w:eastAsiaTheme="minorHAnsi" w:hAnsi="Arial"/>
        </w:rPr>
        <w:t>On 30 December 2018, the NSW Government announced a four-point plan focussed on compliance and enforcement reforms to improve certification. The four-point plan includes:</w:t>
      </w:r>
    </w:p>
    <w:p w14:paraId="4BA1177B" w14:textId="77777777" w:rsidR="007B5515" w:rsidRPr="0040633A" w:rsidRDefault="007B5515" w:rsidP="0040633A">
      <w:pPr>
        <w:pStyle w:val="ListBullet"/>
        <w:numPr>
          <w:ilvl w:val="0"/>
          <w:numId w:val="7"/>
        </w:numPr>
      </w:pPr>
      <w:r w:rsidRPr="0040633A">
        <w:t>a compliance blitz with 25–30 per cent of the industry to be audited every year</w:t>
      </w:r>
    </w:p>
    <w:p w14:paraId="7E0EB1AE" w14:textId="77777777" w:rsidR="007B5515" w:rsidRPr="0040633A" w:rsidRDefault="007B5515" w:rsidP="0040633A">
      <w:pPr>
        <w:pStyle w:val="ListBullet"/>
        <w:numPr>
          <w:ilvl w:val="0"/>
          <w:numId w:val="7"/>
        </w:numPr>
      </w:pPr>
      <w:r w:rsidRPr="0040633A">
        <w:t>a new disciplinary policy that will see certifiers penalised for not complying with relevant legislation or negligently signing off on a building which is unsafe or structurally unsound</w:t>
      </w:r>
    </w:p>
    <w:p w14:paraId="337FC76F" w14:textId="77777777" w:rsidR="002E65AB" w:rsidRDefault="007B5515" w:rsidP="002E65AB">
      <w:pPr>
        <w:pStyle w:val="ListBullet"/>
        <w:numPr>
          <w:ilvl w:val="0"/>
          <w:numId w:val="7"/>
        </w:numPr>
      </w:pPr>
      <w:r w:rsidRPr="0040633A">
        <w:t xml:space="preserve">better protection for strata buildings, with certifiers unable to work on new strata developments if they have breached the code of conduct in the previous 12 months, regarding building quality and </w:t>
      </w:r>
    </w:p>
    <w:p w14:paraId="27030C7F" w14:textId="4812AD3D" w:rsidR="007B5515" w:rsidRPr="0040633A" w:rsidRDefault="007B5515" w:rsidP="002E65AB">
      <w:pPr>
        <w:pStyle w:val="ListBullet"/>
        <w:numPr>
          <w:ilvl w:val="0"/>
          <w:numId w:val="7"/>
        </w:numPr>
      </w:pPr>
      <w:r w:rsidRPr="0040633A">
        <w:t>increased transparency, which will include more information for homeowners about a certifier’s disciplinary record on an enhanced public register, and the provision of information to prospective buyers of off-the-plan developments about a certifier’s disciplinary history.</w:t>
      </w:r>
      <w:bookmarkEnd w:id="21"/>
    </w:p>
    <w:p w14:paraId="3B033369" w14:textId="77777777" w:rsidR="007B5515" w:rsidRPr="008D164F" w:rsidRDefault="007B5515" w:rsidP="004A0ED9">
      <w:pPr>
        <w:pStyle w:val="Heading4"/>
      </w:pPr>
      <w:r w:rsidRPr="008D164F">
        <w:lastRenderedPageBreak/>
        <w:t xml:space="preserve">A new legislative framework for certifiers in the </w:t>
      </w:r>
      <w:r w:rsidRPr="003D3F57">
        <w:rPr>
          <w:i/>
        </w:rPr>
        <w:t>Building and Development Certifiers Act 2018</w:t>
      </w:r>
      <w:r w:rsidRPr="008D164F">
        <w:t xml:space="preserve"> (the BDC Act) </w:t>
      </w:r>
    </w:p>
    <w:p w14:paraId="04D823BB" w14:textId="77777777" w:rsidR="007B5515" w:rsidRPr="0040633A" w:rsidRDefault="007B5515" w:rsidP="007B5515">
      <w:pPr>
        <w:spacing w:before="120" w:after="120"/>
        <w:rPr>
          <w:rFonts w:ascii="Arial" w:eastAsiaTheme="minorHAnsi" w:hAnsi="Arial"/>
        </w:rPr>
      </w:pPr>
      <w:r w:rsidRPr="0040633A">
        <w:rPr>
          <w:rFonts w:ascii="Arial" w:eastAsiaTheme="minorHAnsi" w:hAnsi="Arial"/>
        </w:rPr>
        <w:t xml:space="preserve">The BDC Act delivers on the NSW Government’s commitment to overhaul certifier regulation in its response to the statutory review of the </w:t>
      </w:r>
      <w:r w:rsidRPr="003D3F57">
        <w:rPr>
          <w:rFonts w:ascii="Arial" w:eastAsiaTheme="minorHAnsi" w:hAnsi="Arial"/>
          <w:i/>
        </w:rPr>
        <w:t>Building Professionals Act 2005</w:t>
      </w:r>
      <w:r w:rsidRPr="0040633A">
        <w:rPr>
          <w:rFonts w:ascii="Arial" w:eastAsiaTheme="minorHAnsi" w:hAnsi="Arial"/>
        </w:rPr>
        <w:t xml:space="preserve"> (the ‘Lambert Review’). The BDC Act, which will be supported by new regulations, strengthens compliance in the sector by:</w:t>
      </w:r>
    </w:p>
    <w:bookmarkEnd w:id="22"/>
    <w:p w14:paraId="72DF7594" w14:textId="77777777" w:rsidR="007B5515" w:rsidRPr="0040633A" w:rsidRDefault="007B5515" w:rsidP="004A41EF">
      <w:pPr>
        <w:numPr>
          <w:ilvl w:val="0"/>
          <w:numId w:val="7"/>
        </w:numPr>
        <w:spacing w:before="120" w:after="120"/>
        <w:ind w:left="426" w:hanging="426"/>
        <w:rPr>
          <w:rFonts w:ascii="Arial" w:eastAsiaTheme="minorHAnsi" w:hAnsi="Arial"/>
        </w:rPr>
      </w:pPr>
      <w:r w:rsidRPr="0040633A">
        <w:rPr>
          <w:rFonts w:ascii="Arial" w:eastAsiaTheme="minorHAnsi" w:hAnsi="Arial"/>
        </w:rPr>
        <w:t>clarifying certifiers’ roles and responsibilities through the introduction of a certifier practice guide</w:t>
      </w:r>
    </w:p>
    <w:p w14:paraId="01AE94E6" w14:textId="77777777" w:rsidR="007B5515" w:rsidRPr="0040633A" w:rsidRDefault="007B5515" w:rsidP="004A41EF">
      <w:pPr>
        <w:numPr>
          <w:ilvl w:val="0"/>
          <w:numId w:val="7"/>
        </w:numPr>
        <w:spacing w:before="120" w:after="120"/>
        <w:ind w:left="426" w:hanging="426"/>
        <w:rPr>
          <w:rFonts w:ascii="Arial" w:eastAsiaTheme="minorHAnsi" w:hAnsi="Arial"/>
        </w:rPr>
      </w:pPr>
      <w:r w:rsidRPr="0040633A">
        <w:rPr>
          <w:rFonts w:ascii="Arial" w:eastAsiaTheme="minorHAnsi" w:hAnsi="Arial"/>
        </w:rPr>
        <w:t>improving the independence of certifiers through revised conflict of interest provisions and attaching penalties to breaches of the code of conduct</w:t>
      </w:r>
    </w:p>
    <w:p w14:paraId="2192DED9" w14:textId="77777777" w:rsidR="007B5515" w:rsidRPr="0040633A" w:rsidRDefault="007B5515" w:rsidP="004A41EF">
      <w:pPr>
        <w:numPr>
          <w:ilvl w:val="0"/>
          <w:numId w:val="7"/>
        </w:numPr>
        <w:spacing w:before="120" w:after="120"/>
        <w:ind w:left="426" w:hanging="426"/>
        <w:rPr>
          <w:rFonts w:ascii="Arial" w:eastAsiaTheme="minorHAnsi" w:hAnsi="Arial"/>
        </w:rPr>
      </w:pPr>
      <w:r w:rsidRPr="0040633A">
        <w:rPr>
          <w:rFonts w:ascii="Arial" w:eastAsiaTheme="minorHAnsi" w:hAnsi="Arial"/>
        </w:rPr>
        <w:t>introducing powers for the Secretary to accept undertakings, issue warning notices about non</w:t>
      </w:r>
      <w:r w:rsidRPr="0040633A">
        <w:rPr>
          <w:rFonts w:ascii="Arial" w:eastAsiaTheme="minorHAnsi" w:hAnsi="Arial"/>
        </w:rPr>
        <w:noBreakHyphen/>
        <w:t>compliant certifiers, apply for injunctions to the Land and Environment Court, and issue conditions on the suspension or cancellation of a certifier’s registration, in addition to conditions on a registration which is in force and</w:t>
      </w:r>
    </w:p>
    <w:p w14:paraId="1A7BF384" w14:textId="36BBB7F1" w:rsidR="007B5515" w:rsidRPr="0040633A" w:rsidRDefault="007B5515" w:rsidP="004A41EF">
      <w:pPr>
        <w:numPr>
          <w:ilvl w:val="0"/>
          <w:numId w:val="7"/>
        </w:numPr>
        <w:spacing w:before="120" w:after="120"/>
        <w:ind w:left="426" w:hanging="426"/>
        <w:rPr>
          <w:rFonts w:ascii="Arial" w:eastAsiaTheme="minorHAnsi" w:hAnsi="Arial"/>
        </w:rPr>
      </w:pPr>
      <w:r w:rsidRPr="0040633A">
        <w:rPr>
          <w:rFonts w:ascii="Arial" w:eastAsiaTheme="minorHAnsi" w:hAnsi="Arial"/>
        </w:rPr>
        <w:t>increasing the maximum penalty for the issue of false ce</w:t>
      </w:r>
      <w:r w:rsidR="003D3F57">
        <w:rPr>
          <w:rFonts w:ascii="Arial" w:eastAsiaTheme="minorHAnsi" w:hAnsi="Arial"/>
        </w:rPr>
        <w:t>rtificates from $30,000 to $1.1 </w:t>
      </w:r>
      <w:r w:rsidRPr="0040633A">
        <w:rPr>
          <w:rFonts w:ascii="Arial" w:eastAsiaTheme="minorHAnsi" w:hAnsi="Arial"/>
        </w:rPr>
        <w:t xml:space="preserve">million and/or two years imprisonment. </w:t>
      </w:r>
    </w:p>
    <w:p w14:paraId="2039E0C7" w14:textId="77777777" w:rsidR="007B5515" w:rsidRPr="008D164F" w:rsidRDefault="007B5515" w:rsidP="004A0ED9">
      <w:pPr>
        <w:pStyle w:val="Heading4"/>
      </w:pPr>
      <w:r w:rsidRPr="008D164F">
        <w:t xml:space="preserve">Amendments to the </w:t>
      </w:r>
      <w:r w:rsidRPr="003D3F57">
        <w:t>Environmental Planning and Assessment Act 1979</w:t>
      </w:r>
      <w:r w:rsidRPr="008D164F">
        <w:t xml:space="preserve"> (the EP&amp;A Act)</w:t>
      </w:r>
    </w:p>
    <w:p w14:paraId="6770F341" w14:textId="77777777" w:rsidR="007B5515" w:rsidRPr="0040633A" w:rsidRDefault="007B5515" w:rsidP="007B5515">
      <w:pPr>
        <w:spacing w:before="120" w:after="120"/>
        <w:rPr>
          <w:rFonts w:ascii="Arial" w:eastAsiaTheme="minorHAnsi" w:hAnsi="Arial"/>
        </w:rPr>
      </w:pPr>
      <w:r w:rsidRPr="0040633A">
        <w:rPr>
          <w:rFonts w:ascii="Arial" w:eastAsiaTheme="minorHAnsi" w:hAnsi="Arial"/>
        </w:rPr>
        <w:t xml:space="preserve">On 1 October 2017, the NSW Government introduced reforms to the Environmental Planning and Assessment Regulation 2000 (EP&amp;A Regulation) to strengthen fire safety regulation and the NSW certification system. Under the EP&amp;A Regulation, an accredited ‘competent fire safety practitioner’ must be used to: </w:t>
      </w:r>
    </w:p>
    <w:p w14:paraId="7330F0F5" w14:textId="77777777" w:rsidR="007B5515" w:rsidRPr="0040633A" w:rsidRDefault="007B5515" w:rsidP="004A41EF">
      <w:pPr>
        <w:numPr>
          <w:ilvl w:val="0"/>
          <w:numId w:val="7"/>
        </w:numPr>
        <w:spacing w:before="120" w:after="120"/>
        <w:ind w:left="426" w:hanging="426"/>
        <w:rPr>
          <w:rFonts w:ascii="Arial" w:eastAsiaTheme="minorHAnsi" w:hAnsi="Arial"/>
        </w:rPr>
      </w:pPr>
      <w:r w:rsidRPr="0040633A">
        <w:rPr>
          <w:rFonts w:ascii="Arial" w:eastAsiaTheme="minorHAnsi" w:hAnsi="Arial"/>
        </w:rPr>
        <w:t>endorse plans and specifications for relevant fire safety systems</w:t>
      </w:r>
    </w:p>
    <w:p w14:paraId="3798D9DF" w14:textId="77777777" w:rsidR="007B5515" w:rsidRPr="0040633A" w:rsidRDefault="007B5515" w:rsidP="004A41EF">
      <w:pPr>
        <w:numPr>
          <w:ilvl w:val="0"/>
          <w:numId w:val="7"/>
        </w:numPr>
        <w:spacing w:before="120" w:after="120"/>
        <w:ind w:left="426" w:hanging="426"/>
        <w:rPr>
          <w:rFonts w:ascii="Arial" w:eastAsiaTheme="minorHAnsi" w:hAnsi="Arial"/>
        </w:rPr>
      </w:pPr>
      <w:r w:rsidRPr="0040633A">
        <w:rPr>
          <w:rFonts w:ascii="Arial" w:eastAsiaTheme="minorHAnsi" w:hAnsi="Arial"/>
        </w:rPr>
        <w:t>endorse fire safety performance solution reports</w:t>
      </w:r>
    </w:p>
    <w:p w14:paraId="7DEB0504" w14:textId="77777777" w:rsidR="007B5515" w:rsidRPr="0040633A" w:rsidRDefault="007B5515" w:rsidP="004A41EF">
      <w:pPr>
        <w:numPr>
          <w:ilvl w:val="0"/>
          <w:numId w:val="7"/>
        </w:numPr>
        <w:spacing w:before="120" w:after="120"/>
        <w:ind w:left="426" w:hanging="426"/>
        <w:rPr>
          <w:rFonts w:ascii="Arial" w:eastAsiaTheme="minorHAnsi" w:hAnsi="Arial"/>
        </w:rPr>
      </w:pPr>
      <w:r w:rsidRPr="0040633A">
        <w:rPr>
          <w:rFonts w:ascii="Arial" w:eastAsiaTheme="minorHAnsi" w:hAnsi="Arial"/>
        </w:rPr>
        <w:t>endorse exemptions to the Building Code of Australia (BCA) for minor works to existing relevant fire safety systems and</w:t>
      </w:r>
    </w:p>
    <w:p w14:paraId="3C2C75D2" w14:textId="77777777" w:rsidR="007B5515" w:rsidRPr="0040633A" w:rsidRDefault="007B5515" w:rsidP="004A41EF">
      <w:pPr>
        <w:numPr>
          <w:ilvl w:val="0"/>
          <w:numId w:val="7"/>
        </w:numPr>
        <w:spacing w:before="120" w:after="120"/>
        <w:ind w:left="426" w:hanging="426"/>
        <w:rPr>
          <w:rFonts w:ascii="Arial" w:eastAsiaTheme="minorHAnsi" w:hAnsi="Arial"/>
        </w:rPr>
      </w:pPr>
      <w:r w:rsidRPr="0040633A">
        <w:rPr>
          <w:rFonts w:ascii="Arial" w:eastAsiaTheme="minorHAnsi" w:hAnsi="Arial"/>
        </w:rPr>
        <w:t>assess the ongoing performance of essential fire safety measure in a building.</w:t>
      </w:r>
    </w:p>
    <w:p w14:paraId="10B0CD70" w14:textId="77777777" w:rsidR="007B5515" w:rsidRPr="0040633A" w:rsidRDefault="007B5515" w:rsidP="007B5515">
      <w:pPr>
        <w:spacing w:before="120" w:after="120"/>
        <w:ind w:left="66"/>
        <w:rPr>
          <w:rFonts w:ascii="Arial" w:eastAsiaTheme="minorHAnsi" w:hAnsi="Arial"/>
        </w:rPr>
      </w:pPr>
      <w:r w:rsidRPr="0040633A">
        <w:rPr>
          <w:rFonts w:ascii="Arial" w:eastAsiaTheme="minorHAnsi" w:hAnsi="Arial"/>
        </w:rPr>
        <w:t>New requirements were also introduced to improve the process for assessing and approving fire safety performance solutions and certain additional mandatory inspections during construction have been specified. In addition, new powers to inspect multi-unit residential buildings projects have been provided to Fire and Rescue NSW.</w:t>
      </w:r>
    </w:p>
    <w:p w14:paraId="69C5F47D" w14:textId="77777777" w:rsidR="007B5515" w:rsidRPr="0040633A" w:rsidRDefault="007B5515" w:rsidP="007B5515">
      <w:pPr>
        <w:spacing w:before="120" w:after="120"/>
        <w:ind w:left="66"/>
        <w:rPr>
          <w:rFonts w:ascii="Arial" w:eastAsiaTheme="minorHAnsi" w:hAnsi="Arial"/>
        </w:rPr>
      </w:pPr>
      <w:r w:rsidRPr="0040633A">
        <w:rPr>
          <w:rFonts w:ascii="Arial" w:eastAsiaTheme="minorHAnsi" w:hAnsi="Arial"/>
        </w:rPr>
        <w:t>Amendments to the EP&amp;A Regulation are currently being developed to operationalise the new building provisions in the EP&amp;A Act. This includes revised procedures for issuing occupation certificates and the added flexibility of issuing a compliance certificate as an authorised alternative to an occupation certificate in certain circumstances. Reforms are also proposed to improve principal certifier obligations to proactively manage non-compliances, by providing clarity around the role and functions of principal certifiers and supporting the enforcement role of councils.</w:t>
      </w:r>
    </w:p>
    <w:p w14:paraId="7B34C14B" w14:textId="77777777" w:rsidR="00744D51" w:rsidRDefault="00744D51">
      <w:pPr>
        <w:rPr>
          <w:rFonts w:ascii="Arial" w:hAnsi="Arial"/>
          <w:color w:val="00283E"/>
          <w:sz w:val="30"/>
          <w:szCs w:val="26"/>
        </w:rPr>
      </w:pPr>
      <w:r>
        <w:br w:type="page"/>
      </w:r>
    </w:p>
    <w:p w14:paraId="6A413F17" w14:textId="66A5A195" w:rsidR="007B5515" w:rsidRPr="004A07E4" w:rsidRDefault="007B5515" w:rsidP="005C7A68">
      <w:pPr>
        <w:pStyle w:val="Heading3"/>
      </w:pPr>
      <w:r w:rsidRPr="004A07E4">
        <w:lastRenderedPageBreak/>
        <w:t>Planned reforms</w:t>
      </w:r>
    </w:p>
    <w:p w14:paraId="641E53D5" w14:textId="77777777" w:rsidR="007B5515" w:rsidRPr="008D164F" w:rsidRDefault="007B5515" w:rsidP="00744D51">
      <w:pPr>
        <w:pStyle w:val="Heading4"/>
      </w:pPr>
      <w:r w:rsidRPr="008D164F">
        <w:t xml:space="preserve">The NSW Government response to the </w:t>
      </w:r>
      <w:r w:rsidRPr="003D3F57">
        <w:rPr>
          <w:i/>
        </w:rPr>
        <w:t>Building Confidence</w:t>
      </w:r>
      <w:r w:rsidRPr="008D164F">
        <w:t xml:space="preserve"> report</w:t>
      </w:r>
    </w:p>
    <w:p w14:paraId="7A830398" w14:textId="77777777" w:rsidR="007B5515" w:rsidRPr="0040633A" w:rsidRDefault="007B5515" w:rsidP="007B5515">
      <w:pPr>
        <w:spacing w:before="120" w:after="120"/>
        <w:rPr>
          <w:rFonts w:ascii="Arial" w:eastAsiaTheme="minorHAnsi" w:hAnsi="Arial"/>
        </w:rPr>
      </w:pPr>
      <w:r w:rsidRPr="0040633A">
        <w:rPr>
          <w:rFonts w:ascii="Arial" w:eastAsiaTheme="minorHAnsi" w:hAnsi="Arial"/>
        </w:rPr>
        <w:t xml:space="preserve">The NSW Government response to the report supports the majority of the report’s recommendations and outlines the following specific reforms to require that: </w:t>
      </w:r>
    </w:p>
    <w:p w14:paraId="0F2DC9AB" w14:textId="77777777" w:rsidR="007B5515" w:rsidRPr="0040633A" w:rsidRDefault="007B5515" w:rsidP="004A41EF">
      <w:pPr>
        <w:numPr>
          <w:ilvl w:val="0"/>
          <w:numId w:val="7"/>
        </w:numPr>
        <w:spacing w:before="120" w:after="120"/>
        <w:ind w:left="426" w:hanging="426"/>
        <w:rPr>
          <w:rFonts w:ascii="Arial" w:eastAsiaTheme="minorHAnsi" w:hAnsi="Arial"/>
        </w:rPr>
      </w:pPr>
      <w:r w:rsidRPr="0040633A">
        <w:rPr>
          <w:rFonts w:ascii="Arial" w:eastAsiaTheme="minorHAnsi" w:hAnsi="Arial"/>
        </w:rPr>
        <w:t>building designers, architects, engineers and other building practitioners who provide final designs and/or specifications of elements of buildings to declare that the building plans specify a building which will comply with building regulations, including the BCA</w:t>
      </w:r>
    </w:p>
    <w:p w14:paraId="6A9E6AE1" w14:textId="77777777" w:rsidR="007B5515" w:rsidRPr="0040633A" w:rsidRDefault="007B5515" w:rsidP="004A41EF">
      <w:pPr>
        <w:numPr>
          <w:ilvl w:val="0"/>
          <w:numId w:val="7"/>
        </w:numPr>
        <w:spacing w:before="120" w:after="120"/>
        <w:ind w:left="426" w:hanging="426"/>
        <w:rPr>
          <w:rFonts w:ascii="Arial" w:eastAsiaTheme="minorHAnsi" w:hAnsi="Arial"/>
        </w:rPr>
      </w:pPr>
      <w:r w:rsidRPr="0040633A">
        <w:rPr>
          <w:rFonts w:ascii="Arial" w:eastAsiaTheme="minorHAnsi" w:hAnsi="Arial"/>
        </w:rPr>
        <w:t>builders declare that buildings are constructed in accordance with the building plans and</w:t>
      </w:r>
    </w:p>
    <w:p w14:paraId="5A7717B2" w14:textId="77777777" w:rsidR="007B5515" w:rsidRPr="0040633A" w:rsidRDefault="007B5515" w:rsidP="004A41EF">
      <w:pPr>
        <w:numPr>
          <w:ilvl w:val="0"/>
          <w:numId w:val="7"/>
        </w:numPr>
        <w:spacing w:before="120" w:after="120"/>
        <w:ind w:left="426" w:hanging="426"/>
        <w:rPr>
          <w:rFonts w:ascii="Arial" w:eastAsiaTheme="minorHAnsi" w:hAnsi="Arial"/>
        </w:rPr>
      </w:pPr>
      <w:r w:rsidRPr="0040633A">
        <w:rPr>
          <w:rFonts w:ascii="Arial" w:eastAsiaTheme="minorHAnsi" w:hAnsi="Arial"/>
        </w:rPr>
        <w:t xml:space="preserve">only authorised practitioners who are registered can declare: plans, how any performance solutions comply with the BCA, and that a final building complies with its plans. </w:t>
      </w:r>
    </w:p>
    <w:p w14:paraId="25D4FF54" w14:textId="77777777" w:rsidR="007B5515" w:rsidRPr="0040633A" w:rsidRDefault="007B5515" w:rsidP="007B5515">
      <w:pPr>
        <w:spacing w:before="120" w:after="120"/>
        <w:rPr>
          <w:rFonts w:ascii="Arial" w:eastAsiaTheme="minorHAnsi" w:hAnsi="Arial"/>
        </w:rPr>
      </w:pPr>
      <w:r w:rsidRPr="0040633A">
        <w:rPr>
          <w:rFonts w:ascii="Arial" w:eastAsiaTheme="minorHAnsi" w:hAnsi="Arial"/>
        </w:rPr>
        <w:t xml:space="preserve">The NSW Government will appoint a Building Commissioner to act as the consolidated building regulator in NSW who will investigate and take disciplinary action against practitioners who engage in improper conduct. </w:t>
      </w:r>
    </w:p>
    <w:p w14:paraId="7753F00F" w14:textId="77777777" w:rsidR="007B5515" w:rsidRPr="0040633A" w:rsidRDefault="007B5515" w:rsidP="007B5515">
      <w:pPr>
        <w:spacing w:before="120" w:after="120"/>
        <w:rPr>
          <w:rFonts w:ascii="Arial" w:eastAsiaTheme="minorHAnsi" w:hAnsi="Arial"/>
        </w:rPr>
      </w:pPr>
      <w:r w:rsidRPr="0040633A">
        <w:rPr>
          <w:rFonts w:ascii="Arial" w:eastAsiaTheme="minorHAnsi" w:hAnsi="Arial"/>
        </w:rPr>
        <w:t xml:space="preserve">The NSW Government will also clarify the law to ensure that building practitioners owe a common law duty of care to owners’ corporations and subsequent residential homeowners, as well as unsophisticated development clients, to ensure that they have the right to compensation where a building practitioner has been negligent. </w:t>
      </w:r>
    </w:p>
    <w:p w14:paraId="6A2D78A4" w14:textId="77777777" w:rsidR="007B5515" w:rsidRPr="004A07E4" w:rsidRDefault="007B5515" w:rsidP="005C7A68">
      <w:pPr>
        <w:pStyle w:val="Heading3"/>
      </w:pPr>
      <w:r w:rsidRPr="004A07E4">
        <w:t>Timeframes</w:t>
      </w:r>
    </w:p>
    <w:tbl>
      <w:tblPr>
        <w:tblW w:w="10126"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834"/>
        <w:gridCol w:w="1990"/>
        <w:gridCol w:w="2302"/>
      </w:tblGrid>
      <w:tr w:rsidR="007B5515" w:rsidRPr="00756E4F" w14:paraId="266FAB44" w14:textId="77777777" w:rsidTr="000E2B6D">
        <w:trPr>
          <w:cantSplit/>
          <w:trHeight w:hRule="exact" w:val="620"/>
          <w:tblHeader/>
        </w:trPr>
        <w:tc>
          <w:tcPr>
            <w:tcW w:w="5834" w:type="dxa"/>
            <w:shd w:val="clear" w:color="auto" w:fill="005677"/>
            <w:vAlign w:val="center"/>
          </w:tcPr>
          <w:p w14:paraId="6D7A1BE5" w14:textId="77777777" w:rsidR="007B5515" w:rsidRPr="000E2B6D" w:rsidRDefault="007B5515" w:rsidP="000E2B6D">
            <w:pPr>
              <w:pStyle w:val="NoSpacing"/>
              <w:jc w:val="center"/>
              <w:rPr>
                <w:rFonts w:ascii="Arial" w:eastAsiaTheme="minorHAnsi" w:hAnsi="Arial" w:cs="Arial"/>
                <w:b/>
                <w:color w:val="FFFFFF" w:themeColor="background1"/>
                <w:sz w:val="20"/>
                <w:szCs w:val="20"/>
              </w:rPr>
            </w:pPr>
            <w:bookmarkStart w:id="23" w:name="_Hlk1380229"/>
            <w:r w:rsidRPr="000E2B6D">
              <w:rPr>
                <w:rFonts w:ascii="Arial" w:eastAsiaTheme="minorHAnsi" w:hAnsi="Arial" w:cs="Arial"/>
                <w:b/>
                <w:color w:val="FFFFFF" w:themeColor="background1"/>
                <w:sz w:val="20"/>
                <w:szCs w:val="20"/>
              </w:rPr>
              <w:t>Reform</w:t>
            </w:r>
          </w:p>
        </w:tc>
        <w:tc>
          <w:tcPr>
            <w:tcW w:w="1990" w:type="dxa"/>
            <w:shd w:val="clear" w:color="auto" w:fill="005677"/>
            <w:vAlign w:val="center"/>
          </w:tcPr>
          <w:p w14:paraId="008D04C0" w14:textId="77777777" w:rsidR="007B5515" w:rsidRPr="000E2B6D" w:rsidRDefault="007B5515" w:rsidP="000E2B6D">
            <w:pPr>
              <w:pStyle w:val="NoSpacing"/>
              <w:jc w:val="center"/>
              <w:rPr>
                <w:rFonts w:ascii="Arial" w:eastAsiaTheme="minorHAnsi" w:hAnsi="Arial" w:cs="Arial"/>
                <w:b/>
                <w:color w:val="FFFFFF" w:themeColor="background1"/>
                <w:sz w:val="20"/>
                <w:szCs w:val="20"/>
              </w:rPr>
            </w:pPr>
            <w:r w:rsidRPr="000E2B6D">
              <w:rPr>
                <w:rFonts w:ascii="Arial" w:eastAsiaTheme="minorHAnsi" w:hAnsi="Arial" w:cs="Arial"/>
                <w:b/>
                <w:color w:val="FFFFFF" w:themeColor="background1"/>
                <w:sz w:val="20"/>
                <w:szCs w:val="20"/>
              </w:rPr>
              <w:t>Associated recommendation</w:t>
            </w:r>
          </w:p>
        </w:tc>
        <w:tc>
          <w:tcPr>
            <w:tcW w:w="2302" w:type="dxa"/>
            <w:shd w:val="clear" w:color="auto" w:fill="005677"/>
            <w:vAlign w:val="center"/>
          </w:tcPr>
          <w:p w14:paraId="3CFBE43C" w14:textId="77777777" w:rsidR="007B5515" w:rsidRPr="000E2B6D" w:rsidRDefault="007B5515" w:rsidP="000E2B6D">
            <w:pPr>
              <w:pStyle w:val="NoSpacing"/>
              <w:jc w:val="center"/>
              <w:rPr>
                <w:rFonts w:ascii="Arial" w:eastAsiaTheme="minorHAnsi" w:hAnsi="Arial" w:cs="Arial"/>
                <w:b/>
                <w:color w:val="FFFFFF" w:themeColor="background1"/>
                <w:sz w:val="20"/>
                <w:szCs w:val="20"/>
              </w:rPr>
            </w:pPr>
            <w:r w:rsidRPr="000E2B6D">
              <w:rPr>
                <w:rFonts w:ascii="Arial" w:eastAsiaTheme="minorHAnsi" w:hAnsi="Arial" w:cs="Arial"/>
                <w:b/>
                <w:color w:val="FFFFFF" w:themeColor="background1"/>
                <w:sz w:val="20"/>
                <w:szCs w:val="20"/>
              </w:rPr>
              <w:t>Timeframe</w:t>
            </w:r>
          </w:p>
        </w:tc>
      </w:tr>
      <w:tr w:rsidR="007B5515" w:rsidRPr="00756E4F" w14:paraId="54E5BDF3" w14:textId="77777777" w:rsidTr="003D3F57">
        <w:trPr>
          <w:cantSplit/>
          <w:trHeight w:hRule="exact" w:val="624"/>
        </w:trPr>
        <w:tc>
          <w:tcPr>
            <w:tcW w:w="5834" w:type="dxa"/>
            <w:shd w:val="clear" w:color="auto" w:fill="F2F2F2" w:themeFill="background1" w:themeFillShade="F2"/>
            <w:vAlign w:val="center"/>
          </w:tcPr>
          <w:p w14:paraId="250A0A00" w14:textId="60F0F5FB" w:rsidR="007B5515" w:rsidRPr="004A07E4" w:rsidRDefault="007B5515" w:rsidP="008D164F">
            <w:pPr>
              <w:spacing w:before="60" w:after="60" w:line="240" w:lineRule="auto"/>
              <w:rPr>
                <w:rFonts w:ascii="Arial" w:eastAsiaTheme="minorHAnsi" w:hAnsi="Arial"/>
                <w:sz w:val="20"/>
              </w:rPr>
            </w:pPr>
            <w:r w:rsidRPr="004A07E4">
              <w:rPr>
                <w:rFonts w:ascii="Arial" w:eastAsiaTheme="minorHAnsi" w:hAnsi="Arial"/>
                <w:sz w:val="20"/>
              </w:rPr>
              <w:t>The NSW Government response to the report</w:t>
            </w:r>
          </w:p>
        </w:tc>
        <w:tc>
          <w:tcPr>
            <w:tcW w:w="1990" w:type="dxa"/>
            <w:shd w:val="clear" w:color="auto" w:fill="auto"/>
            <w:vAlign w:val="center"/>
          </w:tcPr>
          <w:p w14:paraId="0D2E619E" w14:textId="77777777" w:rsidR="007B5515" w:rsidRPr="004A07E4" w:rsidRDefault="007B5515" w:rsidP="008D164F">
            <w:pPr>
              <w:spacing w:before="60" w:after="60" w:line="240" w:lineRule="auto"/>
              <w:jc w:val="center"/>
              <w:rPr>
                <w:rFonts w:ascii="Arial" w:eastAsiaTheme="minorHAnsi" w:hAnsi="Arial"/>
                <w:sz w:val="20"/>
              </w:rPr>
            </w:pPr>
            <w:r w:rsidRPr="004A07E4">
              <w:rPr>
                <w:rFonts w:ascii="Arial" w:eastAsiaTheme="minorHAnsi" w:hAnsi="Arial"/>
                <w:sz w:val="20"/>
              </w:rPr>
              <w:t>1, 2, 3, 6, 7, 12, 13, 14, 15, 16</w:t>
            </w:r>
          </w:p>
        </w:tc>
        <w:tc>
          <w:tcPr>
            <w:tcW w:w="2302" w:type="dxa"/>
            <w:shd w:val="clear" w:color="auto" w:fill="auto"/>
            <w:vAlign w:val="center"/>
          </w:tcPr>
          <w:p w14:paraId="4763A60B" w14:textId="77777777" w:rsidR="007B5515" w:rsidRPr="004A07E4" w:rsidRDefault="007B5515" w:rsidP="008D164F">
            <w:pPr>
              <w:spacing w:before="60" w:after="60" w:line="240" w:lineRule="auto"/>
              <w:jc w:val="center"/>
              <w:rPr>
                <w:rFonts w:ascii="Arial" w:eastAsiaTheme="minorHAnsi" w:hAnsi="Arial"/>
                <w:sz w:val="20"/>
              </w:rPr>
            </w:pPr>
            <w:r w:rsidRPr="004A07E4">
              <w:rPr>
                <w:rFonts w:ascii="Arial" w:eastAsiaTheme="minorHAnsi" w:hAnsi="Arial"/>
                <w:sz w:val="20"/>
              </w:rPr>
              <w:t>Medium to long-term</w:t>
            </w:r>
          </w:p>
        </w:tc>
      </w:tr>
      <w:tr w:rsidR="007B5515" w:rsidRPr="00756E4F" w14:paraId="1E501A2F" w14:textId="77777777" w:rsidTr="003D3F57">
        <w:trPr>
          <w:cantSplit/>
          <w:trHeight w:hRule="exact" w:val="655"/>
        </w:trPr>
        <w:tc>
          <w:tcPr>
            <w:tcW w:w="5834" w:type="dxa"/>
            <w:shd w:val="clear" w:color="auto" w:fill="F2F2F2" w:themeFill="background1" w:themeFillShade="F2"/>
            <w:vAlign w:val="center"/>
          </w:tcPr>
          <w:p w14:paraId="0CB4F7D6" w14:textId="1719825E" w:rsidR="007B5515" w:rsidRPr="004A07E4" w:rsidRDefault="007B5515" w:rsidP="008D164F">
            <w:pPr>
              <w:spacing w:before="60" w:after="60" w:line="240" w:lineRule="auto"/>
              <w:rPr>
                <w:rFonts w:ascii="Arial" w:eastAsiaTheme="minorHAnsi" w:hAnsi="Arial"/>
                <w:sz w:val="20"/>
              </w:rPr>
            </w:pPr>
            <w:r w:rsidRPr="004A07E4">
              <w:rPr>
                <w:rFonts w:ascii="Arial" w:eastAsiaTheme="minorHAnsi" w:hAnsi="Arial"/>
                <w:sz w:val="20"/>
              </w:rPr>
              <w:t>Four-point plan to improve the certification industry</w:t>
            </w:r>
          </w:p>
        </w:tc>
        <w:tc>
          <w:tcPr>
            <w:tcW w:w="1990" w:type="dxa"/>
            <w:shd w:val="clear" w:color="auto" w:fill="auto"/>
            <w:vAlign w:val="center"/>
          </w:tcPr>
          <w:p w14:paraId="15947714" w14:textId="77777777" w:rsidR="007B5515" w:rsidRPr="004A07E4" w:rsidRDefault="007B5515" w:rsidP="008D164F">
            <w:pPr>
              <w:spacing w:before="60" w:after="60" w:line="240" w:lineRule="auto"/>
              <w:jc w:val="center"/>
              <w:rPr>
                <w:rFonts w:ascii="Arial" w:eastAsiaTheme="minorHAnsi" w:hAnsi="Arial"/>
                <w:sz w:val="20"/>
              </w:rPr>
            </w:pPr>
            <w:r w:rsidRPr="004A07E4">
              <w:rPr>
                <w:rFonts w:ascii="Arial" w:eastAsiaTheme="minorHAnsi" w:hAnsi="Arial"/>
                <w:sz w:val="20"/>
              </w:rPr>
              <w:t>6, 7, 9, 10, 11</w:t>
            </w:r>
          </w:p>
        </w:tc>
        <w:tc>
          <w:tcPr>
            <w:tcW w:w="2302" w:type="dxa"/>
            <w:shd w:val="clear" w:color="auto" w:fill="auto"/>
            <w:vAlign w:val="center"/>
          </w:tcPr>
          <w:p w14:paraId="7BA905CA" w14:textId="77777777" w:rsidR="007B5515" w:rsidRPr="004A07E4" w:rsidRDefault="007B5515" w:rsidP="008D164F">
            <w:pPr>
              <w:spacing w:before="60" w:after="60" w:line="240" w:lineRule="auto"/>
              <w:jc w:val="center"/>
              <w:rPr>
                <w:rFonts w:ascii="Arial" w:eastAsiaTheme="minorHAnsi" w:hAnsi="Arial"/>
                <w:sz w:val="20"/>
              </w:rPr>
            </w:pPr>
            <w:r w:rsidRPr="004A07E4">
              <w:rPr>
                <w:rFonts w:ascii="Arial" w:eastAsiaTheme="minorHAnsi" w:hAnsi="Arial"/>
                <w:sz w:val="20"/>
              </w:rPr>
              <w:t>Medium</w:t>
            </w:r>
          </w:p>
        </w:tc>
      </w:tr>
      <w:tr w:rsidR="007B5515" w:rsidRPr="00756E4F" w14:paraId="0801E214" w14:textId="77777777" w:rsidTr="003D3F57">
        <w:trPr>
          <w:cantSplit/>
          <w:trHeight w:hRule="exact" w:val="834"/>
        </w:trPr>
        <w:tc>
          <w:tcPr>
            <w:tcW w:w="5834" w:type="dxa"/>
            <w:shd w:val="clear" w:color="auto" w:fill="F2F2F2" w:themeFill="background1" w:themeFillShade="F2"/>
            <w:vAlign w:val="center"/>
          </w:tcPr>
          <w:p w14:paraId="02094409" w14:textId="77777777" w:rsidR="007B5515" w:rsidRPr="004A07E4" w:rsidRDefault="007B5515" w:rsidP="008D164F">
            <w:pPr>
              <w:spacing w:before="60" w:after="60" w:line="240" w:lineRule="auto"/>
              <w:rPr>
                <w:rFonts w:ascii="Arial" w:eastAsiaTheme="minorHAnsi" w:hAnsi="Arial"/>
                <w:sz w:val="20"/>
              </w:rPr>
            </w:pPr>
            <w:r w:rsidRPr="004A07E4">
              <w:rPr>
                <w:rFonts w:ascii="Arial" w:eastAsiaTheme="minorHAnsi" w:hAnsi="Arial"/>
                <w:sz w:val="20"/>
              </w:rPr>
              <w:t>Development of a new legislative framework for certifiers through the BDC Act and supporting regulations</w:t>
            </w:r>
          </w:p>
        </w:tc>
        <w:tc>
          <w:tcPr>
            <w:tcW w:w="1990" w:type="dxa"/>
            <w:shd w:val="clear" w:color="auto" w:fill="auto"/>
            <w:vAlign w:val="center"/>
          </w:tcPr>
          <w:p w14:paraId="3883C145" w14:textId="77777777" w:rsidR="007B5515" w:rsidRPr="004A07E4" w:rsidRDefault="007B5515" w:rsidP="008D164F">
            <w:pPr>
              <w:spacing w:before="60" w:after="60" w:line="240" w:lineRule="auto"/>
              <w:jc w:val="center"/>
              <w:rPr>
                <w:rFonts w:ascii="Arial" w:eastAsiaTheme="minorHAnsi" w:hAnsi="Arial"/>
                <w:sz w:val="20"/>
              </w:rPr>
            </w:pPr>
            <w:r w:rsidRPr="004A07E4">
              <w:rPr>
                <w:rFonts w:ascii="Arial" w:eastAsiaTheme="minorHAnsi" w:hAnsi="Arial"/>
                <w:sz w:val="20"/>
              </w:rPr>
              <w:t>1, 2, 6, 9, 10, 11</w:t>
            </w:r>
          </w:p>
        </w:tc>
        <w:tc>
          <w:tcPr>
            <w:tcW w:w="2302" w:type="dxa"/>
            <w:shd w:val="clear" w:color="auto" w:fill="auto"/>
            <w:vAlign w:val="center"/>
          </w:tcPr>
          <w:p w14:paraId="319A5028" w14:textId="77777777" w:rsidR="007B5515" w:rsidRPr="004A07E4" w:rsidRDefault="007B5515" w:rsidP="008D164F">
            <w:pPr>
              <w:spacing w:before="60" w:after="60" w:line="240" w:lineRule="auto"/>
              <w:jc w:val="center"/>
              <w:rPr>
                <w:rFonts w:ascii="Arial" w:eastAsiaTheme="minorHAnsi" w:hAnsi="Arial"/>
                <w:sz w:val="20"/>
              </w:rPr>
            </w:pPr>
            <w:r w:rsidRPr="004A07E4">
              <w:rPr>
                <w:rFonts w:ascii="Arial" w:eastAsiaTheme="minorHAnsi" w:hAnsi="Arial"/>
                <w:sz w:val="20"/>
              </w:rPr>
              <w:t>Medium</w:t>
            </w:r>
          </w:p>
        </w:tc>
      </w:tr>
      <w:tr w:rsidR="007B5515" w:rsidRPr="00756E4F" w14:paraId="7BC9E4CF" w14:textId="77777777" w:rsidTr="003D3F57">
        <w:trPr>
          <w:cantSplit/>
          <w:trHeight w:hRule="exact" w:val="1134"/>
        </w:trPr>
        <w:tc>
          <w:tcPr>
            <w:tcW w:w="5834" w:type="dxa"/>
            <w:shd w:val="clear" w:color="auto" w:fill="F2F2F2" w:themeFill="background1" w:themeFillShade="F2"/>
            <w:vAlign w:val="center"/>
          </w:tcPr>
          <w:p w14:paraId="4B4AE10C" w14:textId="77777777" w:rsidR="007B5515" w:rsidRPr="004A07E4" w:rsidRDefault="007B5515" w:rsidP="008D164F">
            <w:pPr>
              <w:spacing w:before="60" w:after="60" w:line="240" w:lineRule="auto"/>
              <w:rPr>
                <w:rFonts w:ascii="Arial" w:eastAsiaTheme="minorHAnsi" w:hAnsi="Arial"/>
                <w:sz w:val="20"/>
              </w:rPr>
            </w:pPr>
            <w:r w:rsidRPr="004A07E4">
              <w:rPr>
                <w:rFonts w:ascii="Arial" w:eastAsiaTheme="minorHAnsi" w:hAnsi="Arial"/>
                <w:sz w:val="20"/>
              </w:rPr>
              <w:t>Amendments to the EP&amp;A Act</w:t>
            </w:r>
          </w:p>
        </w:tc>
        <w:tc>
          <w:tcPr>
            <w:tcW w:w="1990" w:type="dxa"/>
            <w:shd w:val="clear" w:color="auto" w:fill="auto"/>
            <w:vAlign w:val="center"/>
          </w:tcPr>
          <w:p w14:paraId="12A863A7" w14:textId="77777777" w:rsidR="007B5515" w:rsidRPr="004A07E4" w:rsidRDefault="007B5515" w:rsidP="008D164F">
            <w:pPr>
              <w:spacing w:before="60" w:after="60" w:line="240" w:lineRule="auto"/>
              <w:jc w:val="center"/>
              <w:rPr>
                <w:rFonts w:ascii="Arial" w:eastAsiaTheme="minorHAnsi" w:hAnsi="Arial"/>
                <w:sz w:val="20"/>
              </w:rPr>
            </w:pPr>
            <w:r w:rsidRPr="004A07E4">
              <w:rPr>
                <w:rFonts w:ascii="Arial" w:eastAsiaTheme="minorHAnsi" w:hAnsi="Arial"/>
                <w:sz w:val="20"/>
              </w:rPr>
              <w:t>1, 5, 8, 11, 12, 14, 17, 19, 20</w:t>
            </w:r>
          </w:p>
        </w:tc>
        <w:tc>
          <w:tcPr>
            <w:tcW w:w="2302" w:type="dxa"/>
            <w:shd w:val="clear" w:color="auto" w:fill="auto"/>
            <w:vAlign w:val="center"/>
          </w:tcPr>
          <w:p w14:paraId="6103AC6C" w14:textId="5D245388" w:rsidR="007B5515" w:rsidRPr="004A07E4" w:rsidRDefault="007B5515" w:rsidP="008D164F">
            <w:pPr>
              <w:spacing w:before="60" w:after="60" w:line="240" w:lineRule="auto"/>
              <w:jc w:val="center"/>
              <w:rPr>
                <w:rFonts w:ascii="Arial" w:eastAsiaTheme="minorHAnsi" w:hAnsi="Arial"/>
                <w:sz w:val="20"/>
              </w:rPr>
            </w:pPr>
            <w:r w:rsidRPr="004A07E4">
              <w:rPr>
                <w:rFonts w:ascii="Arial" w:eastAsiaTheme="minorHAnsi" w:hAnsi="Arial"/>
                <w:sz w:val="20"/>
              </w:rPr>
              <w:t xml:space="preserve">Competent fire safety practitioner </w:t>
            </w:r>
            <w:r w:rsidR="008D164F">
              <w:rPr>
                <w:rFonts w:ascii="Arial" w:eastAsiaTheme="minorHAnsi" w:hAnsi="Arial"/>
                <w:sz w:val="20"/>
              </w:rPr>
              <w:t>reforms: nil (</w:t>
            </w:r>
            <w:r w:rsidRPr="004A07E4">
              <w:rPr>
                <w:rFonts w:ascii="Arial" w:eastAsiaTheme="minorHAnsi" w:hAnsi="Arial"/>
                <w:sz w:val="20"/>
              </w:rPr>
              <w:t>implemented</w:t>
            </w:r>
            <w:r w:rsidR="008D164F">
              <w:rPr>
                <w:rFonts w:ascii="Arial" w:eastAsiaTheme="minorHAnsi" w:hAnsi="Arial"/>
                <w:sz w:val="20"/>
              </w:rPr>
              <w:t>)</w:t>
            </w:r>
          </w:p>
          <w:p w14:paraId="64FA9242" w14:textId="77777777" w:rsidR="007B5515" w:rsidRPr="004A07E4" w:rsidRDefault="007B5515" w:rsidP="008D164F">
            <w:pPr>
              <w:spacing w:before="60" w:after="60" w:line="240" w:lineRule="auto"/>
              <w:jc w:val="center"/>
              <w:rPr>
                <w:rFonts w:ascii="Arial" w:eastAsiaTheme="minorHAnsi" w:hAnsi="Arial"/>
                <w:sz w:val="20"/>
              </w:rPr>
            </w:pPr>
            <w:r w:rsidRPr="004A07E4">
              <w:rPr>
                <w:rFonts w:ascii="Arial" w:eastAsiaTheme="minorHAnsi" w:hAnsi="Arial"/>
                <w:sz w:val="20"/>
              </w:rPr>
              <w:t>Remainder: medium</w:t>
            </w:r>
          </w:p>
        </w:tc>
      </w:tr>
      <w:tr w:rsidR="007B5515" w:rsidRPr="00756E4F" w14:paraId="4D818505" w14:textId="77777777" w:rsidTr="003D3F57">
        <w:trPr>
          <w:cantSplit/>
          <w:trHeight w:hRule="exact" w:val="578"/>
        </w:trPr>
        <w:tc>
          <w:tcPr>
            <w:tcW w:w="5834" w:type="dxa"/>
            <w:shd w:val="clear" w:color="auto" w:fill="F2F2F2" w:themeFill="background1" w:themeFillShade="F2"/>
            <w:vAlign w:val="center"/>
          </w:tcPr>
          <w:p w14:paraId="0B5BDC8D" w14:textId="77777777" w:rsidR="007B5515" w:rsidRPr="004A07E4" w:rsidRDefault="007B5515" w:rsidP="008D164F">
            <w:pPr>
              <w:spacing w:before="60" w:after="60" w:line="240" w:lineRule="auto"/>
              <w:rPr>
                <w:rFonts w:ascii="Arial" w:eastAsiaTheme="minorHAnsi" w:hAnsi="Arial"/>
                <w:sz w:val="20"/>
              </w:rPr>
            </w:pPr>
            <w:r w:rsidRPr="004A07E4">
              <w:rPr>
                <w:rFonts w:ascii="Arial" w:eastAsiaTheme="minorHAnsi" w:hAnsi="Arial"/>
                <w:sz w:val="20"/>
              </w:rPr>
              <w:t>Introduction of the BPS Act</w:t>
            </w:r>
          </w:p>
        </w:tc>
        <w:tc>
          <w:tcPr>
            <w:tcW w:w="1990" w:type="dxa"/>
            <w:shd w:val="clear" w:color="auto" w:fill="auto"/>
            <w:vAlign w:val="center"/>
          </w:tcPr>
          <w:p w14:paraId="5E28D0BB" w14:textId="77777777" w:rsidR="007B5515" w:rsidRPr="004A07E4" w:rsidRDefault="007B5515" w:rsidP="008D164F">
            <w:pPr>
              <w:spacing w:before="60" w:after="60" w:line="240" w:lineRule="auto"/>
              <w:jc w:val="center"/>
              <w:rPr>
                <w:rFonts w:ascii="Arial" w:eastAsiaTheme="minorHAnsi" w:hAnsi="Arial"/>
                <w:sz w:val="20"/>
              </w:rPr>
            </w:pPr>
            <w:r w:rsidRPr="004A07E4">
              <w:rPr>
                <w:rFonts w:ascii="Arial" w:eastAsiaTheme="minorHAnsi" w:hAnsi="Arial"/>
                <w:sz w:val="20"/>
              </w:rPr>
              <w:t>5, 6</w:t>
            </w:r>
          </w:p>
        </w:tc>
        <w:tc>
          <w:tcPr>
            <w:tcW w:w="2302" w:type="dxa"/>
            <w:shd w:val="clear" w:color="auto" w:fill="auto"/>
            <w:vAlign w:val="center"/>
          </w:tcPr>
          <w:p w14:paraId="5EDC8906" w14:textId="77777777" w:rsidR="007B5515" w:rsidRPr="004A07E4" w:rsidRDefault="007B5515" w:rsidP="008D164F">
            <w:pPr>
              <w:spacing w:before="60" w:after="60" w:line="240" w:lineRule="auto"/>
              <w:jc w:val="center"/>
              <w:rPr>
                <w:rFonts w:ascii="Arial" w:eastAsiaTheme="minorHAnsi" w:hAnsi="Arial"/>
                <w:sz w:val="20"/>
              </w:rPr>
            </w:pPr>
            <w:r w:rsidRPr="004A07E4">
              <w:rPr>
                <w:rFonts w:ascii="Arial" w:eastAsiaTheme="minorHAnsi" w:hAnsi="Arial"/>
                <w:sz w:val="20"/>
              </w:rPr>
              <w:t>Nil – implemented</w:t>
            </w:r>
          </w:p>
        </w:tc>
      </w:tr>
    </w:tbl>
    <w:bookmarkEnd w:id="23"/>
    <w:p w14:paraId="7CD8E27C" w14:textId="77777777" w:rsidR="007B5515" w:rsidRPr="004A07E4" w:rsidRDefault="007B5515" w:rsidP="005C7A68">
      <w:pPr>
        <w:pStyle w:val="Heading3"/>
      </w:pPr>
      <w:r w:rsidRPr="004A07E4">
        <w:t>Next steps</w:t>
      </w:r>
    </w:p>
    <w:p w14:paraId="2775AECD" w14:textId="77777777" w:rsidR="007B5515" w:rsidRPr="0040633A" w:rsidRDefault="007B5515" w:rsidP="0040633A">
      <w:pPr>
        <w:spacing w:before="240" w:after="240" w:line="300" w:lineRule="auto"/>
        <w:rPr>
          <w:rFonts w:ascii="Arial" w:eastAsiaTheme="minorHAnsi" w:hAnsi="Arial"/>
        </w:rPr>
      </w:pPr>
      <w:r w:rsidRPr="0040633A">
        <w:rPr>
          <w:rFonts w:ascii="Arial" w:eastAsiaTheme="minorHAnsi" w:hAnsi="Arial"/>
        </w:rPr>
        <w:t xml:space="preserve">The NSW Government will develop the above reforms in conjunction with stakeholder consultation to ensure that these reforms are developed and implemented effectively. Ongoing work will be required to ensure that the reforms can be implemented in the proposed timeframes. </w:t>
      </w:r>
    </w:p>
    <w:p w14:paraId="0BDDD655" w14:textId="77777777" w:rsidR="00744D51" w:rsidRDefault="00744D51">
      <w:pPr>
        <w:rPr>
          <w:rFonts w:ascii="Arial" w:hAnsi="Arial"/>
          <w:color w:val="00283E"/>
          <w:sz w:val="44"/>
          <w:szCs w:val="26"/>
        </w:rPr>
      </w:pPr>
      <w:r>
        <w:br w:type="page"/>
      </w:r>
    </w:p>
    <w:p w14:paraId="1EB9CAA7" w14:textId="367399BE" w:rsidR="007B5515" w:rsidRPr="000E1ADB" w:rsidRDefault="007B5515" w:rsidP="00744D51">
      <w:pPr>
        <w:pStyle w:val="Heading2"/>
        <w:rPr>
          <w:b/>
        </w:rPr>
      </w:pPr>
      <w:bookmarkStart w:id="24" w:name="_Toc3991427"/>
      <w:r w:rsidRPr="000E1ADB">
        <w:lastRenderedPageBreak/>
        <w:t>Victoria</w:t>
      </w:r>
      <w:bookmarkEnd w:id="24"/>
    </w:p>
    <w:p w14:paraId="58A03086" w14:textId="77777777" w:rsidR="007B5515" w:rsidRPr="004A07E4" w:rsidRDefault="007B5515" w:rsidP="005C7A68">
      <w:pPr>
        <w:pStyle w:val="Heading3"/>
      </w:pPr>
      <w:r w:rsidRPr="004A07E4">
        <w:t>Overview</w:t>
      </w:r>
    </w:p>
    <w:p w14:paraId="147265F1" w14:textId="77777777" w:rsidR="007B5515" w:rsidRPr="00C42A6D" w:rsidRDefault="007B5515" w:rsidP="007B5515">
      <w:pPr>
        <w:rPr>
          <w:rFonts w:ascii="Arial" w:eastAsiaTheme="minorHAnsi" w:hAnsi="Arial"/>
        </w:rPr>
      </w:pPr>
      <w:r w:rsidRPr="00C42A6D">
        <w:rPr>
          <w:rFonts w:ascii="Arial" w:eastAsiaTheme="minorHAnsi" w:hAnsi="Arial"/>
        </w:rPr>
        <w:t>The Victorian Government is committed to ensuring Victorians can live in houses, townhouses and apartments that are liveable, safe and compliant. The safety of building occupants is the top priority, which is why Victoria has put considerable focus on the cladding audit and rectification program and establishing a robust regime of proactive inspections of building projects.</w:t>
      </w:r>
    </w:p>
    <w:p w14:paraId="03BD7930" w14:textId="77777777" w:rsidR="007B5515" w:rsidRPr="00C42A6D" w:rsidRDefault="007B5515" w:rsidP="007B5515">
      <w:pPr>
        <w:rPr>
          <w:rFonts w:ascii="Arial" w:eastAsiaTheme="minorHAnsi" w:hAnsi="Arial"/>
        </w:rPr>
      </w:pPr>
      <w:r w:rsidRPr="00C42A6D">
        <w:rPr>
          <w:rFonts w:ascii="Arial" w:eastAsiaTheme="minorHAnsi" w:hAnsi="Arial"/>
        </w:rPr>
        <w:t xml:space="preserve">The state’s principal building regulator, the Victorian Building Authority (VBA), has directed significant resources into increasing its proactive inspection regime so that it will inspect at least 10 per cent of building work each and every year going forward. </w:t>
      </w:r>
    </w:p>
    <w:p w14:paraId="16DEE77A" w14:textId="77777777" w:rsidR="007B5515" w:rsidRPr="00C42A6D" w:rsidRDefault="007B5515" w:rsidP="007B5515">
      <w:pPr>
        <w:rPr>
          <w:rFonts w:ascii="Arial" w:eastAsiaTheme="minorHAnsi" w:hAnsi="Arial"/>
        </w:rPr>
      </w:pPr>
      <w:r w:rsidRPr="00C42A6D">
        <w:rPr>
          <w:rFonts w:ascii="Arial" w:eastAsiaTheme="minorHAnsi" w:hAnsi="Arial"/>
        </w:rPr>
        <w:t xml:space="preserve">The </w:t>
      </w:r>
      <w:r w:rsidRPr="003D3F57">
        <w:rPr>
          <w:rFonts w:ascii="Arial" w:eastAsiaTheme="minorHAnsi" w:hAnsi="Arial"/>
          <w:i/>
        </w:rPr>
        <w:t>Building Confidence</w:t>
      </w:r>
      <w:r w:rsidRPr="00C42A6D">
        <w:rPr>
          <w:rFonts w:ascii="Arial" w:eastAsiaTheme="minorHAnsi" w:hAnsi="Arial"/>
        </w:rPr>
        <w:t xml:space="preserve"> report compliments the findings of the </w:t>
      </w:r>
      <w:r w:rsidRPr="003D3F57">
        <w:rPr>
          <w:rFonts w:ascii="Arial" w:eastAsiaTheme="minorHAnsi" w:hAnsi="Arial"/>
          <w:i/>
        </w:rPr>
        <w:t>Victorian Cladding Taskforce Interim Report</w:t>
      </w:r>
      <w:r w:rsidRPr="00C42A6D">
        <w:rPr>
          <w:rFonts w:ascii="Arial" w:eastAsiaTheme="minorHAnsi" w:hAnsi="Arial"/>
        </w:rPr>
        <w:t>. The recommendations from these reports continue to be a focus for continuing reform. Victoria agrees that more work is to be done to fully respond to the issues affecting the building industry as articulated in these reports to meet community expectations.</w:t>
      </w:r>
    </w:p>
    <w:p w14:paraId="00630047" w14:textId="77777777" w:rsidR="007B5515" w:rsidRPr="00C42A6D" w:rsidRDefault="007B5515" w:rsidP="007B5515">
      <w:pPr>
        <w:rPr>
          <w:rFonts w:ascii="Arial" w:eastAsiaTheme="minorHAnsi" w:hAnsi="Arial"/>
        </w:rPr>
      </w:pPr>
      <w:r w:rsidRPr="00C42A6D">
        <w:rPr>
          <w:rFonts w:ascii="Arial" w:eastAsiaTheme="minorHAnsi" w:hAnsi="Arial"/>
        </w:rPr>
        <w:t>The Victorian Government will continue to work closely with other jurisdictions to promote best practice across all Australian states and territories.</w:t>
      </w:r>
    </w:p>
    <w:p w14:paraId="710E45CF" w14:textId="77777777" w:rsidR="007B5515" w:rsidRPr="004A07E4" w:rsidRDefault="007B5515" w:rsidP="005C7A68">
      <w:pPr>
        <w:pStyle w:val="Heading3"/>
      </w:pPr>
      <w:r w:rsidRPr="004A07E4">
        <w:t>Reforms underway</w:t>
      </w:r>
    </w:p>
    <w:p w14:paraId="4B9901DF" w14:textId="77777777" w:rsidR="007B5515" w:rsidRPr="00C42A6D" w:rsidRDefault="007B5515" w:rsidP="007B5515">
      <w:pPr>
        <w:rPr>
          <w:rFonts w:ascii="Arial" w:eastAsiaTheme="minorHAnsi" w:hAnsi="Arial"/>
        </w:rPr>
      </w:pPr>
      <w:r w:rsidRPr="00C42A6D">
        <w:rPr>
          <w:rFonts w:ascii="Arial" w:eastAsiaTheme="minorHAnsi" w:hAnsi="Arial"/>
        </w:rPr>
        <w:t xml:space="preserve">The Government has been implementing a program of reform since 2015 aimed at improving industry performance and consumer protections. </w:t>
      </w:r>
    </w:p>
    <w:p w14:paraId="47E9B0FC" w14:textId="77777777" w:rsidR="007B5515" w:rsidRPr="008D164F" w:rsidRDefault="007B5515" w:rsidP="00744D51">
      <w:pPr>
        <w:pStyle w:val="Heading4"/>
      </w:pPr>
      <w:r w:rsidRPr="008D164F">
        <w:t>Actions to address the non-compliant use of cladding in Victoria</w:t>
      </w:r>
    </w:p>
    <w:p w14:paraId="6B379FBE" w14:textId="77777777" w:rsidR="007B5515" w:rsidRPr="00C42A6D" w:rsidRDefault="007B5515" w:rsidP="007B5515">
      <w:pPr>
        <w:rPr>
          <w:rFonts w:ascii="Arial" w:eastAsiaTheme="minorHAnsi" w:hAnsi="Arial"/>
        </w:rPr>
      </w:pPr>
      <w:r w:rsidRPr="00C42A6D">
        <w:rPr>
          <w:rFonts w:ascii="Arial" w:eastAsiaTheme="minorHAnsi" w:hAnsi="Arial"/>
        </w:rPr>
        <w:t>The Victorian Cladding Taskforce was established by the Victorian Government to assess the extent of non-compliant cladding use on Victorian buildings, advise on the rectification of buildings which are identified to have non-compliant cladding and recommend changes to the regulatory system.</w:t>
      </w:r>
    </w:p>
    <w:p w14:paraId="4FF820F4" w14:textId="77777777" w:rsidR="007B5515" w:rsidRDefault="007B5515" w:rsidP="007B5515">
      <w:pPr>
        <w:rPr>
          <w:rFonts w:ascii="Arial" w:eastAsiaTheme="minorHAnsi" w:hAnsi="Arial"/>
        </w:rPr>
      </w:pPr>
      <w:r w:rsidRPr="00C42A6D">
        <w:rPr>
          <w:rFonts w:ascii="Arial" w:eastAsiaTheme="minorHAnsi" w:hAnsi="Arial"/>
        </w:rPr>
        <w:t xml:space="preserve">On the advice from the Victorian Cladding Taskforce, the Minister for Planning introduced </w:t>
      </w:r>
      <w:r w:rsidRPr="003D3F57">
        <w:rPr>
          <w:rFonts w:ascii="Arial" w:eastAsiaTheme="minorHAnsi" w:hAnsi="Arial"/>
          <w:i/>
        </w:rPr>
        <w:t>Minister’s Guideline MG-14: Issue of building permits where building work involves the use of certain cladding products</w:t>
      </w:r>
      <w:r w:rsidRPr="00C42A6D">
        <w:rPr>
          <w:rFonts w:ascii="Arial" w:eastAsiaTheme="minorHAnsi" w:hAnsi="Arial"/>
        </w:rPr>
        <w:t xml:space="preserve"> (MG-14). This provides that a building surveyor should not issue a building permit for proposed building work which includes the installation of certain high-risk products unless the Building Appeals Board has determined that the proposed application complies. The </w:t>
      </w:r>
      <w:r w:rsidRPr="003D3F57">
        <w:rPr>
          <w:rFonts w:ascii="Arial" w:eastAsiaTheme="minorHAnsi" w:hAnsi="Arial"/>
          <w:i/>
        </w:rPr>
        <w:t>Building Amendment (Registration of Building Trades and Other Matters) Act 2018</w:t>
      </w:r>
      <w:r w:rsidRPr="00C42A6D">
        <w:rPr>
          <w:rFonts w:ascii="Arial" w:eastAsiaTheme="minorHAnsi" w:hAnsi="Arial"/>
        </w:rPr>
        <w:t xml:space="preserve"> provided the Minister the power to ban high-risk cladding products. However, it is considered that a national approach to this issue will be more effective and easier for industry to comply with.</w:t>
      </w:r>
    </w:p>
    <w:p w14:paraId="6B4A8B95" w14:textId="4B9698E4" w:rsidR="00704A52" w:rsidRPr="00C42A6D" w:rsidRDefault="00704A52" w:rsidP="007B5515">
      <w:pPr>
        <w:rPr>
          <w:rFonts w:ascii="Arial" w:eastAsiaTheme="minorHAnsi" w:hAnsi="Arial"/>
        </w:rPr>
      </w:pPr>
      <w:r w:rsidRPr="00135DB7">
        <w:rPr>
          <w:rFonts w:ascii="Arial" w:eastAsiaTheme="minorHAnsi" w:hAnsi="Arial"/>
        </w:rPr>
        <w:t>The Victorian Government has also been advocating at a national level for more action on issues related to cladding. As part of this, and following the BMF in February 2019, the Victorian Minister for Planning advocated for more action on issues related to cladding at a national level. Victoria is leading efforts to deliver a national ban on the misuse of combustible cladding products to provide greater certainty. In the interim, Victoria is considering whether MG-14 needs strengthening to respond to emerging product and product certification issues.</w:t>
      </w:r>
    </w:p>
    <w:p w14:paraId="295CF815" w14:textId="77777777" w:rsidR="007B5515" w:rsidRPr="00C42A6D" w:rsidRDefault="007B5515" w:rsidP="002E65AB">
      <w:pPr>
        <w:pStyle w:val="Heading4"/>
        <w:keepNext/>
      </w:pPr>
      <w:r w:rsidRPr="00C42A6D">
        <w:lastRenderedPageBreak/>
        <w:t>Enhanced enforcement and compliance activities</w:t>
      </w:r>
    </w:p>
    <w:p w14:paraId="6EA618F7" w14:textId="77777777" w:rsidR="007B5515" w:rsidRPr="00C42A6D" w:rsidRDefault="007B5515" w:rsidP="002E65AB">
      <w:pPr>
        <w:keepNext/>
        <w:keepLines/>
        <w:rPr>
          <w:rFonts w:ascii="Arial" w:eastAsiaTheme="minorHAnsi" w:hAnsi="Arial"/>
        </w:rPr>
      </w:pPr>
      <w:r w:rsidRPr="00C42A6D">
        <w:rPr>
          <w:rFonts w:ascii="Arial" w:eastAsiaTheme="minorHAnsi" w:hAnsi="Arial"/>
        </w:rPr>
        <w:t xml:space="preserve">The VBA, with support from local government, the Metropolitan Fire Authority, the Country Fire Authority and building owners or owners’ corporations, prioritised an urgent audit of 1,369 planning permits in response to recommendations made by the co-chairs of the Victorian Cladding Taskforce in their November 2017 interim report. </w:t>
      </w:r>
    </w:p>
    <w:p w14:paraId="7518A5AD" w14:textId="77777777" w:rsidR="007B5515" w:rsidRPr="00C42A6D" w:rsidRDefault="007B5515" w:rsidP="007B5515">
      <w:pPr>
        <w:rPr>
          <w:rFonts w:ascii="Arial" w:eastAsiaTheme="minorHAnsi" w:hAnsi="Arial"/>
        </w:rPr>
      </w:pPr>
      <w:r w:rsidRPr="00C42A6D">
        <w:rPr>
          <w:rFonts w:ascii="Arial" w:eastAsiaTheme="minorHAnsi" w:hAnsi="Arial"/>
        </w:rPr>
        <w:t>The VBA has communicated directly with more than 25,000 building practitioners on multiple occasions, to increase awareness of building regulations, to provide advice about the operation of MG-14 and mobilise a specialist team to manage the audit process.</w:t>
      </w:r>
    </w:p>
    <w:p w14:paraId="4D98D80E" w14:textId="77777777" w:rsidR="007B5515" w:rsidRPr="00C42A6D" w:rsidRDefault="007B5515" w:rsidP="00744D51">
      <w:pPr>
        <w:pStyle w:val="Heading4"/>
      </w:pPr>
      <w:r w:rsidRPr="003D3F57">
        <w:t>Building Amendment (Enforcement and Other Measures) Act 2017</w:t>
      </w:r>
      <w:r w:rsidRPr="00C42A6D">
        <w:t xml:space="preserve"> (the 2017 Act)</w:t>
      </w:r>
    </w:p>
    <w:p w14:paraId="7BA574D0" w14:textId="77777777" w:rsidR="007B5515" w:rsidRPr="00C42A6D" w:rsidRDefault="007B5515" w:rsidP="007B5515">
      <w:pPr>
        <w:rPr>
          <w:rFonts w:ascii="Arial" w:eastAsiaTheme="minorHAnsi" w:hAnsi="Arial"/>
        </w:rPr>
      </w:pPr>
      <w:r w:rsidRPr="00C42A6D">
        <w:rPr>
          <w:rFonts w:ascii="Arial" w:eastAsiaTheme="minorHAnsi" w:hAnsi="Arial"/>
        </w:rPr>
        <w:t xml:space="preserve">The 2017 Act amended the </w:t>
      </w:r>
      <w:r w:rsidRPr="00C42A6D">
        <w:rPr>
          <w:rFonts w:ascii="Arial" w:eastAsiaTheme="minorHAnsi" w:hAnsi="Arial"/>
          <w:i/>
        </w:rPr>
        <w:t xml:space="preserve">Building Act 1993 </w:t>
      </w:r>
      <w:r w:rsidRPr="00C42A6D">
        <w:rPr>
          <w:rFonts w:ascii="Arial" w:eastAsiaTheme="minorHAnsi" w:hAnsi="Arial"/>
        </w:rPr>
        <w:t>to:</w:t>
      </w:r>
    </w:p>
    <w:p w14:paraId="157F46B4" w14:textId="77777777" w:rsidR="007B5515" w:rsidRPr="00C42A6D" w:rsidRDefault="007B5515" w:rsidP="002E65AB">
      <w:pPr>
        <w:numPr>
          <w:ilvl w:val="0"/>
          <w:numId w:val="7"/>
        </w:numPr>
        <w:spacing w:before="120" w:after="120"/>
        <w:ind w:left="426" w:hanging="426"/>
        <w:rPr>
          <w:rFonts w:ascii="Arial" w:eastAsiaTheme="minorHAnsi" w:hAnsi="Arial"/>
        </w:rPr>
      </w:pPr>
      <w:r w:rsidRPr="00C42A6D">
        <w:rPr>
          <w:rFonts w:ascii="Arial" w:eastAsiaTheme="minorHAnsi" w:hAnsi="Arial"/>
        </w:rPr>
        <w:t>make reforms to the entry and information-gathering powers of the VBA and municipal councils to facilitate proactive monitoring of compliance and ensure that the entry and information-gathering powers effectively support industry regulation and public safety objectives</w:t>
      </w:r>
    </w:p>
    <w:p w14:paraId="4EC813AC" w14:textId="77777777" w:rsidR="007B5515" w:rsidRPr="00C42A6D" w:rsidRDefault="007B5515" w:rsidP="002E65AB">
      <w:pPr>
        <w:numPr>
          <w:ilvl w:val="0"/>
          <w:numId w:val="7"/>
        </w:numPr>
        <w:spacing w:before="120" w:after="120"/>
        <w:ind w:left="426" w:hanging="426"/>
        <w:rPr>
          <w:rFonts w:ascii="Arial" w:eastAsiaTheme="minorHAnsi" w:hAnsi="Arial"/>
        </w:rPr>
      </w:pPr>
      <w:r w:rsidRPr="00C42A6D">
        <w:rPr>
          <w:rFonts w:ascii="Arial" w:eastAsiaTheme="minorHAnsi" w:hAnsi="Arial"/>
        </w:rPr>
        <w:t>significantly increase penalties for carrying out building work in a manner which does not accord with the building permit or for carrying out work without a permit</w:t>
      </w:r>
    </w:p>
    <w:p w14:paraId="6CA794BC" w14:textId="77777777" w:rsidR="007B5515" w:rsidRPr="00C42A6D" w:rsidRDefault="007B5515" w:rsidP="002E65AB">
      <w:pPr>
        <w:numPr>
          <w:ilvl w:val="0"/>
          <w:numId w:val="7"/>
        </w:numPr>
        <w:spacing w:before="120" w:after="120"/>
        <w:ind w:left="426" w:hanging="426"/>
        <w:rPr>
          <w:rFonts w:ascii="Arial" w:eastAsiaTheme="minorHAnsi" w:hAnsi="Arial"/>
        </w:rPr>
      </w:pPr>
      <w:r w:rsidRPr="00C42A6D">
        <w:rPr>
          <w:rFonts w:ascii="Arial" w:eastAsiaTheme="minorHAnsi" w:hAnsi="Arial"/>
        </w:rPr>
        <w:t>improve the accessibility of building practitioner registration and discipline history to ensure that consumers are better informed</w:t>
      </w:r>
    </w:p>
    <w:p w14:paraId="7401D5AC" w14:textId="77777777" w:rsidR="007B5515" w:rsidRPr="00C42A6D" w:rsidRDefault="007B5515" w:rsidP="002E65AB">
      <w:pPr>
        <w:numPr>
          <w:ilvl w:val="0"/>
          <w:numId w:val="7"/>
        </w:numPr>
        <w:spacing w:before="120" w:after="120"/>
        <w:ind w:left="426" w:hanging="426"/>
        <w:rPr>
          <w:rFonts w:ascii="Arial" w:eastAsiaTheme="minorHAnsi" w:hAnsi="Arial"/>
        </w:rPr>
      </w:pPr>
      <w:r w:rsidRPr="00C42A6D">
        <w:rPr>
          <w:rFonts w:ascii="Arial" w:eastAsiaTheme="minorHAnsi" w:hAnsi="Arial"/>
        </w:rPr>
        <w:t>increase the rigour around the inspection of building work.</w:t>
      </w:r>
    </w:p>
    <w:p w14:paraId="056F1E8D" w14:textId="77777777" w:rsidR="007B5515" w:rsidRPr="00C42A6D" w:rsidRDefault="007B5515" w:rsidP="00744D51">
      <w:pPr>
        <w:pStyle w:val="Heading4"/>
      </w:pPr>
      <w:r w:rsidRPr="00C42A6D">
        <w:t>The Victorian Building Regulations 2018</w:t>
      </w:r>
    </w:p>
    <w:p w14:paraId="12F3AC77" w14:textId="77777777" w:rsidR="007B5515" w:rsidRPr="00C42A6D" w:rsidRDefault="007B5515" w:rsidP="007B5515">
      <w:pPr>
        <w:rPr>
          <w:rFonts w:ascii="Arial" w:eastAsiaTheme="minorHAnsi" w:hAnsi="Arial"/>
        </w:rPr>
      </w:pPr>
      <w:r w:rsidRPr="00C42A6D">
        <w:rPr>
          <w:rFonts w:ascii="Arial" w:eastAsiaTheme="minorHAnsi" w:hAnsi="Arial"/>
        </w:rPr>
        <w:t xml:space="preserve">The Building Regulations 2018 came into operation on 2 June 2018. The Building Regulations form an essential part of the overall building control system, underpinning many of the obligations and expectations set in the </w:t>
      </w:r>
      <w:r w:rsidRPr="003D3F57">
        <w:rPr>
          <w:rFonts w:ascii="Arial" w:eastAsiaTheme="minorHAnsi" w:hAnsi="Arial"/>
          <w:i/>
        </w:rPr>
        <w:t>Building Act 1993</w:t>
      </w:r>
      <w:r w:rsidRPr="00C42A6D">
        <w:rPr>
          <w:rFonts w:ascii="Arial" w:eastAsiaTheme="minorHAnsi" w:hAnsi="Arial"/>
        </w:rPr>
        <w:t xml:space="preserve">. </w:t>
      </w:r>
    </w:p>
    <w:p w14:paraId="292C0F46" w14:textId="77777777" w:rsidR="007B5515" w:rsidRPr="00C42A6D" w:rsidRDefault="007B5515" w:rsidP="007B5515">
      <w:pPr>
        <w:rPr>
          <w:rFonts w:ascii="Arial" w:eastAsiaTheme="minorHAnsi" w:hAnsi="Arial"/>
        </w:rPr>
      </w:pPr>
      <w:r w:rsidRPr="00C42A6D">
        <w:rPr>
          <w:rFonts w:ascii="Arial" w:eastAsiaTheme="minorHAnsi" w:hAnsi="Arial"/>
        </w:rPr>
        <w:t>These regulations replaced the previous building regulations and followed an extensive evaluation, review and industry and stakeholder consultation process. They include a significant number of improvements, the most significant of those are:</w:t>
      </w:r>
    </w:p>
    <w:p w14:paraId="1A52B332" w14:textId="4A5A4382" w:rsidR="007B5515" w:rsidRPr="00C42A6D" w:rsidRDefault="007B5515" w:rsidP="004A41EF">
      <w:pPr>
        <w:numPr>
          <w:ilvl w:val="0"/>
          <w:numId w:val="7"/>
        </w:numPr>
        <w:spacing w:before="120" w:after="120"/>
        <w:ind w:left="426" w:hanging="426"/>
        <w:rPr>
          <w:rFonts w:ascii="Arial" w:eastAsiaTheme="minorHAnsi" w:hAnsi="Arial"/>
        </w:rPr>
      </w:pPr>
      <w:r w:rsidRPr="00C42A6D">
        <w:rPr>
          <w:rFonts w:ascii="Arial" w:eastAsiaTheme="minorHAnsi" w:hAnsi="Arial"/>
        </w:rPr>
        <w:t xml:space="preserve">establishing clear requirements relating to the assessment of performance solutions by a building surveyor, which require the building surveyor to detail the performance requirements which the performance solution is designed to achieve and </w:t>
      </w:r>
      <w:r w:rsidR="003D3F57">
        <w:rPr>
          <w:rFonts w:ascii="Arial" w:eastAsiaTheme="minorHAnsi" w:hAnsi="Arial"/>
        </w:rPr>
        <w:t>detail the method of assessment</w:t>
      </w:r>
      <w:r w:rsidRPr="00C42A6D">
        <w:rPr>
          <w:rFonts w:ascii="Arial" w:eastAsiaTheme="minorHAnsi" w:hAnsi="Arial"/>
        </w:rPr>
        <w:t xml:space="preserve"> </w:t>
      </w:r>
    </w:p>
    <w:p w14:paraId="71B13291" w14:textId="77777777" w:rsidR="007B5515" w:rsidRPr="00BC1667" w:rsidRDefault="007B5515" w:rsidP="004A41EF">
      <w:pPr>
        <w:numPr>
          <w:ilvl w:val="0"/>
          <w:numId w:val="7"/>
        </w:numPr>
        <w:spacing w:before="120" w:after="120"/>
        <w:ind w:left="426" w:hanging="426"/>
      </w:pPr>
      <w:r w:rsidRPr="00C42A6D">
        <w:rPr>
          <w:rFonts w:ascii="Arial" w:eastAsiaTheme="minorHAnsi" w:hAnsi="Arial"/>
        </w:rPr>
        <w:t>changes to mandatory building inspections, which include requiring inspection of fire and smoke resisting building elements with the aim of improving compliance through the construction phase</w:t>
      </w:r>
      <w:r>
        <w:t>.</w:t>
      </w:r>
    </w:p>
    <w:p w14:paraId="35EDE7BA" w14:textId="77777777" w:rsidR="007B5515" w:rsidRPr="00C42A6D" w:rsidRDefault="007B5515" w:rsidP="00744D51">
      <w:pPr>
        <w:pStyle w:val="Heading4"/>
      </w:pPr>
      <w:r w:rsidRPr="003D3F57">
        <w:t>Building Amendment (Registration of Building Trades and Other Matters) Act 2018</w:t>
      </w:r>
      <w:r w:rsidRPr="00C42A6D">
        <w:t xml:space="preserve"> (the 2018 Act)</w:t>
      </w:r>
    </w:p>
    <w:p w14:paraId="02DF9893" w14:textId="77777777" w:rsidR="007B5515" w:rsidRPr="00C42A6D" w:rsidRDefault="007B5515" w:rsidP="007B5515">
      <w:pPr>
        <w:rPr>
          <w:rFonts w:ascii="Arial" w:eastAsiaTheme="minorHAnsi" w:hAnsi="Arial"/>
        </w:rPr>
      </w:pPr>
      <w:r w:rsidRPr="00C42A6D">
        <w:rPr>
          <w:rFonts w:ascii="Arial" w:eastAsiaTheme="minorHAnsi" w:hAnsi="Arial"/>
        </w:rPr>
        <w:t xml:space="preserve">The 2018 Act amended the </w:t>
      </w:r>
      <w:r w:rsidRPr="003D3F57">
        <w:rPr>
          <w:rFonts w:ascii="Arial" w:eastAsiaTheme="minorHAnsi" w:hAnsi="Arial"/>
          <w:i/>
        </w:rPr>
        <w:t>Building Act 1993</w:t>
      </w:r>
      <w:r w:rsidRPr="00C42A6D">
        <w:rPr>
          <w:rFonts w:ascii="Arial" w:eastAsiaTheme="minorHAnsi" w:hAnsi="Arial"/>
        </w:rPr>
        <w:t xml:space="preserve"> to:</w:t>
      </w:r>
    </w:p>
    <w:p w14:paraId="56ECF640" w14:textId="77777777" w:rsidR="007B5515" w:rsidRPr="00C42A6D" w:rsidRDefault="007B5515" w:rsidP="004A41EF">
      <w:pPr>
        <w:numPr>
          <w:ilvl w:val="0"/>
          <w:numId w:val="7"/>
        </w:numPr>
        <w:spacing w:before="120" w:after="120"/>
        <w:ind w:left="426" w:hanging="426"/>
        <w:rPr>
          <w:rFonts w:ascii="Arial" w:eastAsiaTheme="minorHAnsi" w:hAnsi="Arial"/>
        </w:rPr>
      </w:pPr>
      <w:r w:rsidRPr="00C42A6D">
        <w:rPr>
          <w:rFonts w:ascii="Arial" w:eastAsiaTheme="minorHAnsi" w:hAnsi="Arial"/>
        </w:rPr>
        <w:t>establish a framework for the registration of trades and sub-contractors to prescribe types of building work that can only be carried out by people who hold the requisite skills and experience. The objective of this scheme is to facilitate greater accountability for the work being carried out and ensure that appropriate disciplinary actions can be taken for non-compliance. Regulations necessary to support the operation of this change are being developed.</w:t>
      </w:r>
    </w:p>
    <w:p w14:paraId="5BAFCD97" w14:textId="77777777" w:rsidR="007B5515" w:rsidRPr="00C42A6D" w:rsidRDefault="007B5515" w:rsidP="004A41EF">
      <w:pPr>
        <w:numPr>
          <w:ilvl w:val="0"/>
          <w:numId w:val="7"/>
        </w:numPr>
        <w:spacing w:before="120" w:after="120"/>
        <w:ind w:left="426" w:hanging="426"/>
        <w:rPr>
          <w:rFonts w:ascii="Arial" w:eastAsiaTheme="minorHAnsi" w:hAnsi="Arial"/>
        </w:rPr>
      </w:pPr>
      <w:r w:rsidRPr="00C42A6D">
        <w:rPr>
          <w:rFonts w:ascii="Arial" w:eastAsiaTheme="minorHAnsi" w:hAnsi="Arial"/>
        </w:rPr>
        <w:lastRenderedPageBreak/>
        <w:t>provide for the Minister to specify classes of buildings for which the VBA can act as a municipally building authority, in particular to manage cladding rectification</w:t>
      </w:r>
    </w:p>
    <w:p w14:paraId="026F109F" w14:textId="77777777" w:rsidR="007B5515" w:rsidRPr="00C42A6D" w:rsidRDefault="007B5515" w:rsidP="004A41EF">
      <w:pPr>
        <w:numPr>
          <w:ilvl w:val="0"/>
          <w:numId w:val="7"/>
        </w:numPr>
        <w:spacing w:before="120" w:after="120"/>
        <w:ind w:left="426" w:hanging="426"/>
        <w:rPr>
          <w:rFonts w:ascii="Arial" w:eastAsiaTheme="minorHAnsi" w:hAnsi="Arial"/>
        </w:rPr>
      </w:pPr>
      <w:r w:rsidRPr="00C42A6D">
        <w:rPr>
          <w:rFonts w:ascii="Arial" w:eastAsiaTheme="minorHAnsi" w:hAnsi="Arial"/>
        </w:rPr>
        <w:t>enhance the VBA’s enforcement powers, including enabling destructive testing where necessary to assess compliance.</w:t>
      </w:r>
    </w:p>
    <w:p w14:paraId="79DD536A" w14:textId="77777777" w:rsidR="007B5515" w:rsidRPr="00C42A6D" w:rsidRDefault="007B5515" w:rsidP="007B5515">
      <w:pPr>
        <w:rPr>
          <w:rFonts w:ascii="Arial" w:eastAsiaTheme="minorHAnsi" w:hAnsi="Arial"/>
        </w:rPr>
      </w:pPr>
      <w:r w:rsidRPr="00C42A6D">
        <w:rPr>
          <w:rFonts w:ascii="Arial" w:eastAsiaTheme="minorHAnsi" w:hAnsi="Arial"/>
        </w:rPr>
        <w:t>The 2018 Act also provides the framework for Cladding Rectification Agreements, a three-way voluntary agreement between an owner or owners’ corporation, lender and municipal council to fund cladding rectification works.</w:t>
      </w:r>
    </w:p>
    <w:p w14:paraId="3AD5F76E" w14:textId="77777777" w:rsidR="007B5515" w:rsidRPr="004A07E4" w:rsidRDefault="007B5515" w:rsidP="005C7A68">
      <w:pPr>
        <w:pStyle w:val="Heading3"/>
      </w:pPr>
      <w:r w:rsidRPr="004A07E4">
        <w:t>Planned reforms and timeframes</w:t>
      </w:r>
    </w:p>
    <w:p w14:paraId="3D821359" w14:textId="77777777" w:rsidR="007B5515" w:rsidRPr="00C42A6D" w:rsidRDefault="007B5515" w:rsidP="007B5515">
      <w:pPr>
        <w:keepNext/>
        <w:jc w:val="both"/>
        <w:rPr>
          <w:rFonts w:ascii="Arial" w:eastAsiaTheme="minorHAnsi" w:hAnsi="Arial"/>
        </w:rPr>
      </w:pPr>
      <w:r w:rsidRPr="00C42A6D">
        <w:rPr>
          <w:rFonts w:ascii="Arial" w:eastAsiaTheme="minorHAnsi" w:hAnsi="Arial"/>
        </w:rPr>
        <w:t>In 2019–20, the Victorian Government will continue to tackle reform areas which are essential to public health and safety. Priority areas include responding to concerns with gas heaters and carbon monoxide poisoning and ensuring appropriate fencing of swimming pools and spas.</w:t>
      </w:r>
    </w:p>
    <w:p w14:paraId="422D15BF" w14:textId="77777777" w:rsidR="007B5515" w:rsidRPr="00C42A6D" w:rsidRDefault="007B5515" w:rsidP="007B5515">
      <w:pPr>
        <w:jc w:val="both"/>
        <w:rPr>
          <w:rFonts w:ascii="Arial" w:eastAsiaTheme="minorHAnsi" w:hAnsi="Arial"/>
        </w:rPr>
      </w:pPr>
      <w:r w:rsidRPr="00C42A6D">
        <w:rPr>
          <w:rFonts w:ascii="Arial" w:eastAsiaTheme="minorHAnsi" w:hAnsi="Arial"/>
        </w:rPr>
        <w:t>Victoria will initiate work to implement a scheme for continuing professional development for registered building practitioners, licensed building employees and licensed and registered plumbers.</w:t>
      </w:r>
    </w:p>
    <w:p w14:paraId="56A8271D" w14:textId="77777777" w:rsidR="007B5515" w:rsidRDefault="007B5515" w:rsidP="007B5515">
      <w:r w:rsidRPr="00C42A6D">
        <w:rPr>
          <w:rFonts w:ascii="Arial" w:eastAsiaTheme="minorHAnsi" w:hAnsi="Arial"/>
        </w:rPr>
        <w:t>Victoria is also considering ways to provide greater protection for consumers who purchase properties which have defects, including by looking at options to tackle phoenixing activity by developers</w:t>
      </w:r>
      <w:r>
        <w:t>.</w:t>
      </w:r>
    </w:p>
    <w:p w14:paraId="0BF15E80" w14:textId="77777777" w:rsidR="007B5515" w:rsidRPr="004A07E4" w:rsidRDefault="007B5515" w:rsidP="005C7A68">
      <w:pPr>
        <w:pStyle w:val="Heading3"/>
      </w:pPr>
      <w:r w:rsidRPr="004A07E4">
        <w:t>Next steps</w:t>
      </w:r>
    </w:p>
    <w:p w14:paraId="45C31B9B" w14:textId="77777777" w:rsidR="007B5515" w:rsidRPr="00C42A6D" w:rsidRDefault="007B5515" w:rsidP="007B5515">
      <w:pPr>
        <w:jc w:val="both"/>
        <w:rPr>
          <w:rFonts w:ascii="Arial" w:eastAsiaTheme="minorHAnsi" w:hAnsi="Arial"/>
        </w:rPr>
      </w:pPr>
      <w:r w:rsidRPr="00C42A6D">
        <w:rPr>
          <w:rFonts w:ascii="Arial" w:eastAsiaTheme="minorHAnsi" w:hAnsi="Arial"/>
        </w:rPr>
        <w:t xml:space="preserve">In addition, to the </w:t>
      </w:r>
      <w:r w:rsidRPr="00C42A6D">
        <w:rPr>
          <w:rFonts w:ascii="Arial" w:eastAsiaTheme="minorHAnsi" w:hAnsi="Arial"/>
          <w:i/>
        </w:rPr>
        <w:t>Building Confidence</w:t>
      </w:r>
      <w:r w:rsidRPr="00C42A6D">
        <w:rPr>
          <w:rFonts w:ascii="Arial" w:eastAsiaTheme="minorHAnsi" w:hAnsi="Arial"/>
        </w:rPr>
        <w:t xml:space="preserve"> report, the Victoria Government has been considering the findings of the </w:t>
      </w:r>
      <w:r w:rsidRPr="00C42A6D">
        <w:rPr>
          <w:rFonts w:ascii="Arial" w:eastAsiaTheme="minorHAnsi" w:hAnsi="Arial"/>
          <w:i/>
        </w:rPr>
        <w:t>Victorian Cladding Taskforce Interim Report</w:t>
      </w:r>
      <w:r w:rsidRPr="00C42A6D">
        <w:rPr>
          <w:rFonts w:ascii="Arial" w:eastAsiaTheme="minorHAnsi" w:hAnsi="Arial"/>
        </w:rPr>
        <w:t xml:space="preserve">. Findings from both reports were consistent, in particular finding that there are broad cultural and regulatory issues in the building sector, with systemic failures across: </w:t>
      </w:r>
    </w:p>
    <w:p w14:paraId="6906F19B" w14:textId="77777777" w:rsidR="007B5515" w:rsidRPr="00C42A6D" w:rsidRDefault="007B5515" w:rsidP="004A41EF">
      <w:pPr>
        <w:numPr>
          <w:ilvl w:val="0"/>
          <w:numId w:val="7"/>
        </w:numPr>
        <w:spacing w:before="120" w:after="120"/>
        <w:ind w:left="426" w:hanging="426"/>
        <w:rPr>
          <w:rFonts w:ascii="Arial" w:eastAsiaTheme="minorHAnsi" w:hAnsi="Arial"/>
        </w:rPr>
      </w:pPr>
      <w:r w:rsidRPr="00C42A6D">
        <w:rPr>
          <w:rFonts w:ascii="Arial" w:eastAsiaTheme="minorHAnsi" w:hAnsi="Arial"/>
        </w:rPr>
        <w:t>the product supply chain from manufacturing, marketing, import, supply, sale and purchase</w:t>
      </w:r>
    </w:p>
    <w:p w14:paraId="4A6FC184" w14:textId="77777777" w:rsidR="007B5515" w:rsidRPr="00C42A6D" w:rsidRDefault="007B5515" w:rsidP="004A41EF">
      <w:pPr>
        <w:numPr>
          <w:ilvl w:val="0"/>
          <w:numId w:val="7"/>
        </w:numPr>
        <w:spacing w:before="120" w:after="120"/>
        <w:ind w:left="426" w:hanging="426"/>
        <w:rPr>
          <w:rFonts w:ascii="Arial" w:eastAsiaTheme="minorHAnsi" w:hAnsi="Arial"/>
        </w:rPr>
      </w:pPr>
      <w:r w:rsidRPr="00C42A6D">
        <w:rPr>
          <w:rFonts w:ascii="Arial" w:eastAsiaTheme="minorHAnsi" w:hAnsi="Arial"/>
        </w:rPr>
        <w:t>the building and construction process from design, specification, procurement, installation, building and construction and maintenance</w:t>
      </w:r>
    </w:p>
    <w:p w14:paraId="3C5FC89C" w14:textId="77777777" w:rsidR="007B5515" w:rsidRPr="00C42A6D" w:rsidRDefault="007B5515" w:rsidP="004A41EF">
      <w:pPr>
        <w:numPr>
          <w:ilvl w:val="0"/>
          <w:numId w:val="7"/>
        </w:numPr>
        <w:spacing w:before="120" w:after="120"/>
        <w:ind w:left="426" w:hanging="426"/>
        <w:rPr>
          <w:rFonts w:ascii="Arial" w:eastAsiaTheme="minorHAnsi" w:hAnsi="Arial"/>
        </w:rPr>
      </w:pPr>
      <w:r w:rsidRPr="00C42A6D">
        <w:rPr>
          <w:rFonts w:ascii="Arial" w:eastAsiaTheme="minorHAnsi" w:hAnsi="Arial"/>
        </w:rPr>
        <w:t>regulation itself, particularly in the level and adequacy of compliance and enforcement.</w:t>
      </w:r>
    </w:p>
    <w:p w14:paraId="419FD27A" w14:textId="77777777" w:rsidR="007B5515" w:rsidRPr="00C42A6D" w:rsidRDefault="007B5515" w:rsidP="007B5515">
      <w:pPr>
        <w:rPr>
          <w:rFonts w:ascii="Arial" w:eastAsiaTheme="minorHAnsi" w:hAnsi="Arial"/>
        </w:rPr>
      </w:pPr>
      <w:r w:rsidRPr="00C42A6D">
        <w:rPr>
          <w:rFonts w:ascii="Arial" w:eastAsiaTheme="minorHAnsi" w:hAnsi="Arial"/>
        </w:rPr>
        <w:t xml:space="preserve">It is this work, in concert with the </w:t>
      </w:r>
      <w:r w:rsidRPr="003D3F57">
        <w:rPr>
          <w:rFonts w:ascii="Arial" w:eastAsiaTheme="minorHAnsi" w:hAnsi="Arial"/>
          <w:i/>
        </w:rPr>
        <w:t>Building Confidence</w:t>
      </w:r>
      <w:r w:rsidRPr="00C42A6D">
        <w:rPr>
          <w:rFonts w:ascii="Arial" w:eastAsiaTheme="minorHAnsi" w:hAnsi="Arial"/>
        </w:rPr>
        <w:t xml:space="preserve"> report, which is framing the Government’s current consideration of a broader reform program. The Victorian Government will further develop its future reform agenda in conjunction with appropriate stakeholder consultation to ensure that these reforms are developed and implemented effectively.</w:t>
      </w:r>
    </w:p>
    <w:p w14:paraId="2B5A68F0" w14:textId="77777777" w:rsidR="007B5515" w:rsidRDefault="007B5515" w:rsidP="007B5515">
      <w:pPr>
        <w:rPr>
          <w:color w:val="FF0000"/>
        </w:rPr>
      </w:pPr>
      <w:r>
        <w:rPr>
          <w:color w:val="FF0000"/>
        </w:rPr>
        <w:br w:type="page"/>
      </w:r>
    </w:p>
    <w:p w14:paraId="46789821" w14:textId="77777777" w:rsidR="007B5515" w:rsidRPr="000E1ADB" w:rsidRDefault="007B5515" w:rsidP="00744D51">
      <w:pPr>
        <w:pStyle w:val="Heading2"/>
        <w:rPr>
          <w:b/>
        </w:rPr>
      </w:pPr>
      <w:bookmarkStart w:id="25" w:name="_Toc3991428"/>
      <w:r w:rsidRPr="000E1ADB">
        <w:lastRenderedPageBreak/>
        <w:t>Queensland</w:t>
      </w:r>
      <w:bookmarkEnd w:id="25"/>
    </w:p>
    <w:p w14:paraId="1B70F4C5" w14:textId="77777777" w:rsidR="007B5515" w:rsidRPr="004A07E4" w:rsidRDefault="007B5515" w:rsidP="005C7A68">
      <w:pPr>
        <w:pStyle w:val="Heading3"/>
      </w:pPr>
      <w:r w:rsidRPr="004A07E4">
        <w:t>Overview</w:t>
      </w:r>
    </w:p>
    <w:p w14:paraId="576AE7AE" w14:textId="7F441458" w:rsidR="007B5515" w:rsidRPr="00C42A6D" w:rsidRDefault="007B5515" w:rsidP="007B5515">
      <w:pPr>
        <w:ind w:right="-568"/>
        <w:rPr>
          <w:rFonts w:ascii="Arial" w:eastAsiaTheme="minorHAnsi" w:hAnsi="Arial"/>
        </w:rPr>
      </w:pPr>
      <w:r w:rsidRPr="00C42A6D">
        <w:rPr>
          <w:rFonts w:ascii="Arial" w:eastAsiaTheme="minorHAnsi" w:hAnsi="Arial"/>
        </w:rPr>
        <w:t xml:space="preserve">Queensland has an existing, robust regulatory framework and supports the findings and recommendations in the </w:t>
      </w:r>
      <w:r w:rsidRPr="00C42A6D">
        <w:rPr>
          <w:rFonts w:ascii="Arial" w:eastAsiaTheme="minorHAnsi" w:hAnsi="Arial"/>
          <w:i/>
        </w:rPr>
        <w:t>Building Confidence</w:t>
      </w:r>
      <w:r w:rsidRPr="00C42A6D">
        <w:rPr>
          <w:rFonts w:ascii="Arial" w:eastAsiaTheme="minorHAnsi" w:hAnsi="Arial"/>
        </w:rPr>
        <w:t xml:space="preserve"> report. Through this framework, Queensland has already implemented or partially implemented 16 of the report’s recommendat</w:t>
      </w:r>
      <w:r w:rsidR="003D3F57">
        <w:rPr>
          <w:rFonts w:ascii="Arial" w:eastAsiaTheme="minorHAnsi" w:hAnsi="Arial"/>
        </w:rPr>
        <w:t>ions and provides support or in</w:t>
      </w:r>
      <w:r w:rsidR="003D3F57">
        <w:rPr>
          <w:rFonts w:ascii="Arial" w:eastAsiaTheme="minorHAnsi" w:hAnsi="Arial"/>
        </w:rPr>
        <w:noBreakHyphen/>
      </w:r>
      <w:r w:rsidRPr="00C42A6D">
        <w:rPr>
          <w:rFonts w:ascii="Arial" w:eastAsiaTheme="minorHAnsi" w:hAnsi="Arial"/>
        </w:rPr>
        <w:t>principle support for the remainder.</w:t>
      </w:r>
    </w:p>
    <w:p w14:paraId="3B46EE4E" w14:textId="77777777" w:rsidR="007B5515" w:rsidRPr="00C42A6D" w:rsidRDefault="007B5515" w:rsidP="007B5515">
      <w:pPr>
        <w:ind w:right="-568"/>
        <w:rPr>
          <w:rFonts w:ascii="Arial" w:eastAsiaTheme="minorHAnsi" w:hAnsi="Arial"/>
        </w:rPr>
      </w:pPr>
      <w:r w:rsidRPr="00C42A6D">
        <w:rPr>
          <w:rFonts w:ascii="Arial" w:eastAsiaTheme="minorHAnsi" w:hAnsi="Arial"/>
        </w:rPr>
        <w:t>The recommendations in the report complement an established reform agenda. The Queensland Building Plan, released after extensive consultation in October 2017, delivered a plan to change culture and practice in the building and construction industry, strengthen the existing system and improve consumer confidence in the industry.</w:t>
      </w:r>
    </w:p>
    <w:p w14:paraId="2B30F5FC" w14:textId="51E680D9" w:rsidR="007B5515" w:rsidRPr="00C42A6D" w:rsidRDefault="007B5515" w:rsidP="007B5515">
      <w:pPr>
        <w:ind w:right="-568"/>
        <w:rPr>
          <w:rFonts w:ascii="Arial" w:eastAsiaTheme="minorHAnsi" w:hAnsi="Arial"/>
        </w:rPr>
      </w:pPr>
      <w:r w:rsidRPr="00C42A6D">
        <w:rPr>
          <w:rFonts w:ascii="Arial" w:eastAsiaTheme="minorHAnsi" w:hAnsi="Arial"/>
        </w:rPr>
        <w:t>Certification plays a critical role by ensuring buildings are constructed to required standards and are safe to occupy.</w:t>
      </w:r>
      <w:r w:rsidR="00086FFD">
        <w:rPr>
          <w:rFonts w:ascii="Arial" w:eastAsiaTheme="minorHAnsi" w:hAnsi="Arial"/>
        </w:rPr>
        <w:t xml:space="preserve"> </w:t>
      </w:r>
      <w:r w:rsidRPr="00C42A6D">
        <w:rPr>
          <w:rFonts w:ascii="Arial" w:eastAsiaTheme="minorHAnsi" w:hAnsi="Arial"/>
        </w:rPr>
        <w:t xml:space="preserve">Queensland has already proposed a reform agenda that will advance confidence in the certification industry. </w:t>
      </w:r>
    </w:p>
    <w:p w14:paraId="1059A19C" w14:textId="2AD760E1" w:rsidR="007B5515" w:rsidRPr="00C42A6D" w:rsidRDefault="007B5515" w:rsidP="007B5515">
      <w:pPr>
        <w:ind w:right="-568"/>
        <w:rPr>
          <w:rFonts w:ascii="Arial" w:eastAsiaTheme="minorHAnsi" w:hAnsi="Arial"/>
        </w:rPr>
      </w:pPr>
      <w:r w:rsidRPr="00C42A6D">
        <w:rPr>
          <w:rFonts w:ascii="Arial" w:eastAsiaTheme="minorHAnsi" w:hAnsi="Arial"/>
        </w:rPr>
        <w:t>In January 2019, the Minister for Housing and Public Works, Minister for Digital Technology, and Minister for Sport, announced that reform for building certification was a priority for the Queensland Government and that these reforms would focus on strengthening independence, improving professional standards and compliance, and enhancing regulatory oversight.</w:t>
      </w:r>
      <w:r w:rsidR="00086FFD">
        <w:rPr>
          <w:rFonts w:ascii="Arial" w:eastAsiaTheme="minorHAnsi" w:hAnsi="Arial"/>
        </w:rPr>
        <w:t xml:space="preserve"> </w:t>
      </w:r>
    </w:p>
    <w:p w14:paraId="5999A813" w14:textId="77777777" w:rsidR="007B5515" w:rsidRPr="00C42A6D" w:rsidRDefault="007B5515" w:rsidP="007B5515">
      <w:pPr>
        <w:rPr>
          <w:rFonts w:ascii="Arial" w:eastAsiaTheme="minorHAnsi" w:hAnsi="Arial"/>
        </w:rPr>
      </w:pPr>
      <w:r w:rsidRPr="00C42A6D">
        <w:rPr>
          <w:rFonts w:ascii="Arial" w:eastAsiaTheme="minorHAnsi" w:hAnsi="Arial"/>
        </w:rPr>
        <w:t xml:space="preserve">Given initiatives already implemented under the Queensland Building Plan—for example, addressing the use of non-conforming building products—and given the state’s existing robust regulatory framework, the Queensland Government is well-placed to deliver on all the </w:t>
      </w:r>
      <w:r w:rsidRPr="00C42A6D">
        <w:rPr>
          <w:rFonts w:ascii="Arial" w:eastAsiaTheme="minorHAnsi" w:hAnsi="Arial"/>
          <w:i/>
        </w:rPr>
        <w:t>Building Confidence</w:t>
      </w:r>
      <w:r w:rsidRPr="00C42A6D">
        <w:rPr>
          <w:rFonts w:ascii="Arial" w:eastAsiaTheme="minorHAnsi" w:hAnsi="Arial"/>
        </w:rPr>
        <w:t xml:space="preserve"> report’s recommendations. </w:t>
      </w:r>
    </w:p>
    <w:p w14:paraId="76D1C8E6" w14:textId="29C95838" w:rsidR="007B5515" w:rsidRPr="00C42A6D" w:rsidRDefault="007B5515" w:rsidP="007B5515">
      <w:pPr>
        <w:ind w:right="-568"/>
        <w:rPr>
          <w:rFonts w:ascii="Arial" w:eastAsiaTheme="minorHAnsi" w:hAnsi="Arial"/>
        </w:rPr>
      </w:pPr>
      <w:r w:rsidRPr="00C42A6D">
        <w:rPr>
          <w:rFonts w:ascii="Arial" w:eastAsiaTheme="minorHAnsi" w:hAnsi="Arial"/>
        </w:rPr>
        <w:t xml:space="preserve">A key focus for the BMF has also been non-conforming building products. In 2017, the Queensland Parliament passed the </w:t>
      </w:r>
      <w:r w:rsidRPr="00C42A6D">
        <w:rPr>
          <w:rFonts w:ascii="Arial" w:eastAsiaTheme="minorHAnsi" w:hAnsi="Arial"/>
          <w:i/>
        </w:rPr>
        <w:t>Building and Construction (Non-conforming Building Products – Chain of Responsibility and Other Matters) Amendment Act 2017</w:t>
      </w:r>
      <w:r w:rsidRPr="00C42A6D">
        <w:rPr>
          <w:rFonts w:ascii="Arial" w:eastAsiaTheme="minorHAnsi" w:hAnsi="Arial"/>
        </w:rPr>
        <w:t xml:space="preserve"> (NCBP Act), which commenced on 1 November 2017. The NCBP Act was the first of its kind in Australia and created a chain of responsibility, placing obligations on participants in the building product supply chain.</w:t>
      </w:r>
      <w:r w:rsidR="00086FFD">
        <w:rPr>
          <w:rFonts w:ascii="Arial" w:eastAsiaTheme="minorHAnsi" w:hAnsi="Arial"/>
        </w:rPr>
        <w:t xml:space="preserve"> </w:t>
      </w:r>
    </w:p>
    <w:p w14:paraId="69152440" w14:textId="3EE97AD3" w:rsidR="007B5515" w:rsidRPr="00C42A6D" w:rsidRDefault="007B5515" w:rsidP="007B5515">
      <w:pPr>
        <w:ind w:right="-568"/>
        <w:rPr>
          <w:rFonts w:ascii="Arial" w:eastAsiaTheme="minorHAnsi" w:hAnsi="Arial"/>
        </w:rPr>
      </w:pPr>
      <w:r w:rsidRPr="00C42A6D">
        <w:rPr>
          <w:rFonts w:ascii="Arial" w:eastAsiaTheme="minorHAnsi" w:hAnsi="Arial"/>
        </w:rPr>
        <w:t xml:space="preserve">The final report of the Senate inquiry into non-conforming building </w:t>
      </w:r>
      <w:r w:rsidR="003D3F57">
        <w:rPr>
          <w:rFonts w:ascii="Arial" w:eastAsiaTheme="minorHAnsi" w:hAnsi="Arial"/>
        </w:rPr>
        <w:t>products released on 4 December </w:t>
      </w:r>
      <w:r w:rsidRPr="00C42A6D">
        <w:rPr>
          <w:rFonts w:ascii="Arial" w:eastAsiaTheme="minorHAnsi" w:hAnsi="Arial"/>
        </w:rPr>
        <w:t>2018 recommends that other states and territories pass legislation similar to this law (recommendation 6).</w:t>
      </w:r>
      <w:r w:rsidR="00086FFD">
        <w:rPr>
          <w:rFonts w:ascii="Arial" w:eastAsiaTheme="minorHAnsi" w:hAnsi="Arial"/>
        </w:rPr>
        <w:t xml:space="preserve"> </w:t>
      </w:r>
      <w:r w:rsidRPr="00C42A6D">
        <w:rPr>
          <w:rFonts w:ascii="Arial" w:eastAsiaTheme="minorHAnsi" w:hAnsi="Arial"/>
        </w:rPr>
        <w:t xml:space="preserve">The findings of the </w:t>
      </w:r>
      <w:r w:rsidRPr="00E579C4">
        <w:rPr>
          <w:rFonts w:ascii="Arial" w:eastAsiaTheme="minorHAnsi" w:hAnsi="Arial"/>
          <w:i/>
        </w:rPr>
        <w:t>Building Confidence</w:t>
      </w:r>
      <w:r w:rsidRPr="00C42A6D">
        <w:rPr>
          <w:rFonts w:ascii="Arial" w:eastAsiaTheme="minorHAnsi" w:hAnsi="Arial"/>
        </w:rPr>
        <w:t xml:space="preserve"> report look across all parts of the industry and the Queensland Government calls on all jurisdictions to do this.</w:t>
      </w:r>
    </w:p>
    <w:p w14:paraId="6B1C9F76" w14:textId="1EA71C66" w:rsidR="007B5515" w:rsidRPr="00C42A6D" w:rsidRDefault="007B5515" w:rsidP="007B5515">
      <w:pPr>
        <w:ind w:right="-568"/>
        <w:rPr>
          <w:rFonts w:ascii="Arial" w:eastAsiaTheme="minorHAnsi" w:hAnsi="Arial"/>
        </w:rPr>
      </w:pPr>
      <w:r w:rsidRPr="00C42A6D">
        <w:rPr>
          <w:rFonts w:ascii="Arial" w:eastAsiaTheme="minorHAnsi" w:hAnsi="Arial"/>
        </w:rPr>
        <w:t>By chairing the SOG, Queensland will continue to play a key coordinating role for the BMF in monitoring implementation of this reform agenda as well as encouraging national consistency where possible and encouraging the use of emerging or ‘best practice’ models from all jurisdictions.</w:t>
      </w:r>
      <w:r w:rsidR="00086FFD">
        <w:rPr>
          <w:rFonts w:ascii="Arial" w:eastAsiaTheme="minorHAnsi" w:hAnsi="Arial"/>
        </w:rPr>
        <w:t xml:space="preserve"> </w:t>
      </w:r>
    </w:p>
    <w:p w14:paraId="441E6781" w14:textId="77777777" w:rsidR="007B5515" w:rsidRPr="004A07E4" w:rsidRDefault="007B5515" w:rsidP="005C7A68">
      <w:pPr>
        <w:pStyle w:val="Heading3"/>
      </w:pPr>
      <w:r w:rsidRPr="004A07E4">
        <w:t>Reforms underway and planned reforms</w:t>
      </w:r>
    </w:p>
    <w:p w14:paraId="5D75A098" w14:textId="77777777" w:rsidR="007B5515" w:rsidRPr="00E579C4" w:rsidRDefault="007B5515" w:rsidP="007B5515">
      <w:pPr>
        <w:rPr>
          <w:rFonts w:ascii="Arial" w:eastAsiaTheme="minorHAnsi" w:hAnsi="Arial"/>
        </w:rPr>
      </w:pPr>
      <w:r w:rsidRPr="00E579C4">
        <w:rPr>
          <w:rFonts w:ascii="Arial" w:eastAsiaTheme="minorHAnsi" w:hAnsi="Arial"/>
        </w:rPr>
        <w:t>Through its existing robust regulatory framework Queensland has implemented a number of the report’s recommendations and through reforms already delivered or outlined in the Queensland Building Plan. A number of the recommendations are supported in-principle as they come with additional costs and will require consultation and regulatory impact assessments.</w:t>
      </w:r>
    </w:p>
    <w:p w14:paraId="049ED42B" w14:textId="77777777" w:rsidR="007B5515" w:rsidRPr="00E579C4" w:rsidRDefault="007B5515" w:rsidP="007B5515">
      <w:pPr>
        <w:ind w:right="-568"/>
        <w:rPr>
          <w:rFonts w:ascii="Arial" w:eastAsiaTheme="minorHAnsi" w:hAnsi="Arial"/>
        </w:rPr>
      </w:pPr>
      <w:r w:rsidRPr="00E579C4">
        <w:rPr>
          <w:rFonts w:ascii="Arial" w:eastAsiaTheme="minorHAnsi" w:hAnsi="Arial"/>
        </w:rPr>
        <w:t xml:space="preserve">In 2016, the Queensland Government commenced a comprehensive examination of this regulatory system with a focus on ensuring Queenslanders have the utmost confidence in this state’s built environment. </w:t>
      </w:r>
    </w:p>
    <w:p w14:paraId="5C3E2D24" w14:textId="75B3801A" w:rsidR="007B5515" w:rsidRPr="00E579C4" w:rsidRDefault="007B5515" w:rsidP="007B5515">
      <w:pPr>
        <w:ind w:right="-568"/>
        <w:rPr>
          <w:rFonts w:ascii="Arial" w:eastAsiaTheme="minorHAnsi" w:hAnsi="Arial"/>
        </w:rPr>
      </w:pPr>
      <w:r w:rsidRPr="00E579C4">
        <w:rPr>
          <w:rFonts w:ascii="Arial" w:eastAsiaTheme="minorHAnsi" w:hAnsi="Arial"/>
        </w:rPr>
        <w:lastRenderedPageBreak/>
        <w:t>After an extensive and comprehensive public and industry consultation process, the Queensland Government delivered the Queensland Building Plan in October 2017.</w:t>
      </w:r>
      <w:r w:rsidR="00086FFD">
        <w:rPr>
          <w:rFonts w:ascii="Arial" w:eastAsiaTheme="minorHAnsi" w:hAnsi="Arial"/>
        </w:rPr>
        <w:t xml:space="preserve"> </w:t>
      </w:r>
      <w:r w:rsidRPr="00E579C4">
        <w:rPr>
          <w:rFonts w:ascii="Arial" w:eastAsiaTheme="minorHAnsi" w:hAnsi="Arial"/>
        </w:rPr>
        <w:t>The reforms identified in this plan aim to strengthen the existing system and improve consumer confidence in the industry.</w:t>
      </w:r>
    </w:p>
    <w:p w14:paraId="5856AEC5" w14:textId="77777777" w:rsidR="007B5515" w:rsidRPr="00E579C4" w:rsidRDefault="007B5515" w:rsidP="007B5515">
      <w:pPr>
        <w:rPr>
          <w:rFonts w:ascii="Arial" w:eastAsiaTheme="minorHAnsi" w:hAnsi="Arial"/>
        </w:rPr>
      </w:pPr>
      <w:r w:rsidRPr="00E579C4">
        <w:rPr>
          <w:rFonts w:ascii="Arial" w:eastAsiaTheme="minorHAnsi" w:hAnsi="Arial"/>
        </w:rPr>
        <w:t xml:space="preserve">The recommendations in the report complement the reforms already committed to in the Queensland Building Plan which range through building product safety, security of payments and the important issue of building certification. </w:t>
      </w:r>
    </w:p>
    <w:p w14:paraId="107B9C9A" w14:textId="77777777" w:rsidR="007B5515" w:rsidRPr="008D164F" w:rsidRDefault="007B5515" w:rsidP="00744D51">
      <w:pPr>
        <w:pStyle w:val="Heading4"/>
      </w:pPr>
      <w:r w:rsidRPr="008D164F">
        <w:t>Building certification reforms</w:t>
      </w:r>
    </w:p>
    <w:p w14:paraId="71337C09" w14:textId="77777777" w:rsidR="007B5515" w:rsidRPr="00E579C4" w:rsidRDefault="007B5515" w:rsidP="007B5515">
      <w:pPr>
        <w:rPr>
          <w:rFonts w:ascii="Arial" w:eastAsiaTheme="minorHAnsi" w:hAnsi="Arial"/>
        </w:rPr>
      </w:pPr>
      <w:r w:rsidRPr="00E579C4">
        <w:rPr>
          <w:rFonts w:ascii="Arial" w:eastAsiaTheme="minorHAnsi" w:hAnsi="Arial"/>
        </w:rPr>
        <w:t xml:space="preserve">Queensland proposes to enhance the certification framework by strengthening the independence of the certifier, improving professional standards and compliance and enhancing regulatory oversight. The Queensland Government is considering a range of legislative reforms—to be introduced in a number of phases—addressing such certification issues. </w:t>
      </w:r>
    </w:p>
    <w:p w14:paraId="5F2A5908" w14:textId="77777777" w:rsidR="007B5515" w:rsidRPr="00E579C4" w:rsidRDefault="007B5515" w:rsidP="007B5515">
      <w:pPr>
        <w:rPr>
          <w:rFonts w:ascii="Arial" w:eastAsiaTheme="minorHAnsi" w:hAnsi="Arial"/>
        </w:rPr>
      </w:pPr>
      <w:r w:rsidRPr="00E579C4">
        <w:rPr>
          <w:rFonts w:ascii="Arial" w:eastAsiaTheme="minorHAnsi" w:hAnsi="Arial"/>
        </w:rPr>
        <w:t xml:space="preserve">Reforms proposed through the first phase include: encouraging the building owner to be more engaged in the certification process, for example by allowing for the owner to request additional inspections; introducing a demerit point system for certifiers; restricting complaints made against a certifier to those within six years, where there are no health and safety matters involved; and introducing mandatory lapsing periods for building development approvals. </w:t>
      </w:r>
    </w:p>
    <w:p w14:paraId="76A67A2B" w14:textId="77777777" w:rsidR="007B5515" w:rsidRPr="008D164F" w:rsidRDefault="007B5515" w:rsidP="00744D51">
      <w:pPr>
        <w:pStyle w:val="Heading4"/>
      </w:pPr>
      <w:r w:rsidRPr="008D164F">
        <w:t>Non-conforming building products</w:t>
      </w:r>
    </w:p>
    <w:p w14:paraId="6BA9C3E5" w14:textId="61BC22CB" w:rsidR="007B5515" w:rsidRPr="00E579C4" w:rsidRDefault="007B5515" w:rsidP="007B5515">
      <w:pPr>
        <w:rPr>
          <w:rFonts w:ascii="Arial" w:eastAsiaTheme="minorHAnsi" w:hAnsi="Arial"/>
        </w:rPr>
      </w:pPr>
      <w:r w:rsidRPr="00E579C4">
        <w:rPr>
          <w:rFonts w:ascii="Arial" w:eastAsiaTheme="minorHAnsi" w:hAnsi="Arial"/>
        </w:rPr>
        <w:t>The Queensland Building and Construction Commission (QBCC) now has increased powers to investigate the use of non-conforming building products and take action against non-compliance. If required, the Queensland Minister will be able to issue warnings about products and recall products. Queensland’s strong stance on non-conforming building products has set an innovative precedent, with other states and territories investigating ways to follow suit. These powers were exercised in May 2018 to issue a state-wide product recall of Clark Rubber's unsafe pool fence, following an investigation by the QBCC,</w:t>
      </w:r>
      <w:r w:rsidR="00086FFD">
        <w:rPr>
          <w:rFonts w:ascii="Arial" w:eastAsiaTheme="minorHAnsi" w:hAnsi="Arial"/>
        </w:rPr>
        <w:t xml:space="preserve"> </w:t>
      </w:r>
      <w:r w:rsidRPr="00E579C4">
        <w:rPr>
          <w:rFonts w:ascii="Arial" w:eastAsiaTheme="minorHAnsi" w:hAnsi="Arial"/>
        </w:rPr>
        <w:t xml:space="preserve">leading to a subsequent national recall of this particular non-conforming product. </w:t>
      </w:r>
    </w:p>
    <w:p w14:paraId="6ACD2731" w14:textId="77777777" w:rsidR="007B5515" w:rsidRPr="00E579C4" w:rsidRDefault="007B5515" w:rsidP="00744D51">
      <w:pPr>
        <w:pStyle w:val="Heading4"/>
      </w:pPr>
      <w:r w:rsidRPr="00E579C4">
        <w:t xml:space="preserve">Increased powers for the state regulator </w:t>
      </w:r>
    </w:p>
    <w:p w14:paraId="5B657E82" w14:textId="77777777" w:rsidR="007B5515" w:rsidRPr="00E579C4" w:rsidRDefault="007B5515" w:rsidP="007B5515">
      <w:pPr>
        <w:pStyle w:val="Pa4"/>
        <w:spacing w:after="80"/>
        <w:rPr>
          <w:rFonts w:ascii="Arial" w:eastAsiaTheme="minorHAnsi" w:hAnsi="Arial"/>
          <w:sz w:val="22"/>
          <w:szCs w:val="22"/>
        </w:rPr>
      </w:pPr>
      <w:r w:rsidRPr="00E579C4">
        <w:rPr>
          <w:rFonts w:ascii="Arial" w:eastAsiaTheme="minorHAnsi" w:hAnsi="Arial"/>
          <w:sz w:val="22"/>
          <w:szCs w:val="22"/>
        </w:rPr>
        <w:t xml:space="preserve">Laws recently passed by the Queensland Government give the independent building industry regulator, the QBCC, expanded powers to uphold compliance and protect consumers and licensees who do the right thing. The QBCC is committed to enhancing confidence in the State’s building and construction industry. </w:t>
      </w:r>
    </w:p>
    <w:p w14:paraId="5FB316DE" w14:textId="77777777" w:rsidR="007B5515" w:rsidRPr="00E579C4" w:rsidRDefault="007B5515" w:rsidP="00744D51">
      <w:pPr>
        <w:pStyle w:val="Heading4"/>
      </w:pPr>
      <w:r w:rsidRPr="00E579C4">
        <w:t xml:space="preserve">Recommendation 12 </w:t>
      </w:r>
    </w:p>
    <w:p w14:paraId="74813416" w14:textId="65A80924" w:rsidR="007B5515" w:rsidRPr="00E579C4" w:rsidRDefault="007B5515" w:rsidP="007B5515">
      <w:pPr>
        <w:spacing w:line="240" w:lineRule="auto"/>
        <w:rPr>
          <w:rFonts w:ascii="Arial" w:eastAsiaTheme="minorHAnsi" w:hAnsi="Arial"/>
        </w:rPr>
      </w:pPr>
      <w:r w:rsidRPr="00E579C4">
        <w:rPr>
          <w:rFonts w:ascii="Arial" w:eastAsiaTheme="minorHAnsi" w:hAnsi="Arial"/>
        </w:rPr>
        <w:t>Queensland supports the development of a Building Information Documentation system as it aligns strategically with both the regulatory role of the state’s regulator (the QBCC) and the effective implementation of the Queensland Building Plan. Potential benefits of such a system may include responding to concerns over documented plan variations or changes; ensuring certification inspections are carried out at key stages of design and construction; highlighting architectural or engineering plans in conflict with the NCC and reducing problematic product substitution, during construction.</w:t>
      </w:r>
      <w:r w:rsidR="00086FFD">
        <w:rPr>
          <w:rFonts w:ascii="Arial" w:eastAsiaTheme="minorHAnsi" w:hAnsi="Arial"/>
        </w:rPr>
        <w:t xml:space="preserve"> </w:t>
      </w:r>
      <w:r w:rsidRPr="00E579C4">
        <w:rPr>
          <w:rFonts w:ascii="Arial" w:eastAsiaTheme="minorHAnsi" w:hAnsi="Arial"/>
        </w:rPr>
        <w:t>This is also a recommendation where a nationally consistent approach presents real potential.</w:t>
      </w:r>
    </w:p>
    <w:p w14:paraId="1BB83059" w14:textId="77777777" w:rsidR="007B5515" w:rsidRDefault="007B5515" w:rsidP="007B5515">
      <w:r>
        <w:br w:type="page"/>
      </w:r>
    </w:p>
    <w:p w14:paraId="04237FA8" w14:textId="77777777" w:rsidR="007B5515" w:rsidRPr="004A07E4" w:rsidRDefault="007B5515" w:rsidP="005C7A68">
      <w:pPr>
        <w:pStyle w:val="Heading3"/>
      </w:pPr>
      <w:r w:rsidRPr="004A07E4">
        <w:lastRenderedPageBreak/>
        <w:t>Timeframes</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852"/>
        <w:gridCol w:w="2324"/>
      </w:tblGrid>
      <w:tr w:rsidR="007B5515" w:rsidRPr="00E579C4" w14:paraId="55AEA879" w14:textId="77777777" w:rsidTr="000E2B6D">
        <w:tc>
          <w:tcPr>
            <w:tcW w:w="5949" w:type="dxa"/>
            <w:tcBorders>
              <w:top w:val="single" w:sz="4" w:space="0" w:color="FFFFFF" w:themeColor="background1"/>
              <w:left w:val="single" w:sz="4" w:space="0" w:color="FFFFFF" w:themeColor="background1"/>
              <w:bottom w:val="single" w:sz="4" w:space="0" w:color="AEAAAA" w:themeColor="background2" w:themeShade="BF"/>
              <w:right w:val="single" w:sz="4" w:space="0" w:color="FFFFFF" w:themeColor="background1"/>
            </w:tcBorders>
            <w:shd w:val="clear" w:color="auto" w:fill="005677"/>
            <w:vAlign w:val="center"/>
          </w:tcPr>
          <w:p w14:paraId="60E501C8" w14:textId="77777777" w:rsidR="007B5515" w:rsidRPr="000E2B6D" w:rsidRDefault="007B5515" w:rsidP="000E2B6D">
            <w:pPr>
              <w:pStyle w:val="NoSpacing"/>
              <w:jc w:val="center"/>
              <w:rPr>
                <w:rFonts w:ascii="Arial" w:eastAsiaTheme="minorHAnsi" w:hAnsi="Arial" w:cs="Arial"/>
                <w:b/>
                <w:color w:val="FFFFFF" w:themeColor="background1"/>
                <w:sz w:val="20"/>
                <w:szCs w:val="20"/>
              </w:rPr>
            </w:pPr>
            <w:r w:rsidRPr="000E2B6D">
              <w:rPr>
                <w:rFonts w:ascii="Arial" w:eastAsiaTheme="minorHAnsi" w:hAnsi="Arial" w:cs="Arial"/>
                <w:b/>
                <w:color w:val="FFFFFF" w:themeColor="background1"/>
                <w:sz w:val="20"/>
                <w:szCs w:val="20"/>
              </w:rPr>
              <w:t>Reforms</w:t>
            </w:r>
          </w:p>
        </w:tc>
        <w:tc>
          <w:tcPr>
            <w:tcW w:w="1852" w:type="dxa"/>
            <w:tcBorders>
              <w:top w:val="single" w:sz="4" w:space="0" w:color="FFFFFF" w:themeColor="background1"/>
              <w:left w:val="single" w:sz="4" w:space="0" w:color="FFFFFF" w:themeColor="background1"/>
              <w:bottom w:val="single" w:sz="4" w:space="0" w:color="AEAAAA" w:themeColor="background2" w:themeShade="BF"/>
              <w:right w:val="single" w:sz="4" w:space="0" w:color="FFFFFF" w:themeColor="background1"/>
            </w:tcBorders>
            <w:shd w:val="clear" w:color="auto" w:fill="005677"/>
            <w:vAlign w:val="center"/>
          </w:tcPr>
          <w:p w14:paraId="4C8246DF" w14:textId="77777777" w:rsidR="007B5515" w:rsidRPr="000E2B6D" w:rsidRDefault="007B5515" w:rsidP="000E2B6D">
            <w:pPr>
              <w:pStyle w:val="NoSpacing"/>
              <w:jc w:val="center"/>
              <w:rPr>
                <w:rFonts w:ascii="Arial" w:eastAsiaTheme="minorHAnsi" w:hAnsi="Arial" w:cs="Arial"/>
                <w:b/>
                <w:color w:val="FFFFFF" w:themeColor="background1"/>
                <w:sz w:val="20"/>
                <w:szCs w:val="20"/>
              </w:rPr>
            </w:pPr>
            <w:r w:rsidRPr="000E2B6D">
              <w:rPr>
                <w:rFonts w:ascii="Arial" w:eastAsiaTheme="minorHAnsi" w:hAnsi="Arial" w:cs="Arial"/>
                <w:b/>
                <w:color w:val="FFFFFF" w:themeColor="background1"/>
                <w:sz w:val="20"/>
                <w:szCs w:val="20"/>
              </w:rPr>
              <w:t>Associated recommendation</w:t>
            </w:r>
          </w:p>
        </w:tc>
        <w:tc>
          <w:tcPr>
            <w:tcW w:w="2324" w:type="dxa"/>
            <w:tcBorders>
              <w:top w:val="single" w:sz="4" w:space="0" w:color="FFFFFF"/>
              <w:left w:val="single" w:sz="4" w:space="0" w:color="FFFFFF" w:themeColor="background1"/>
              <w:bottom w:val="single" w:sz="4" w:space="0" w:color="AEAAAA" w:themeColor="background2" w:themeShade="BF"/>
              <w:right w:val="single" w:sz="4" w:space="0" w:color="FFFFFF"/>
            </w:tcBorders>
            <w:shd w:val="clear" w:color="auto" w:fill="005677"/>
            <w:vAlign w:val="center"/>
          </w:tcPr>
          <w:p w14:paraId="3CE5C476" w14:textId="77777777" w:rsidR="007B5515" w:rsidRPr="000E2B6D" w:rsidRDefault="007B5515" w:rsidP="000E2B6D">
            <w:pPr>
              <w:pStyle w:val="NoSpacing"/>
              <w:jc w:val="center"/>
              <w:rPr>
                <w:rFonts w:ascii="Arial" w:eastAsiaTheme="minorHAnsi" w:hAnsi="Arial" w:cs="Arial"/>
                <w:b/>
                <w:color w:val="FFFFFF" w:themeColor="background1"/>
                <w:sz w:val="20"/>
                <w:szCs w:val="20"/>
              </w:rPr>
            </w:pPr>
            <w:r w:rsidRPr="000E2B6D">
              <w:rPr>
                <w:rFonts w:ascii="Arial" w:eastAsiaTheme="minorHAnsi" w:hAnsi="Arial" w:cs="Arial"/>
                <w:b/>
                <w:color w:val="FFFFFF" w:themeColor="background1"/>
                <w:sz w:val="20"/>
                <w:szCs w:val="20"/>
              </w:rPr>
              <w:t>Timeframe</w:t>
            </w:r>
          </w:p>
        </w:tc>
      </w:tr>
      <w:tr w:rsidR="007B5515" w14:paraId="4D660BD7"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28822058" w14:textId="7777777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 xml:space="preserve">Registration of building practitioners </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31FA983"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1</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0B6BC64"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Medium</w:t>
            </w:r>
          </w:p>
        </w:tc>
      </w:tr>
      <w:tr w:rsidR="007B5515" w14:paraId="141ACCFF"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5EE103D5" w14:textId="7777777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Consistent requirements for registration</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95CDC37"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2</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A792203"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Medium</w:t>
            </w:r>
          </w:p>
        </w:tc>
      </w:tr>
      <w:tr w:rsidR="007B5515" w14:paraId="127808A8"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63370882" w14:textId="7777777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Continuing Professional Development</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14E5411"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3</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44FBFF25"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Medium</w:t>
            </w:r>
          </w:p>
        </w:tc>
      </w:tr>
      <w:tr w:rsidR="007B5515" w14:paraId="0DCC3E54"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21F0E32F" w14:textId="7777777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Career paths for building surveyors</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14846DC"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4</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CD33605"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Implemented</w:t>
            </w:r>
          </w:p>
        </w:tc>
      </w:tr>
      <w:tr w:rsidR="007B5515" w14:paraId="6562F66F"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6F7FCE31" w14:textId="7777777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Improving collaboration between regulators</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516180D"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5</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BA57415"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Short</w:t>
            </w:r>
          </w:p>
        </w:tc>
      </w:tr>
      <w:tr w:rsidR="007B5515" w14:paraId="24EFEEE7"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2094F1FE" w14:textId="7777777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Effective regulatory powers</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D1465CF"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6</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2926314"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Implemented</w:t>
            </w:r>
          </w:p>
        </w:tc>
      </w:tr>
      <w:tr w:rsidR="007B5515" w14:paraId="01F1D667"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23ACD854" w14:textId="06521C2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Strategy f</w:t>
            </w:r>
            <w:r w:rsidR="008D164F" w:rsidRPr="008D164F">
              <w:rPr>
                <w:rFonts w:ascii="Arial" w:eastAsiaTheme="minorHAnsi" w:hAnsi="Arial" w:cs="Arial"/>
                <w:sz w:val="20"/>
                <w:szCs w:val="20"/>
              </w:rPr>
              <w:t>or the proactive regulation of c</w:t>
            </w:r>
            <w:r w:rsidRPr="008D164F">
              <w:rPr>
                <w:rFonts w:ascii="Arial" w:eastAsiaTheme="minorHAnsi" w:hAnsi="Arial" w:cs="Arial"/>
                <w:sz w:val="20"/>
                <w:szCs w:val="20"/>
              </w:rPr>
              <w:t>ommercial buildings</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8F3E223"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7</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F372776"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Medium</w:t>
            </w:r>
          </w:p>
        </w:tc>
      </w:tr>
      <w:tr w:rsidR="007B5515" w14:paraId="46067504"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35BADCB3" w14:textId="7777777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Collaboration with fire authorities in development of fire safety design</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CB18A1B"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8</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20C1ECD"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Medium</w:t>
            </w:r>
          </w:p>
        </w:tc>
      </w:tr>
      <w:tr w:rsidR="007B5515" w14:paraId="745FBF50"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00C3EC6E" w14:textId="7777777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Integrity of private building surveyors</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751E07E"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9</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B1E4C3F"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Medium</w:t>
            </w:r>
          </w:p>
        </w:tc>
      </w:tr>
      <w:tr w:rsidR="007B5515" w14:paraId="3E39FE75"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183B4345" w14:textId="7777777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Codes of conduct for building surveyors</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490746D"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10</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4CF4294"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Implemented</w:t>
            </w:r>
          </w:p>
        </w:tc>
      </w:tr>
      <w:tr w:rsidR="007B5515" w14:paraId="36D1A5BE"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51E3AE69" w14:textId="7777777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Role of building surveyors in enforcement</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6A6DF2B"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11</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ACC331C"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Short</w:t>
            </w:r>
          </w:p>
        </w:tc>
      </w:tr>
      <w:tr w:rsidR="007B5515" w14:paraId="59D22B99"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23D04B82" w14:textId="7777777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Collecting and sharing data and intelligence</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8ED79C5"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12</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9652F3E"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Medium</w:t>
            </w:r>
          </w:p>
        </w:tc>
      </w:tr>
      <w:tr w:rsidR="007B5515" w14:paraId="4AB5D7B1"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6EDF70C2" w14:textId="7777777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Responsibility of design practitioners</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CF5BD10"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13</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4A62C895"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Medium</w:t>
            </w:r>
          </w:p>
        </w:tc>
      </w:tr>
      <w:tr w:rsidR="007B5515" w14:paraId="5B521FA7"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3D2079CB" w14:textId="7777777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 xml:space="preserve">Adequate documentation for performance solutions </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1ED2814"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14</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2275E1C"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Implemented</w:t>
            </w:r>
          </w:p>
        </w:tc>
      </w:tr>
      <w:tr w:rsidR="007B5515" w14:paraId="72803ABE"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78952E72" w14:textId="7777777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Approval of performance solutions for constructed building work</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E23B105"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15</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A4ACBFC"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Medium</w:t>
            </w:r>
          </w:p>
        </w:tc>
      </w:tr>
      <w:tr w:rsidR="007B5515" w14:paraId="14583DBD"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3C5A6DB4" w14:textId="7777777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Approval of documentation throughout the construction process</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42F74C5"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16</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B9F965C"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Medium</w:t>
            </w:r>
          </w:p>
        </w:tc>
      </w:tr>
      <w:tr w:rsidR="007B5515" w14:paraId="1A491B9E"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184527DF" w14:textId="7777777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Independent third-party review</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0174FEF"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17</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96246F7"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Short</w:t>
            </w:r>
          </w:p>
        </w:tc>
      </w:tr>
      <w:tr w:rsidR="007B5515" w14:paraId="6CB869BD"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01B5447C" w14:textId="7777777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Mandatory inspections</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210F27C"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18</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F3343AE"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Implemented</w:t>
            </w:r>
          </w:p>
        </w:tc>
      </w:tr>
      <w:tr w:rsidR="007B5515" w14:paraId="412E2D28"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79BD577E" w14:textId="7777777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Inspection and certification of fire safety systems</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FD262E6"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19</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5290192"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Short</w:t>
            </w:r>
          </w:p>
        </w:tc>
      </w:tr>
      <w:tr w:rsidR="007B5515" w14:paraId="44EC9163"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23873FC2" w14:textId="7777777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A building manual for Commercial buildings</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6A5C25B"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20</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01DDE78"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Medium</w:t>
            </w:r>
          </w:p>
        </w:tc>
      </w:tr>
      <w:tr w:rsidR="007B5515" w14:paraId="2E853C70"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42925D1B" w14:textId="7777777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Building product safety</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40A9BFF"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21</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60F282E"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Short</w:t>
            </w:r>
          </w:p>
        </w:tc>
      </w:tr>
      <w:tr w:rsidR="007B5515" w14:paraId="0BD41013"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486C525A" w14:textId="7777777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Dictionary of terminology</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EA03356"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22</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2DE78FB"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Short</w:t>
            </w:r>
          </w:p>
        </w:tc>
      </w:tr>
      <w:tr w:rsidR="007B5515" w14:paraId="6B0BC3C3"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6179690A" w14:textId="7777777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Implementation of the recommendations</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9BF910F"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23</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52C998F"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Short</w:t>
            </w:r>
          </w:p>
        </w:tc>
      </w:tr>
      <w:tr w:rsidR="007B5515" w14:paraId="133FD885" w14:textId="77777777" w:rsidTr="003D3F57">
        <w:tc>
          <w:tcPr>
            <w:tcW w:w="594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vAlign w:val="center"/>
          </w:tcPr>
          <w:p w14:paraId="3D61EE40" w14:textId="77777777" w:rsidR="007B5515" w:rsidRPr="008D164F" w:rsidRDefault="007B5515" w:rsidP="008D164F">
            <w:pPr>
              <w:keepNext/>
              <w:keepLines/>
              <w:spacing w:before="60" w:after="60" w:line="240" w:lineRule="auto"/>
              <w:rPr>
                <w:rFonts w:ascii="Arial" w:eastAsiaTheme="minorHAnsi" w:hAnsi="Arial" w:cs="Arial"/>
                <w:sz w:val="20"/>
                <w:szCs w:val="20"/>
              </w:rPr>
            </w:pPr>
            <w:r w:rsidRPr="008D164F">
              <w:rPr>
                <w:rFonts w:ascii="Arial" w:eastAsiaTheme="minorHAnsi" w:hAnsi="Arial" w:cs="Arial"/>
                <w:sz w:val="20"/>
                <w:szCs w:val="20"/>
              </w:rPr>
              <w:t>Implementation Plan</w:t>
            </w:r>
          </w:p>
        </w:tc>
        <w:tc>
          <w:tcPr>
            <w:tcW w:w="185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0FDE1FE"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24</w:t>
            </w:r>
          </w:p>
        </w:tc>
        <w:tc>
          <w:tcPr>
            <w:tcW w:w="23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6D3B7D2" w14:textId="77777777" w:rsidR="007B5515" w:rsidRPr="008D164F" w:rsidRDefault="007B5515" w:rsidP="008D164F">
            <w:pPr>
              <w:keepNext/>
              <w:keepLines/>
              <w:spacing w:before="60" w:after="60" w:line="240" w:lineRule="auto"/>
              <w:jc w:val="center"/>
              <w:rPr>
                <w:rFonts w:ascii="Arial" w:eastAsiaTheme="minorHAnsi" w:hAnsi="Arial" w:cs="Arial"/>
                <w:sz w:val="20"/>
                <w:szCs w:val="20"/>
              </w:rPr>
            </w:pPr>
            <w:r w:rsidRPr="008D164F">
              <w:rPr>
                <w:rFonts w:ascii="Arial" w:eastAsiaTheme="minorHAnsi" w:hAnsi="Arial" w:cs="Arial"/>
                <w:sz w:val="20"/>
                <w:szCs w:val="20"/>
              </w:rPr>
              <w:t>Short</w:t>
            </w:r>
          </w:p>
        </w:tc>
      </w:tr>
    </w:tbl>
    <w:p w14:paraId="13622901" w14:textId="77777777" w:rsidR="007B5515" w:rsidRPr="004A07E4" w:rsidRDefault="007B5515" w:rsidP="005C7A68">
      <w:pPr>
        <w:pStyle w:val="Heading3"/>
      </w:pPr>
      <w:r w:rsidRPr="004A07E4">
        <w:t>Next steps</w:t>
      </w:r>
    </w:p>
    <w:p w14:paraId="2230A411" w14:textId="3DE0514D" w:rsidR="007B5515" w:rsidRPr="00E579C4" w:rsidRDefault="007B5515" w:rsidP="007B5515">
      <w:pPr>
        <w:rPr>
          <w:rFonts w:ascii="Arial" w:eastAsiaTheme="minorHAnsi" w:hAnsi="Arial"/>
        </w:rPr>
      </w:pPr>
      <w:r w:rsidRPr="00E579C4">
        <w:rPr>
          <w:rFonts w:ascii="Arial" w:eastAsiaTheme="minorHAnsi" w:hAnsi="Arial"/>
        </w:rPr>
        <w:t>Reforms outlined in the Queensland Building Plan and in response to this report see a multi-year delivery program requiring a combination of consultation, administrative, regulatory and legislative amendments to support a change of practice and culture in the building and construction industry.</w:t>
      </w:r>
      <w:r w:rsidR="00086FFD">
        <w:rPr>
          <w:rFonts w:ascii="Arial" w:eastAsiaTheme="minorHAnsi" w:hAnsi="Arial"/>
        </w:rPr>
        <w:t xml:space="preserve"> </w:t>
      </w:r>
    </w:p>
    <w:p w14:paraId="0E486C78" w14:textId="77777777" w:rsidR="00744D51" w:rsidRDefault="00744D51">
      <w:pPr>
        <w:rPr>
          <w:rFonts w:ascii="Arial" w:hAnsi="Arial"/>
          <w:color w:val="00283E"/>
          <w:sz w:val="44"/>
          <w:szCs w:val="26"/>
        </w:rPr>
      </w:pPr>
      <w:r>
        <w:br w:type="page"/>
      </w:r>
    </w:p>
    <w:p w14:paraId="3F12EDBA" w14:textId="57D4803C" w:rsidR="007B5515" w:rsidRPr="000E1ADB" w:rsidRDefault="007B5515" w:rsidP="00744D51">
      <w:pPr>
        <w:pStyle w:val="Heading2"/>
        <w:rPr>
          <w:b/>
        </w:rPr>
      </w:pPr>
      <w:bookmarkStart w:id="26" w:name="_Toc3991429"/>
      <w:r w:rsidRPr="000E1ADB">
        <w:lastRenderedPageBreak/>
        <w:t>Western Australia</w:t>
      </w:r>
      <w:bookmarkEnd w:id="26"/>
    </w:p>
    <w:p w14:paraId="5436D255" w14:textId="77777777" w:rsidR="007B5515" w:rsidRPr="00892ACF" w:rsidRDefault="007B5515" w:rsidP="005C7A68">
      <w:pPr>
        <w:pStyle w:val="Heading3"/>
      </w:pPr>
      <w:r w:rsidRPr="00892ACF">
        <w:t>Overview</w:t>
      </w:r>
    </w:p>
    <w:p w14:paraId="562FF7F2" w14:textId="77777777" w:rsidR="007B5515" w:rsidRPr="00E579C4" w:rsidRDefault="007B5515" w:rsidP="007B5515">
      <w:pPr>
        <w:rPr>
          <w:rFonts w:ascii="Arial" w:eastAsiaTheme="minorHAnsi" w:hAnsi="Arial"/>
        </w:rPr>
      </w:pPr>
      <w:r w:rsidRPr="00E579C4">
        <w:rPr>
          <w:rFonts w:ascii="Arial" w:eastAsiaTheme="minorHAnsi" w:hAnsi="Arial"/>
        </w:rPr>
        <w:t xml:space="preserve">The Western Australian Government supports the recommendations in the </w:t>
      </w:r>
      <w:r w:rsidRPr="003D3F57">
        <w:rPr>
          <w:rFonts w:ascii="Arial" w:eastAsiaTheme="minorHAnsi" w:hAnsi="Arial"/>
          <w:i/>
        </w:rPr>
        <w:t>Building Confidence</w:t>
      </w:r>
      <w:r w:rsidRPr="00E579C4">
        <w:rPr>
          <w:rFonts w:ascii="Arial" w:eastAsiaTheme="minorHAnsi" w:hAnsi="Arial"/>
        </w:rPr>
        <w:t xml:space="preserve"> report (BCR). It is committed to address the shortcomings identified in the regulation of the building and construction sector. </w:t>
      </w:r>
    </w:p>
    <w:p w14:paraId="0947DC6E" w14:textId="77777777" w:rsidR="007B5515" w:rsidRPr="00E579C4" w:rsidRDefault="007B5515" w:rsidP="007B5515">
      <w:pPr>
        <w:rPr>
          <w:rFonts w:ascii="Arial" w:eastAsiaTheme="minorHAnsi" w:hAnsi="Arial"/>
        </w:rPr>
      </w:pPr>
      <w:r w:rsidRPr="00E579C4">
        <w:rPr>
          <w:rFonts w:ascii="Arial" w:eastAsiaTheme="minorHAnsi" w:hAnsi="Arial"/>
        </w:rPr>
        <w:t>Consequently, Western Australia has initiated three distinct projects to consider options for reform:</w:t>
      </w:r>
    </w:p>
    <w:p w14:paraId="24E00F73" w14:textId="77777777" w:rsidR="007B5515" w:rsidRPr="00E579C4" w:rsidRDefault="007B5515" w:rsidP="004A41EF">
      <w:pPr>
        <w:numPr>
          <w:ilvl w:val="0"/>
          <w:numId w:val="17"/>
        </w:numPr>
        <w:spacing w:before="120" w:after="120"/>
        <w:ind w:left="426" w:hanging="426"/>
        <w:rPr>
          <w:rFonts w:ascii="Arial" w:eastAsiaTheme="minorHAnsi" w:hAnsi="Arial"/>
        </w:rPr>
      </w:pPr>
      <w:r w:rsidRPr="00E579C4">
        <w:rPr>
          <w:rFonts w:ascii="Arial" w:eastAsiaTheme="minorHAnsi" w:hAnsi="Arial"/>
        </w:rPr>
        <w:t>review of the residential building approval process (BCA Class 1a and 10)</w:t>
      </w:r>
    </w:p>
    <w:p w14:paraId="42BD7E0D" w14:textId="77777777" w:rsidR="007B5515" w:rsidRPr="00E579C4" w:rsidRDefault="007B5515" w:rsidP="004A41EF">
      <w:pPr>
        <w:numPr>
          <w:ilvl w:val="0"/>
          <w:numId w:val="17"/>
        </w:numPr>
        <w:spacing w:before="120" w:after="120"/>
        <w:ind w:left="426" w:hanging="426"/>
        <w:rPr>
          <w:rFonts w:ascii="Arial" w:eastAsiaTheme="minorHAnsi" w:hAnsi="Arial"/>
        </w:rPr>
      </w:pPr>
      <w:r w:rsidRPr="00E579C4">
        <w:rPr>
          <w:rFonts w:ascii="Arial" w:eastAsiaTheme="minorHAnsi" w:hAnsi="Arial"/>
        </w:rPr>
        <w:t xml:space="preserve">review of registration requirements for the building industry and </w:t>
      </w:r>
    </w:p>
    <w:p w14:paraId="7A99994D" w14:textId="77777777" w:rsidR="007B5515" w:rsidRPr="00E579C4" w:rsidRDefault="007B5515" w:rsidP="004A41EF">
      <w:pPr>
        <w:numPr>
          <w:ilvl w:val="0"/>
          <w:numId w:val="17"/>
        </w:numPr>
        <w:spacing w:before="120" w:after="120"/>
        <w:ind w:left="426" w:hanging="426"/>
        <w:rPr>
          <w:rFonts w:ascii="Arial" w:eastAsiaTheme="minorHAnsi" w:hAnsi="Arial"/>
        </w:rPr>
      </w:pPr>
      <w:r w:rsidRPr="00E579C4">
        <w:rPr>
          <w:rFonts w:ascii="Arial" w:eastAsiaTheme="minorHAnsi" w:hAnsi="Arial"/>
        </w:rPr>
        <w:t>review of the commercial building approval process (BCA Class 2 to 9).</w:t>
      </w:r>
    </w:p>
    <w:p w14:paraId="719B2458" w14:textId="2F75E741" w:rsidR="007B5515" w:rsidRPr="00E579C4" w:rsidRDefault="007B5515" w:rsidP="007B5515">
      <w:pPr>
        <w:rPr>
          <w:rFonts w:ascii="Arial" w:eastAsiaTheme="minorHAnsi" w:hAnsi="Arial"/>
        </w:rPr>
      </w:pPr>
      <w:r w:rsidRPr="00E579C4">
        <w:rPr>
          <w:rFonts w:ascii="Arial" w:eastAsiaTheme="minorHAnsi" w:hAnsi="Arial"/>
        </w:rPr>
        <w:t>These projects will consider most of the BCR recommendations. The recommendations pertaining to addressing conflict of interest issues between private building surveyors and developers/builders in jurisdictions that have “full private certification” will be considered, once the ongoing review of the residential building approval process has been completed.</w:t>
      </w:r>
      <w:r w:rsidR="00086FFD">
        <w:rPr>
          <w:rFonts w:ascii="Arial" w:eastAsiaTheme="minorHAnsi" w:hAnsi="Arial"/>
        </w:rPr>
        <w:t xml:space="preserve"> </w:t>
      </w:r>
    </w:p>
    <w:p w14:paraId="67CE2A18" w14:textId="77777777" w:rsidR="007B5515" w:rsidRPr="00E579C4" w:rsidRDefault="007B5515" w:rsidP="007B5515">
      <w:pPr>
        <w:rPr>
          <w:rFonts w:ascii="Arial" w:eastAsiaTheme="minorHAnsi" w:hAnsi="Arial"/>
        </w:rPr>
      </w:pPr>
      <w:r w:rsidRPr="00E579C4">
        <w:rPr>
          <w:rFonts w:ascii="Arial" w:eastAsiaTheme="minorHAnsi" w:hAnsi="Arial"/>
        </w:rPr>
        <w:t>Western Australia will continue to work with other jurisdictions on priority areas of reform.</w:t>
      </w:r>
    </w:p>
    <w:p w14:paraId="6B31CABC" w14:textId="77777777" w:rsidR="007B5515" w:rsidRPr="00892ACF" w:rsidRDefault="007B5515" w:rsidP="005C7A68">
      <w:pPr>
        <w:pStyle w:val="Heading3"/>
      </w:pPr>
      <w:r w:rsidRPr="00892ACF">
        <w:t>Reforms underway</w:t>
      </w:r>
    </w:p>
    <w:p w14:paraId="703B7D57" w14:textId="77777777" w:rsidR="007B5515" w:rsidRPr="00E579C4" w:rsidRDefault="007B5515" w:rsidP="007B5515">
      <w:pPr>
        <w:spacing w:after="240" w:line="240" w:lineRule="auto"/>
        <w:jc w:val="both"/>
        <w:rPr>
          <w:rFonts w:ascii="Arial" w:eastAsiaTheme="minorHAnsi" w:hAnsi="Arial"/>
        </w:rPr>
      </w:pPr>
      <w:r w:rsidRPr="00E579C4">
        <w:rPr>
          <w:rFonts w:ascii="Arial" w:eastAsiaTheme="minorHAnsi" w:hAnsi="Arial"/>
        </w:rPr>
        <w:t>In December 2018, the Western Australian Government amended the Building Regulations 2012 to require “all external walls to meet the non-combustibility requirements of the Deemed-to-Satisfy provisions of the NCC”. The amended legislation effectively prevents the use of ‘performance solutions’ wherever the NCC requires external walls to be non-combustible. Performance solutions can only be used when:</w:t>
      </w:r>
    </w:p>
    <w:p w14:paraId="354453F0" w14:textId="77777777" w:rsidR="007B5515" w:rsidRPr="00E579C4" w:rsidRDefault="007B5515" w:rsidP="004A41EF">
      <w:pPr>
        <w:numPr>
          <w:ilvl w:val="0"/>
          <w:numId w:val="7"/>
        </w:numPr>
        <w:spacing w:before="120" w:after="120"/>
        <w:ind w:left="426" w:hanging="426"/>
        <w:rPr>
          <w:rFonts w:ascii="Arial" w:eastAsiaTheme="minorHAnsi" w:hAnsi="Arial"/>
        </w:rPr>
      </w:pPr>
      <w:r w:rsidRPr="00E579C4">
        <w:rPr>
          <w:rFonts w:ascii="Arial" w:eastAsiaTheme="minorHAnsi" w:hAnsi="Arial"/>
        </w:rPr>
        <w:t xml:space="preserve">the solution is verified using the Verification Method CV3 in Amendment 1 of the NCC or </w:t>
      </w:r>
    </w:p>
    <w:p w14:paraId="1954F63B" w14:textId="77777777" w:rsidR="007B5515" w:rsidRPr="00E579C4" w:rsidRDefault="007B5515" w:rsidP="004A41EF">
      <w:pPr>
        <w:numPr>
          <w:ilvl w:val="0"/>
          <w:numId w:val="7"/>
        </w:numPr>
        <w:spacing w:before="120" w:after="120"/>
        <w:ind w:left="426" w:hanging="426"/>
        <w:rPr>
          <w:rFonts w:ascii="Arial" w:eastAsiaTheme="minorHAnsi" w:hAnsi="Arial"/>
        </w:rPr>
      </w:pPr>
      <w:r w:rsidRPr="00E579C4">
        <w:rPr>
          <w:rFonts w:ascii="Arial" w:eastAsiaTheme="minorHAnsi" w:hAnsi="Arial"/>
        </w:rPr>
        <w:t xml:space="preserve">the Building Commissioner has provided an exemption for a specific building. </w:t>
      </w:r>
    </w:p>
    <w:p w14:paraId="6B76F951" w14:textId="77777777" w:rsidR="007B5515" w:rsidRPr="00E579C4" w:rsidRDefault="007B5515" w:rsidP="007B5515">
      <w:pPr>
        <w:spacing w:after="240" w:line="240" w:lineRule="auto"/>
        <w:rPr>
          <w:rFonts w:ascii="Arial" w:eastAsiaTheme="minorHAnsi" w:hAnsi="Arial"/>
        </w:rPr>
      </w:pPr>
      <w:r w:rsidRPr="00E579C4">
        <w:rPr>
          <w:rFonts w:ascii="Arial" w:eastAsiaTheme="minorHAnsi" w:hAnsi="Arial"/>
        </w:rPr>
        <w:t xml:space="preserve">These changes address the risk of fire spread via a combustible cladding as well as the risk of fire spread via any other components of the external wall such as combustible insulation. </w:t>
      </w:r>
    </w:p>
    <w:p w14:paraId="4E4787FE" w14:textId="77777777" w:rsidR="007B5515" w:rsidRDefault="007B5515" w:rsidP="007B5515">
      <w:pPr>
        <w:spacing w:after="240" w:line="240" w:lineRule="auto"/>
      </w:pPr>
      <w:r w:rsidRPr="00E579C4">
        <w:rPr>
          <w:rFonts w:ascii="Arial" w:eastAsiaTheme="minorHAnsi" w:hAnsi="Arial"/>
        </w:rPr>
        <w:t>Western Australia is also undertaking a review of the building approval process for residential buildings. The BCR recommendations as applicable to residential dwellings are being considered as part of this</w:t>
      </w:r>
      <w:r w:rsidRPr="007B09C1">
        <w:t xml:space="preserve"> initiative.</w:t>
      </w:r>
      <w:r>
        <w:t xml:space="preserve"> </w:t>
      </w:r>
    </w:p>
    <w:p w14:paraId="293906F2" w14:textId="77777777" w:rsidR="007B5515" w:rsidRPr="00892ACF" w:rsidRDefault="007B5515" w:rsidP="005C7A68">
      <w:pPr>
        <w:pStyle w:val="Heading3"/>
      </w:pPr>
      <w:r w:rsidRPr="00892ACF">
        <w:t>Planned reforms</w:t>
      </w:r>
    </w:p>
    <w:p w14:paraId="0BCC4C6E" w14:textId="77777777" w:rsidR="007B5515" w:rsidRPr="008D164F" w:rsidRDefault="007B5515" w:rsidP="00744D51">
      <w:pPr>
        <w:pStyle w:val="Heading4"/>
      </w:pPr>
      <w:r w:rsidRPr="008D164F">
        <w:t>A review of the residential building approval process</w:t>
      </w:r>
    </w:p>
    <w:p w14:paraId="379CDB9F" w14:textId="217174E6" w:rsidR="007B5515" w:rsidRPr="00E579C4" w:rsidRDefault="007B5515" w:rsidP="007B5515">
      <w:pPr>
        <w:rPr>
          <w:rFonts w:ascii="Arial" w:eastAsiaTheme="minorHAnsi" w:hAnsi="Arial"/>
        </w:rPr>
      </w:pPr>
      <w:r w:rsidRPr="00E579C4">
        <w:rPr>
          <w:rFonts w:ascii="Arial" w:eastAsiaTheme="minorHAnsi" w:hAnsi="Arial"/>
        </w:rPr>
        <w:t>A consultation regulatory impact statement on improving the building approvals process for single residential dwellings (BCA Class 1a and 10) is being prepared.</w:t>
      </w:r>
      <w:r w:rsidR="00086FFD">
        <w:rPr>
          <w:rFonts w:ascii="Arial" w:eastAsiaTheme="minorHAnsi" w:hAnsi="Arial"/>
        </w:rPr>
        <w:t xml:space="preserve"> </w:t>
      </w:r>
      <w:r w:rsidRPr="00E579C4">
        <w:rPr>
          <w:rFonts w:ascii="Arial" w:eastAsiaTheme="minorHAnsi" w:hAnsi="Arial"/>
        </w:rPr>
        <w:t xml:space="preserve">It will consider three options: the status quo, full private certification with all the safeguards recommended by the BCR and options to improve the current system. </w:t>
      </w:r>
    </w:p>
    <w:p w14:paraId="4768B075" w14:textId="77777777" w:rsidR="00744D51" w:rsidRDefault="00744D51">
      <w:pPr>
        <w:rPr>
          <w:rFonts w:ascii="Arial" w:eastAsiaTheme="majorEastAsia" w:hAnsi="Arial" w:cstheme="majorBidi"/>
          <w:iCs/>
          <w:color w:val="00283E"/>
          <w:sz w:val="24"/>
        </w:rPr>
      </w:pPr>
      <w:r>
        <w:br w:type="page"/>
      </w:r>
    </w:p>
    <w:p w14:paraId="17A23D6E" w14:textId="0B75F5F0" w:rsidR="007B5515" w:rsidRPr="00E579C4" w:rsidRDefault="007B5515" w:rsidP="00744D51">
      <w:pPr>
        <w:pStyle w:val="Heading4"/>
      </w:pPr>
      <w:r w:rsidRPr="00E579C4">
        <w:lastRenderedPageBreak/>
        <w:t>A review of registration requirements for the building industry</w:t>
      </w:r>
    </w:p>
    <w:p w14:paraId="461B5032" w14:textId="109A916C" w:rsidR="007B5515" w:rsidRPr="00E579C4" w:rsidRDefault="007B5515" w:rsidP="003D3F57">
      <w:pPr>
        <w:keepNext/>
        <w:keepLines/>
        <w:spacing w:after="240" w:line="240" w:lineRule="auto"/>
        <w:jc w:val="both"/>
        <w:rPr>
          <w:rFonts w:ascii="Arial" w:eastAsiaTheme="minorHAnsi" w:hAnsi="Arial"/>
        </w:rPr>
      </w:pPr>
      <w:r w:rsidRPr="00E579C4">
        <w:rPr>
          <w:rFonts w:ascii="Arial" w:eastAsiaTheme="minorHAnsi" w:hAnsi="Arial"/>
        </w:rPr>
        <w:t>The BCR has proposed extensive changes to registration requirements for a range of occupations.</w:t>
      </w:r>
      <w:r w:rsidR="00086FFD">
        <w:rPr>
          <w:rFonts w:ascii="Arial" w:eastAsiaTheme="minorHAnsi" w:hAnsi="Arial"/>
        </w:rPr>
        <w:t xml:space="preserve"> </w:t>
      </w:r>
      <w:r w:rsidRPr="00E579C4">
        <w:rPr>
          <w:rFonts w:ascii="Arial" w:eastAsiaTheme="minorHAnsi" w:hAnsi="Arial"/>
        </w:rPr>
        <w:t>Western Australia has commenced a two-stage review which will consider the BCR recommendations. It will also examine the current registration requirements for registered building practitioners.</w:t>
      </w:r>
    </w:p>
    <w:p w14:paraId="20E06096" w14:textId="4814A025" w:rsidR="007B5515" w:rsidRPr="00E579C4" w:rsidRDefault="007B5515" w:rsidP="007B5515">
      <w:pPr>
        <w:spacing w:after="240" w:line="240" w:lineRule="auto"/>
        <w:jc w:val="both"/>
        <w:rPr>
          <w:rFonts w:ascii="Arial" w:eastAsiaTheme="minorHAnsi" w:hAnsi="Arial"/>
        </w:rPr>
      </w:pPr>
      <w:r w:rsidRPr="00E579C4">
        <w:rPr>
          <w:rFonts w:ascii="Arial" w:eastAsiaTheme="minorHAnsi" w:hAnsi="Arial"/>
        </w:rPr>
        <w:t>Stage 1 will review registration requirements for builders and building-related engineers. Stage 2 will consider the introduction of registration of building designers an</w:t>
      </w:r>
      <w:r w:rsidR="003D3F57">
        <w:rPr>
          <w:rFonts w:ascii="Arial" w:eastAsiaTheme="minorHAnsi" w:hAnsi="Arial"/>
        </w:rPr>
        <w:t>d changes for architects. Stage </w:t>
      </w:r>
      <w:r w:rsidRPr="00E579C4">
        <w:rPr>
          <w:rFonts w:ascii="Arial" w:eastAsiaTheme="minorHAnsi" w:hAnsi="Arial"/>
        </w:rPr>
        <w:t>2 will also examine the registration requirements for building surveyors.</w:t>
      </w:r>
    </w:p>
    <w:p w14:paraId="5AE62CD6" w14:textId="77777777" w:rsidR="007B5515" w:rsidRPr="00E579C4" w:rsidRDefault="007B5515" w:rsidP="00744D51">
      <w:pPr>
        <w:pStyle w:val="Heading4"/>
      </w:pPr>
      <w:r w:rsidRPr="00E579C4">
        <w:t xml:space="preserve">A review of the commercial building approval process </w:t>
      </w:r>
    </w:p>
    <w:p w14:paraId="4B52FF7C" w14:textId="144BD2D7" w:rsidR="007B5515" w:rsidRPr="00E579C4" w:rsidRDefault="007B5515" w:rsidP="007B5515">
      <w:pPr>
        <w:spacing w:after="240" w:line="240" w:lineRule="auto"/>
        <w:rPr>
          <w:rFonts w:ascii="Arial" w:eastAsiaTheme="minorHAnsi" w:hAnsi="Arial"/>
        </w:rPr>
      </w:pPr>
      <w:r w:rsidRPr="00E579C4">
        <w:rPr>
          <w:rFonts w:ascii="Arial" w:eastAsiaTheme="minorHAnsi" w:hAnsi="Arial"/>
        </w:rPr>
        <w:t>Western Australia is planning to commence a review of the commercial building approvals process for BCA Class 2 to 9 around June 2019.</w:t>
      </w:r>
      <w:r w:rsidR="00086FFD">
        <w:rPr>
          <w:rFonts w:ascii="Arial" w:eastAsiaTheme="minorHAnsi" w:hAnsi="Arial"/>
        </w:rPr>
        <w:t xml:space="preserve"> </w:t>
      </w:r>
    </w:p>
    <w:p w14:paraId="4A20078C" w14:textId="77777777" w:rsidR="007B5515" w:rsidRPr="00892ACF" w:rsidRDefault="007B5515" w:rsidP="005C7A68">
      <w:pPr>
        <w:pStyle w:val="Heading3"/>
      </w:pPr>
      <w:r w:rsidRPr="00892ACF">
        <w:t>Timeframes</w:t>
      </w:r>
    </w:p>
    <w:p w14:paraId="49CE54FC" w14:textId="3C3A7EA0" w:rsidR="007B5515" w:rsidRPr="00E579C4" w:rsidRDefault="007B5515" w:rsidP="007B5515">
      <w:pPr>
        <w:rPr>
          <w:rFonts w:ascii="Arial" w:eastAsiaTheme="minorHAnsi" w:hAnsi="Arial"/>
        </w:rPr>
      </w:pPr>
      <w:r w:rsidRPr="00E579C4">
        <w:rPr>
          <w:rFonts w:ascii="Arial" w:eastAsiaTheme="minorHAnsi" w:hAnsi="Arial"/>
        </w:rPr>
        <w:t>Many BCR recommendations involve amendments to Western Australian statutes. As a result, regulatory impact assessment processes and state-based consultation will need to be undertaken and approval by the WA Cabinet and Parliament sought.</w:t>
      </w:r>
      <w:r w:rsidR="00086FFD">
        <w:rPr>
          <w:rFonts w:ascii="Arial" w:eastAsiaTheme="minorHAnsi" w:hAnsi="Arial"/>
        </w:rPr>
        <w:t xml:space="preserve"> </w:t>
      </w:r>
    </w:p>
    <w:tbl>
      <w:tblPr>
        <w:tblW w:w="10126"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240"/>
        <w:gridCol w:w="2584"/>
        <w:gridCol w:w="2302"/>
      </w:tblGrid>
      <w:tr w:rsidR="007B5515" w:rsidRPr="007B09C1" w14:paraId="4E592724" w14:textId="77777777" w:rsidTr="000E2B6D">
        <w:tc>
          <w:tcPr>
            <w:tcW w:w="5240" w:type="dxa"/>
            <w:shd w:val="clear" w:color="auto" w:fill="005677"/>
            <w:vAlign w:val="center"/>
          </w:tcPr>
          <w:p w14:paraId="0B9F1A32" w14:textId="7A54934E" w:rsidR="007B5515" w:rsidRPr="000E2B6D" w:rsidRDefault="007B5515" w:rsidP="000E2B6D">
            <w:pPr>
              <w:pStyle w:val="NoSpacing"/>
              <w:jc w:val="center"/>
              <w:rPr>
                <w:rFonts w:ascii="Arial" w:hAnsi="Arial" w:cs="Arial"/>
                <w:b/>
                <w:color w:val="FFFFFF" w:themeColor="background1"/>
                <w:sz w:val="20"/>
                <w:szCs w:val="20"/>
              </w:rPr>
            </w:pPr>
            <w:r w:rsidRPr="000E2B6D">
              <w:rPr>
                <w:rFonts w:ascii="Arial" w:eastAsiaTheme="minorHAnsi" w:hAnsi="Arial" w:cs="Arial"/>
                <w:b/>
                <w:color w:val="FFFFFF" w:themeColor="background1"/>
                <w:sz w:val="20"/>
                <w:szCs w:val="20"/>
              </w:rPr>
              <w:t>Reform</w:t>
            </w:r>
          </w:p>
        </w:tc>
        <w:tc>
          <w:tcPr>
            <w:tcW w:w="2584" w:type="dxa"/>
            <w:shd w:val="clear" w:color="auto" w:fill="005677"/>
            <w:vAlign w:val="center"/>
          </w:tcPr>
          <w:p w14:paraId="71BCB10D" w14:textId="77777777" w:rsidR="007B5515" w:rsidRPr="000E2B6D" w:rsidRDefault="007B5515" w:rsidP="000E2B6D">
            <w:pPr>
              <w:pStyle w:val="NoSpacing"/>
              <w:jc w:val="center"/>
              <w:rPr>
                <w:rFonts w:ascii="Arial" w:eastAsiaTheme="minorHAnsi" w:hAnsi="Arial" w:cs="Arial"/>
                <w:b/>
                <w:color w:val="FFFFFF" w:themeColor="background1"/>
                <w:sz w:val="20"/>
                <w:szCs w:val="20"/>
              </w:rPr>
            </w:pPr>
            <w:r w:rsidRPr="000E2B6D">
              <w:rPr>
                <w:rFonts w:ascii="Arial" w:eastAsiaTheme="minorHAnsi" w:hAnsi="Arial" w:cs="Arial"/>
                <w:b/>
                <w:color w:val="FFFFFF" w:themeColor="background1"/>
                <w:sz w:val="20"/>
                <w:szCs w:val="20"/>
              </w:rPr>
              <w:t>Associated recommendation</w:t>
            </w:r>
          </w:p>
        </w:tc>
        <w:tc>
          <w:tcPr>
            <w:tcW w:w="2302" w:type="dxa"/>
            <w:shd w:val="clear" w:color="auto" w:fill="005677"/>
            <w:vAlign w:val="center"/>
          </w:tcPr>
          <w:p w14:paraId="6EE12519" w14:textId="77777777" w:rsidR="007B5515" w:rsidRPr="000E2B6D" w:rsidRDefault="007B5515" w:rsidP="000E2B6D">
            <w:pPr>
              <w:pStyle w:val="NoSpacing"/>
              <w:jc w:val="center"/>
              <w:rPr>
                <w:rFonts w:ascii="Arial" w:eastAsiaTheme="minorHAnsi" w:hAnsi="Arial" w:cs="Arial"/>
                <w:b/>
                <w:color w:val="FFFFFF" w:themeColor="background1"/>
                <w:sz w:val="20"/>
                <w:szCs w:val="20"/>
              </w:rPr>
            </w:pPr>
            <w:r w:rsidRPr="000E2B6D">
              <w:rPr>
                <w:rFonts w:ascii="Arial" w:eastAsiaTheme="minorHAnsi" w:hAnsi="Arial" w:cs="Arial"/>
                <w:b/>
                <w:color w:val="FFFFFF" w:themeColor="background1"/>
                <w:sz w:val="20"/>
                <w:szCs w:val="20"/>
              </w:rPr>
              <w:t>Timeframe</w:t>
            </w:r>
          </w:p>
        </w:tc>
      </w:tr>
      <w:tr w:rsidR="007B5515" w14:paraId="59D7C67B" w14:textId="77777777" w:rsidTr="003D3F57">
        <w:tc>
          <w:tcPr>
            <w:tcW w:w="5240" w:type="dxa"/>
            <w:shd w:val="clear" w:color="auto" w:fill="F2F2F2" w:themeFill="background1" w:themeFillShade="F2"/>
            <w:vAlign w:val="center"/>
          </w:tcPr>
          <w:p w14:paraId="4D3F820B" w14:textId="77777777" w:rsidR="007B5515" w:rsidRPr="008D164F" w:rsidRDefault="007B5515" w:rsidP="008D164F">
            <w:pPr>
              <w:spacing w:before="60" w:after="60" w:line="240" w:lineRule="auto"/>
              <w:rPr>
                <w:rFonts w:ascii="Arial" w:eastAsiaTheme="minorHAnsi" w:hAnsi="Arial"/>
                <w:sz w:val="20"/>
                <w:szCs w:val="20"/>
              </w:rPr>
            </w:pPr>
            <w:r w:rsidRPr="008D164F">
              <w:rPr>
                <w:rFonts w:ascii="Arial" w:eastAsiaTheme="minorHAnsi" w:hAnsi="Arial"/>
                <w:sz w:val="20"/>
                <w:szCs w:val="20"/>
              </w:rPr>
              <w:t xml:space="preserve">Review of the residential building approval process </w:t>
            </w:r>
          </w:p>
        </w:tc>
        <w:tc>
          <w:tcPr>
            <w:tcW w:w="2584" w:type="dxa"/>
            <w:shd w:val="clear" w:color="auto" w:fill="auto"/>
            <w:vAlign w:val="center"/>
          </w:tcPr>
          <w:p w14:paraId="186CC467" w14:textId="77777777" w:rsidR="007B5515" w:rsidRPr="008D164F" w:rsidRDefault="007B5515" w:rsidP="008D164F">
            <w:pPr>
              <w:spacing w:before="60" w:after="60" w:line="240" w:lineRule="auto"/>
              <w:jc w:val="center"/>
              <w:rPr>
                <w:rFonts w:ascii="Arial" w:eastAsiaTheme="minorHAnsi" w:hAnsi="Arial"/>
                <w:sz w:val="20"/>
                <w:szCs w:val="20"/>
              </w:rPr>
            </w:pPr>
            <w:r w:rsidRPr="008D164F">
              <w:rPr>
                <w:rFonts w:ascii="Arial" w:eastAsiaTheme="minorHAnsi" w:hAnsi="Arial"/>
                <w:sz w:val="20"/>
                <w:szCs w:val="20"/>
              </w:rPr>
              <w:t>1 (building inspectors), 6, 9, 11, 13–16, 18.</w:t>
            </w:r>
          </w:p>
        </w:tc>
        <w:tc>
          <w:tcPr>
            <w:tcW w:w="2302" w:type="dxa"/>
            <w:shd w:val="clear" w:color="auto" w:fill="auto"/>
            <w:vAlign w:val="center"/>
          </w:tcPr>
          <w:p w14:paraId="1FB7662E" w14:textId="77777777" w:rsidR="007B5515" w:rsidRPr="008D164F" w:rsidRDefault="007B5515" w:rsidP="008D164F">
            <w:pPr>
              <w:spacing w:before="60" w:after="60" w:line="240" w:lineRule="auto"/>
              <w:jc w:val="center"/>
              <w:rPr>
                <w:rFonts w:ascii="Arial" w:eastAsiaTheme="minorHAnsi" w:hAnsi="Arial"/>
                <w:sz w:val="20"/>
                <w:szCs w:val="20"/>
              </w:rPr>
            </w:pPr>
            <w:r w:rsidRPr="008D164F">
              <w:rPr>
                <w:rFonts w:ascii="Arial" w:eastAsiaTheme="minorHAnsi" w:hAnsi="Arial"/>
                <w:sz w:val="20"/>
                <w:szCs w:val="20"/>
              </w:rPr>
              <w:t>Medium to long-term</w:t>
            </w:r>
          </w:p>
        </w:tc>
      </w:tr>
      <w:tr w:rsidR="007B5515" w14:paraId="70D6B41E" w14:textId="77777777" w:rsidTr="003D3F57">
        <w:tc>
          <w:tcPr>
            <w:tcW w:w="5240" w:type="dxa"/>
            <w:shd w:val="clear" w:color="auto" w:fill="F2F2F2" w:themeFill="background1" w:themeFillShade="F2"/>
            <w:vAlign w:val="center"/>
          </w:tcPr>
          <w:p w14:paraId="45E6395F" w14:textId="69C34B4E" w:rsidR="007B5515" w:rsidRPr="008D164F" w:rsidRDefault="007B5515" w:rsidP="008D164F">
            <w:pPr>
              <w:spacing w:before="60" w:after="60" w:line="240" w:lineRule="auto"/>
              <w:rPr>
                <w:rFonts w:ascii="Arial" w:eastAsiaTheme="minorHAnsi" w:hAnsi="Arial"/>
                <w:sz w:val="20"/>
                <w:szCs w:val="20"/>
              </w:rPr>
            </w:pPr>
            <w:r w:rsidRPr="008D164F">
              <w:rPr>
                <w:rFonts w:ascii="Arial" w:eastAsiaTheme="minorHAnsi" w:hAnsi="Arial"/>
                <w:sz w:val="20"/>
                <w:szCs w:val="20"/>
              </w:rPr>
              <w:t>Review of registration requirements for the building industry</w:t>
            </w:r>
            <w:r w:rsidR="00086FFD" w:rsidRPr="008D164F">
              <w:rPr>
                <w:rFonts w:ascii="Arial" w:eastAsiaTheme="minorHAnsi" w:hAnsi="Arial"/>
                <w:sz w:val="20"/>
                <w:szCs w:val="20"/>
              </w:rPr>
              <w:t xml:space="preserve"> </w:t>
            </w:r>
          </w:p>
        </w:tc>
        <w:tc>
          <w:tcPr>
            <w:tcW w:w="2584" w:type="dxa"/>
            <w:shd w:val="clear" w:color="auto" w:fill="auto"/>
            <w:vAlign w:val="center"/>
          </w:tcPr>
          <w:p w14:paraId="2C33BF70" w14:textId="77777777" w:rsidR="007B5515" w:rsidRPr="008D164F" w:rsidRDefault="007B5515" w:rsidP="008D164F">
            <w:pPr>
              <w:spacing w:before="60" w:after="60" w:line="240" w:lineRule="auto"/>
              <w:jc w:val="center"/>
              <w:rPr>
                <w:rFonts w:ascii="Arial" w:eastAsiaTheme="minorHAnsi" w:hAnsi="Arial"/>
                <w:sz w:val="20"/>
                <w:szCs w:val="20"/>
              </w:rPr>
            </w:pPr>
            <w:r w:rsidRPr="008D164F">
              <w:rPr>
                <w:rFonts w:ascii="Arial" w:eastAsiaTheme="minorHAnsi" w:hAnsi="Arial"/>
                <w:sz w:val="20"/>
                <w:szCs w:val="20"/>
              </w:rPr>
              <w:t>Stage 1 will consider 1–3, 6 and 13 (builders, engineers)</w:t>
            </w:r>
          </w:p>
          <w:p w14:paraId="584401EE" w14:textId="77777777" w:rsidR="007B5515" w:rsidRPr="008D164F" w:rsidRDefault="007B5515" w:rsidP="008D164F">
            <w:pPr>
              <w:spacing w:before="60" w:after="60" w:line="240" w:lineRule="auto"/>
              <w:jc w:val="center"/>
              <w:rPr>
                <w:rFonts w:ascii="Arial" w:eastAsiaTheme="minorHAnsi" w:hAnsi="Arial"/>
                <w:sz w:val="20"/>
                <w:szCs w:val="20"/>
              </w:rPr>
            </w:pPr>
            <w:r w:rsidRPr="008D164F">
              <w:rPr>
                <w:rFonts w:ascii="Arial" w:eastAsiaTheme="minorHAnsi" w:hAnsi="Arial"/>
                <w:sz w:val="20"/>
                <w:szCs w:val="20"/>
              </w:rPr>
              <w:t>Stage 2 will consider 1–4, 6, 9–11 and 13 (building surveyors, architects, building designers).</w:t>
            </w:r>
          </w:p>
        </w:tc>
        <w:tc>
          <w:tcPr>
            <w:tcW w:w="2302" w:type="dxa"/>
            <w:shd w:val="clear" w:color="auto" w:fill="auto"/>
            <w:vAlign w:val="center"/>
          </w:tcPr>
          <w:p w14:paraId="440AE3EC" w14:textId="5E7275CC" w:rsidR="007B5515" w:rsidRPr="008D164F" w:rsidRDefault="007B5515" w:rsidP="008D164F">
            <w:pPr>
              <w:spacing w:before="60" w:after="60" w:line="240" w:lineRule="auto"/>
              <w:jc w:val="center"/>
              <w:rPr>
                <w:rFonts w:ascii="Arial" w:eastAsiaTheme="minorHAnsi" w:hAnsi="Arial"/>
                <w:sz w:val="20"/>
                <w:szCs w:val="20"/>
              </w:rPr>
            </w:pPr>
            <w:r w:rsidRPr="008D164F">
              <w:rPr>
                <w:rFonts w:ascii="Arial" w:eastAsiaTheme="minorHAnsi" w:hAnsi="Arial"/>
                <w:sz w:val="20"/>
                <w:szCs w:val="20"/>
              </w:rPr>
              <w:t>Medium to long-term</w:t>
            </w:r>
          </w:p>
        </w:tc>
      </w:tr>
      <w:tr w:rsidR="007B5515" w14:paraId="6E371AF5" w14:textId="77777777" w:rsidTr="003D3F57">
        <w:tc>
          <w:tcPr>
            <w:tcW w:w="5240" w:type="dxa"/>
            <w:shd w:val="clear" w:color="auto" w:fill="F2F2F2" w:themeFill="background1" w:themeFillShade="F2"/>
            <w:vAlign w:val="center"/>
          </w:tcPr>
          <w:p w14:paraId="77C8C580" w14:textId="77777777" w:rsidR="007B5515" w:rsidRPr="008D164F" w:rsidRDefault="007B5515" w:rsidP="008D164F">
            <w:pPr>
              <w:spacing w:before="60" w:after="60" w:line="240" w:lineRule="auto"/>
              <w:rPr>
                <w:rFonts w:ascii="Arial" w:eastAsiaTheme="minorHAnsi" w:hAnsi="Arial"/>
                <w:sz w:val="20"/>
                <w:szCs w:val="20"/>
              </w:rPr>
            </w:pPr>
            <w:r w:rsidRPr="008D164F">
              <w:rPr>
                <w:rFonts w:ascii="Arial" w:eastAsiaTheme="minorHAnsi" w:hAnsi="Arial"/>
                <w:sz w:val="20"/>
                <w:szCs w:val="20"/>
              </w:rPr>
              <w:t xml:space="preserve">Review of the commercial building approvals process </w:t>
            </w:r>
          </w:p>
        </w:tc>
        <w:tc>
          <w:tcPr>
            <w:tcW w:w="2584" w:type="dxa"/>
            <w:shd w:val="clear" w:color="auto" w:fill="auto"/>
            <w:vAlign w:val="center"/>
          </w:tcPr>
          <w:p w14:paraId="6C4DC133" w14:textId="77777777" w:rsidR="007B5515" w:rsidRPr="008D164F" w:rsidRDefault="007B5515" w:rsidP="008D164F">
            <w:pPr>
              <w:spacing w:before="60" w:after="60" w:line="240" w:lineRule="auto"/>
              <w:jc w:val="center"/>
              <w:rPr>
                <w:rFonts w:ascii="Arial" w:eastAsiaTheme="minorHAnsi" w:hAnsi="Arial"/>
                <w:sz w:val="20"/>
                <w:szCs w:val="20"/>
              </w:rPr>
            </w:pPr>
            <w:r w:rsidRPr="008D164F">
              <w:rPr>
                <w:rFonts w:ascii="Arial" w:eastAsiaTheme="minorHAnsi" w:hAnsi="Arial"/>
                <w:sz w:val="20"/>
                <w:szCs w:val="20"/>
              </w:rPr>
              <w:t>1 (fire safety practitioners), 6, 8, 12–20.</w:t>
            </w:r>
          </w:p>
        </w:tc>
        <w:tc>
          <w:tcPr>
            <w:tcW w:w="2302" w:type="dxa"/>
            <w:shd w:val="clear" w:color="auto" w:fill="auto"/>
            <w:vAlign w:val="center"/>
          </w:tcPr>
          <w:p w14:paraId="7DF9AB8C" w14:textId="681DFBC8" w:rsidR="007B5515" w:rsidRPr="008D164F" w:rsidRDefault="007B5515" w:rsidP="008D164F">
            <w:pPr>
              <w:spacing w:before="60" w:after="60" w:line="240" w:lineRule="auto"/>
              <w:jc w:val="center"/>
              <w:rPr>
                <w:rFonts w:ascii="Arial" w:eastAsiaTheme="minorHAnsi" w:hAnsi="Arial"/>
                <w:sz w:val="20"/>
                <w:szCs w:val="20"/>
              </w:rPr>
            </w:pPr>
            <w:r w:rsidRPr="008D164F">
              <w:rPr>
                <w:rFonts w:ascii="Arial" w:eastAsiaTheme="minorHAnsi" w:hAnsi="Arial"/>
                <w:sz w:val="20"/>
                <w:szCs w:val="20"/>
              </w:rPr>
              <w:t>Medium to long-term</w:t>
            </w:r>
          </w:p>
        </w:tc>
      </w:tr>
    </w:tbl>
    <w:p w14:paraId="53122802" w14:textId="248C061E" w:rsidR="007B5515" w:rsidRPr="00DA7C8C" w:rsidRDefault="007B5515" w:rsidP="007B5515">
      <w:pPr>
        <w:spacing w:before="120"/>
        <w:rPr>
          <w:rFonts w:ascii="Arial" w:eastAsiaTheme="minorHAnsi" w:hAnsi="Arial"/>
        </w:rPr>
      </w:pPr>
      <w:r w:rsidRPr="00DA7C8C">
        <w:rPr>
          <w:rFonts w:ascii="Arial" w:eastAsiaTheme="minorHAnsi" w:hAnsi="Arial"/>
        </w:rPr>
        <w:t>A public audit strategy for regulatory oversight of BCA Class 2 to 9 buildings is under development (recommendation 7). Western Australia is also looking at the feasibility of a centralised “building permit database” which will consider recommendation 12 of the BCR.</w:t>
      </w:r>
      <w:r w:rsidR="00086FFD">
        <w:rPr>
          <w:rFonts w:ascii="Arial" w:eastAsiaTheme="minorHAnsi" w:hAnsi="Arial"/>
        </w:rPr>
        <w:t xml:space="preserve"> </w:t>
      </w:r>
    </w:p>
    <w:p w14:paraId="7A95AA11" w14:textId="77777777" w:rsidR="007B5515" w:rsidRPr="00892ACF" w:rsidRDefault="007B5515" w:rsidP="005C7A68">
      <w:pPr>
        <w:pStyle w:val="Heading3"/>
      </w:pPr>
      <w:r w:rsidRPr="00892ACF">
        <w:t>Next steps</w:t>
      </w:r>
    </w:p>
    <w:p w14:paraId="5AAA4A1B" w14:textId="77777777" w:rsidR="007B5515" w:rsidRPr="00DA7C8C" w:rsidRDefault="007B5515" w:rsidP="007B5515">
      <w:pPr>
        <w:rPr>
          <w:rFonts w:ascii="Arial" w:eastAsiaTheme="minorHAnsi" w:hAnsi="Arial"/>
        </w:rPr>
      </w:pPr>
      <w:r w:rsidRPr="00DA7C8C">
        <w:rPr>
          <w:rFonts w:ascii="Arial" w:eastAsiaTheme="minorHAnsi" w:hAnsi="Arial"/>
        </w:rPr>
        <w:t>The Western Australian Government will consult extensively with stakeholders throughout the above reforms.</w:t>
      </w:r>
    </w:p>
    <w:p w14:paraId="51E9D86E" w14:textId="77777777" w:rsidR="007B5515" w:rsidRPr="00DA7C8C" w:rsidRDefault="007B5515" w:rsidP="007B5515">
      <w:pPr>
        <w:rPr>
          <w:rFonts w:ascii="Arial" w:eastAsiaTheme="minorHAnsi" w:hAnsi="Arial"/>
        </w:rPr>
      </w:pPr>
      <w:r w:rsidRPr="00DA7C8C">
        <w:rPr>
          <w:rFonts w:ascii="Arial" w:eastAsiaTheme="minorHAnsi" w:hAnsi="Arial"/>
        </w:rPr>
        <w:t>As next steps, consultation regulatory impact statements will be released on the following:</w:t>
      </w:r>
    </w:p>
    <w:p w14:paraId="1320E003" w14:textId="482C6508" w:rsidR="007B5515" w:rsidRPr="00DA7C8C" w:rsidRDefault="007B5515" w:rsidP="004A41EF">
      <w:pPr>
        <w:numPr>
          <w:ilvl w:val="0"/>
          <w:numId w:val="7"/>
        </w:numPr>
        <w:spacing w:before="120" w:after="120"/>
        <w:ind w:left="426" w:hanging="426"/>
        <w:rPr>
          <w:rFonts w:ascii="Arial" w:eastAsiaTheme="minorHAnsi" w:hAnsi="Arial"/>
        </w:rPr>
      </w:pPr>
      <w:r w:rsidRPr="00DA7C8C">
        <w:rPr>
          <w:rFonts w:ascii="Arial" w:eastAsiaTheme="minorHAnsi" w:hAnsi="Arial"/>
        </w:rPr>
        <w:t>review of the residential building approval process</w:t>
      </w:r>
      <w:r w:rsidR="00086FFD">
        <w:rPr>
          <w:rFonts w:ascii="Arial" w:eastAsiaTheme="minorHAnsi" w:hAnsi="Arial"/>
        </w:rPr>
        <w:t xml:space="preserve"> </w:t>
      </w:r>
    </w:p>
    <w:p w14:paraId="6F3E83B7" w14:textId="77777777" w:rsidR="007B5515" w:rsidRPr="00DA7C8C" w:rsidRDefault="007B5515" w:rsidP="004A41EF">
      <w:pPr>
        <w:numPr>
          <w:ilvl w:val="0"/>
          <w:numId w:val="7"/>
        </w:numPr>
        <w:spacing w:before="120" w:after="120"/>
        <w:ind w:left="426" w:hanging="426"/>
        <w:rPr>
          <w:rFonts w:ascii="Arial" w:eastAsiaTheme="minorHAnsi" w:hAnsi="Arial"/>
        </w:rPr>
      </w:pPr>
      <w:r w:rsidRPr="00DA7C8C">
        <w:rPr>
          <w:rFonts w:ascii="Arial" w:eastAsiaTheme="minorHAnsi" w:hAnsi="Arial"/>
        </w:rPr>
        <w:t>review of the registration requirements for the building industry for builders</w:t>
      </w:r>
    </w:p>
    <w:p w14:paraId="4C4FFF43" w14:textId="77777777" w:rsidR="007B5515" w:rsidRPr="00DA7C8C" w:rsidRDefault="007B5515" w:rsidP="004A41EF">
      <w:pPr>
        <w:numPr>
          <w:ilvl w:val="0"/>
          <w:numId w:val="7"/>
        </w:numPr>
        <w:spacing w:before="120" w:after="120"/>
        <w:ind w:left="426" w:hanging="426"/>
        <w:rPr>
          <w:rFonts w:ascii="Arial" w:eastAsiaTheme="minorHAnsi" w:hAnsi="Arial"/>
        </w:rPr>
      </w:pPr>
      <w:r w:rsidRPr="00DA7C8C">
        <w:rPr>
          <w:rFonts w:ascii="Arial" w:eastAsiaTheme="minorHAnsi" w:hAnsi="Arial"/>
        </w:rPr>
        <w:t>review of the proposed registration requirements for building-related engineers and</w:t>
      </w:r>
    </w:p>
    <w:p w14:paraId="340089E1" w14:textId="5055C71F" w:rsidR="007B5515" w:rsidRPr="00DA7C8C" w:rsidRDefault="007B5515" w:rsidP="004A41EF">
      <w:pPr>
        <w:numPr>
          <w:ilvl w:val="0"/>
          <w:numId w:val="7"/>
        </w:numPr>
        <w:spacing w:before="120" w:after="120"/>
        <w:ind w:left="426" w:hanging="426"/>
        <w:rPr>
          <w:rFonts w:ascii="Arial" w:eastAsiaTheme="minorHAnsi" w:hAnsi="Arial"/>
        </w:rPr>
      </w:pPr>
      <w:r w:rsidRPr="00DA7C8C">
        <w:rPr>
          <w:rFonts w:ascii="Arial" w:eastAsiaTheme="minorHAnsi" w:hAnsi="Arial"/>
        </w:rPr>
        <w:t>review of the commercial building approval process.</w:t>
      </w:r>
      <w:r w:rsidR="00086FFD">
        <w:rPr>
          <w:rFonts w:ascii="Arial" w:eastAsiaTheme="minorHAnsi" w:hAnsi="Arial"/>
        </w:rPr>
        <w:t xml:space="preserve"> </w:t>
      </w:r>
    </w:p>
    <w:p w14:paraId="13B63CBB" w14:textId="77777777" w:rsidR="007B5515" w:rsidRDefault="007B5515" w:rsidP="007B5515">
      <w:pPr>
        <w:rPr>
          <w:rFonts w:eastAsiaTheme="minorHAnsi"/>
        </w:rPr>
      </w:pPr>
      <w:r>
        <w:rPr>
          <w:rFonts w:eastAsiaTheme="minorHAnsi"/>
        </w:rPr>
        <w:br w:type="page"/>
      </w:r>
    </w:p>
    <w:p w14:paraId="51448A0E" w14:textId="77777777" w:rsidR="007B5515" w:rsidRPr="000E1ADB" w:rsidRDefault="007B5515" w:rsidP="00744D51">
      <w:pPr>
        <w:pStyle w:val="Heading2"/>
        <w:rPr>
          <w:b/>
        </w:rPr>
      </w:pPr>
      <w:bookmarkStart w:id="27" w:name="_Toc3991430"/>
      <w:r w:rsidRPr="000E1ADB">
        <w:lastRenderedPageBreak/>
        <w:t>South Australia</w:t>
      </w:r>
      <w:bookmarkEnd w:id="27"/>
    </w:p>
    <w:p w14:paraId="4D7116CC" w14:textId="77777777" w:rsidR="007B5515" w:rsidRPr="00892ACF" w:rsidRDefault="007B5515" w:rsidP="005C7A68">
      <w:pPr>
        <w:pStyle w:val="Heading3"/>
      </w:pPr>
      <w:r w:rsidRPr="00892ACF">
        <w:t>Overview</w:t>
      </w:r>
    </w:p>
    <w:p w14:paraId="0684768A" w14:textId="77777777" w:rsidR="007B5515" w:rsidRPr="00DA7C8C" w:rsidRDefault="007B5515" w:rsidP="00DA7C8C">
      <w:pPr>
        <w:rPr>
          <w:rFonts w:ascii="Arial" w:eastAsiaTheme="minorHAnsi" w:hAnsi="Arial"/>
        </w:rPr>
      </w:pPr>
      <w:r w:rsidRPr="00DA7C8C">
        <w:rPr>
          <w:rFonts w:ascii="Arial" w:eastAsiaTheme="minorHAnsi" w:hAnsi="Arial"/>
        </w:rPr>
        <w:t xml:space="preserve">The South Australian Government is committed to ensuring that the built environment is safe, healthy and liveable for all South Australians now and into the future. The safety of building occupants is the top priority, which is why South Australia is continuing to audit buildings that may be clad with aluminium composite panels, has adopted legislation aimed at improving practitioner accountability and is developing a risk-based proactive inspection regime. </w:t>
      </w:r>
    </w:p>
    <w:p w14:paraId="22C44B39" w14:textId="77777777" w:rsidR="007B5515" w:rsidRPr="00DA7C8C" w:rsidRDefault="007B5515" w:rsidP="00DA7C8C">
      <w:pPr>
        <w:rPr>
          <w:rFonts w:ascii="Arial" w:eastAsiaTheme="minorHAnsi" w:hAnsi="Arial"/>
        </w:rPr>
      </w:pPr>
      <w:r w:rsidRPr="00DA7C8C">
        <w:rPr>
          <w:rFonts w:ascii="Arial" w:eastAsiaTheme="minorHAnsi" w:hAnsi="Arial"/>
        </w:rPr>
        <w:t xml:space="preserve">These measures, along with a number of other complementary measures outlined below, form the basis of South Australia’s ongoing response to the </w:t>
      </w:r>
      <w:r w:rsidRPr="00DA7C8C">
        <w:rPr>
          <w:rFonts w:ascii="Arial" w:eastAsiaTheme="minorHAnsi" w:hAnsi="Arial"/>
          <w:i/>
        </w:rPr>
        <w:t>Building Confidence</w:t>
      </w:r>
      <w:r w:rsidRPr="00DA7C8C">
        <w:rPr>
          <w:rFonts w:ascii="Arial" w:eastAsiaTheme="minorHAnsi" w:hAnsi="Arial"/>
        </w:rPr>
        <w:t xml:space="preserve"> report and build upon recent reforms such as the</w:t>
      </w:r>
      <w:r w:rsidRPr="00DA7C8C">
        <w:rPr>
          <w:rFonts w:ascii="Arial" w:eastAsiaTheme="minorHAnsi" w:hAnsi="Arial"/>
          <w:i/>
        </w:rPr>
        <w:t xml:space="preserve"> Development (Building Cladding) Variation Regulations 2018</w:t>
      </w:r>
      <w:r w:rsidRPr="00DA7C8C">
        <w:rPr>
          <w:rFonts w:ascii="Arial" w:eastAsiaTheme="minorHAnsi" w:hAnsi="Arial"/>
        </w:rPr>
        <w:t xml:space="preserve">, which address shortfalls with building documentation, notifications prior to building work commencing and the substitution of building products. </w:t>
      </w:r>
    </w:p>
    <w:p w14:paraId="5F86A14C" w14:textId="77777777" w:rsidR="007B5515" w:rsidRPr="00DA7C8C" w:rsidRDefault="007B5515" w:rsidP="00DA7C8C">
      <w:pPr>
        <w:rPr>
          <w:rFonts w:ascii="Arial" w:eastAsiaTheme="minorHAnsi" w:hAnsi="Arial"/>
        </w:rPr>
      </w:pPr>
      <w:r w:rsidRPr="00DA7C8C">
        <w:rPr>
          <w:rFonts w:ascii="Arial" w:eastAsiaTheme="minorHAnsi" w:hAnsi="Arial"/>
        </w:rPr>
        <w:t>The South Australian Government will continue to work closely with other jurisdictions to promote best practice across all Australian states and territories.</w:t>
      </w:r>
    </w:p>
    <w:p w14:paraId="4AE6C769" w14:textId="77777777" w:rsidR="007B5515" w:rsidRPr="00892ACF" w:rsidRDefault="007B5515" w:rsidP="005C7A68">
      <w:pPr>
        <w:pStyle w:val="Heading3"/>
      </w:pPr>
      <w:r w:rsidRPr="00892ACF">
        <w:t>Reforms underway</w:t>
      </w:r>
    </w:p>
    <w:p w14:paraId="127CE914" w14:textId="35B1BA82" w:rsidR="007B5515" w:rsidRPr="008D164F" w:rsidRDefault="007B5515" w:rsidP="00744D51">
      <w:pPr>
        <w:pStyle w:val="Heading4"/>
      </w:pPr>
      <w:r w:rsidRPr="008D164F">
        <w:t>Improved building c</w:t>
      </w:r>
      <w:r w:rsidR="008D164F">
        <w:t>ontrols to deliver a safe, high-</w:t>
      </w:r>
      <w:r w:rsidRPr="008D164F">
        <w:t>quality built environment</w:t>
      </w:r>
    </w:p>
    <w:p w14:paraId="5D066740" w14:textId="77777777" w:rsidR="007B5515" w:rsidRPr="00DA7C8C" w:rsidRDefault="007B5515" w:rsidP="00DA7C8C">
      <w:pPr>
        <w:rPr>
          <w:rFonts w:ascii="Arial" w:eastAsiaTheme="minorHAnsi" w:hAnsi="Arial"/>
        </w:rPr>
      </w:pPr>
      <w:r w:rsidRPr="00DA7C8C">
        <w:rPr>
          <w:rFonts w:ascii="Arial" w:eastAsiaTheme="minorHAnsi" w:hAnsi="Arial"/>
        </w:rPr>
        <w:t>The new </w:t>
      </w:r>
      <w:r w:rsidRPr="00DA7C8C">
        <w:rPr>
          <w:rFonts w:ascii="Arial" w:eastAsiaTheme="minorHAnsi" w:hAnsi="Arial"/>
          <w:i/>
        </w:rPr>
        <w:t>Planning, Development and Infrastructure Act 2016</w:t>
      </w:r>
      <w:r w:rsidRPr="00DA7C8C">
        <w:rPr>
          <w:rFonts w:ascii="Arial" w:eastAsiaTheme="minorHAnsi" w:hAnsi="Arial"/>
        </w:rPr>
        <w:t xml:space="preserve"> (PDI Act) introduces a number of changes to the way that building and construction is undertaken in South Australia and aims to ensure that the standards of assessment and compliance activity undertaken by practitioners in the building sector are improved. </w:t>
      </w:r>
    </w:p>
    <w:p w14:paraId="59B3EAEC" w14:textId="77777777" w:rsidR="007B5515" w:rsidRPr="00DA7C8C" w:rsidRDefault="007B5515" w:rsidP="00744D51">
      <w:pPr>
        <w:pStyle w:val="Heading4"/>
      </w:pPr>
      <w:r w:rsidRPr="00DA7C8C">
        <w:t xml:space="preserve">A new accredited professionals scheme </w:t>
      </w:r>
    </w:p>
    <w:p w14:paraId="6648566B" w14:textId="57320DD2" w:rsidR="007B5515" w:rsidRPr="00DA7C8C" w:rsidRDefault="007B5515" w:rsidP="007B5515">
      <w:pPr>
        <w:ind w:right="-568"/>
        <w:rPr>
          <w:rFonts w:ascii="Arial" w:eastAsiaTheme="minorHAnsi" w:hAnsi="Arial"/>
        </w:rPr>
      </w:pPr>
      <w:r w:rsidRPr="00DA7C8C">
        <w:rPr>
          <w:rFonts w:ascii="Arial" w:eastAsiaTheme="minorHAnsi" w:hAnsi="Arial"/>
        </w:rPr>
        <w:t>On 1 April 2019, a new accredited professionals scheme will take effect in South Australia. The new Scheme aims to improve the accountability of decision-makers in the development system and will ensure that decision</w:t>
      </w:r>
      <w:r w:rsidRPr="00DA7C8C">
        <w:rPr>
          <w:rFonts w:ascii="Arial" w:eastAsiaTheme="minorHAnsi" w:hAnsi="Arial"/>
        </w:rPr>
        <w:noBreakHyphen/>
        <w:t xml:space="preserve">makers are appropriately qualified to make key decisions and that a high standard of ethical conduct and professionalism is met. An improved code of conduct—which builds </w:t>
      </w:r>
      <w:r w:rsidR="003D3F57">
        <w:rPr>
          <w:rFonts w:ascii="Arial" w:eastAsiaTheme="minorHAnsi" w:hAnsi="Arial"/>
        </w:rPr>
        <w:t>on the existing ICAC provisions</w:t>
      </w:r>
      <w:r w:rsidR="003D3F57" w:rsidRPr="00DA7C8C">
        <w:rPr>
          <w:rFonts w:ascii="Arial" w:eastAsiaTheme="minorHAnsi" w:hAnsi="Arial"/>
        </w:rPr>
        <w:t>—</w:t>
      </w:r>
      <w:r w:rsidRPr="00DA7C8C">
        <w:rPr>
          <w:rFonts w:ascii="Arial" w:eastAsiaTheme="minorHAnsi" w:hAnsi="Arial"/>
        </w:rPr>
        <w:t>will provide an additional integrity threshold.</w:t>
      </w:r>
    </w:p>
    <w:p w14:paraId="00283C4A" w14:textId="77777777" w:rsidR="007B5515" w:rsidRPr="00DA7C8C" w:rsidRDefault="007B5515" w:rsidP="007B5515">
      <w:pPr>
        <w:ind w:right="-568"/>
        <w:rPr>
          <w:rFonts w:ascii="Arial" w:eastAsiaTheme="minorHAnsi" w:hAnsi="Arial"/>
        </w:rPr>
      </w:pPr>
      <w:r w:rsidRPr="00DA7C8C">
        <w:rPr>
          <w:rFonts w:ascii="Arial" w:eastAsiaTheme="minorHAnsi" w:hAnsi="Arial"/>
        </w:rPr>
        <w:t>Under the new Scheme, building professionals who are involved in assessing development applications will be expected to maintain minimum standards of professional practice, hold all necessary insurance, comply with an improved code of conduct, participate in annual technical and administrative compliance checks and undertake specified units of continuing professional development.</w:t>
      </w:r>
    </w:p>
    <w:p w14:paraId="229D8833" w14:textId="77777777" w:rsidR="007B5515" w:rsidRPr="00DA7C8C" w:rsidRDefault="007B5515" w:rsidP="007B5515">
      <w:pPr>
        <w:ind w:right="-568"/>
        <w:rPr>
          <w:rFonts w:ascii="Arial" w:eastAsiaTheme="minorHAnsi" w:hAnsi="Arial"/>
        </w:rPr>
      </w:pPr>
      <w:r w:rsidRPr="00DA7C8C">
        <w:rPr>
          <w:rFonts w:ascii="Arial" w:eastAsiaTheme="minorHAnsi" w:hAnsi="Arial"/>
        </w:rPr>
        <w:t xml:space="preserve">The new Scheme will also include revised procedures for complaints and investigations. </w:t>
      </w:r>
    </w:p>
    <w:p w14:paraId="107ED18A" w14:textId="77777777" w:rsidR="007B5515" w:rsidRPr="00DA7C8C" w:rsidRDefault="007B5515" w:rsidP="00744D51">
      <w:pPr>
        <w:pStyle w:val="Heading4"/>
      </w:pPr>
      <w:r w:rsidRPr="00DA7C8C">
        <w:t xml:space="preserve">Revision of building regulations </w:t>
      </w:r>
    </w:p>
    <w:p w14:paraId="6C396828" w14:textId="77777777" w:rsidR="007B5515" w:rsidRPr="00DA7C8C" w:rsidRDefault="007B5515" w:rsidP="007B5515">
      <w:pPr>
        <w:ind w:right="-568"/>
        <w:rPr>
          <w:rFonts w:ascii="Arial" w:eastAsiaTheme="minorHAnsi" w:hAnsi="Arial"/>
        </w:rPr>
      </w:pPr>
      <w:r w:rsidRPr="00DA7C8C">
        <w:rPr>
          <w:rFonts w:ascii="Arial" w:eastAsiaTheme="minorHAnsi" w:hAnsi="Arial"/>
        </w:rPr>
        <w:t xml:space="preserve">In January 2019 the </w:t>
      </w:r>
      <w:hyperlink r:id="rId17" w:tgtFrame="_blank" w:history="1">
        <w:r w:rsidRPr="003D3F57">
          <w:rPr>
            <w:rFonts w:ascii="Arial" w:eastAsiaTheme="minorHAnsi" w:hAnsi="Arial"/>
          </w:rPr>
          <w:t>draft</w:t>
        </w:r>
        <w:r w:rsidRPr="00DA7C8C">
          <w:rPr>
            <w:rFonts w:ascii="Arial" w:eastAsiaTheme="minorHAnsi" w:hAnsi="Arial"/>
            <w:i/>
          </w:rPr>
          <w:t xml:space="preserve"> Planning, Development and Infrastructure (General) (Development Assessment) Variation Regulations 2019</w:t>
        </w:r>
        <w:r w:rsidRPr="00DA7C8C">
          <w:rPr>
            <w:rFonts w:ascii="Arial" w:eastAsiaTheme="minorHAnsi" w:hAnsi="Arial"/>
          </w:rPr>
          <w:t xml:space="preserve"> were released for public consultation. </w:t>
        </w:r>
      </w:hyperlink>
      <w:r w:rsidRPr="00DA7C8C">
        <w:rPr>
          <w:rFonts w:ascii="Arial" w:eastAsiaTheme="minorHAnsi" w:hAnsi="Arial"/>
        </w:rPr>
        <w:t xml:space="preserve">The Regulations broadly set out the operational requirements for the development assessment system in South Australia. </w:t>
      </w:r>
    </w:p>
    <w:p w14:paraId="715DBC3E" w14:textId="77777777" w:rsidR="007B5515" w:rsidRPr="00DA7C8C" w:rsidRDefault="007B5515" w:rsidP="003D3F57">
      <w:pPr>
        <w:keepNext/>
        <w:keepLines/>
        <w:ind w:right="-567"/>
        <w:rPr>
          <w:rFonts w:ascii="Arial" w:eastAsiaTheme="minorHAnsi" w:hAnsi="Arial"/>
        </w:rPr>
      </w:pPr>
      <w:r w:rsidRPr="00DA7C8C">
        <w:rPr>
          <w:rFonts w:ascii="Arial" w:eastAsiaTheme="minorHAnsi" w:hAnsi="Arial"/>
        </w:rPr>
        <w:lastRenderedPageBreak/>
        <w:t>The Regulations will be amended by way of a staged process, with the initial draft changes aimed at addressing regulatory gaps and clarifying the roles and responsibilities of parties to an application. Proposed changes include:</w:t>
      </w:r>
    </w:p>
    <w:p w14:paraId="340B7E26" w14:textId="689B83D9" w:rsidR="007B5515" w:rsidRPr="00892ACF" w:rsidRDefault="007B5515" w:rsidP="003D3F57">
      <w:pPr>
        <w:pStyle w:val="ListParagraph"/>
        <w:keepNext/>
        <w:keepLines/>
        <w:numPr>
          <w:ilvl w:val="0"/>
          <w:numId w:val="28"/>
        </w:numPr>
        <w:ind w:right="-567"/>
        <w:rPr>
          <w:rFonts w:ascii="Arial" w:eastAsiaTheme="minorHAnsi" w:hAnsi="Arial"/>
        </w:rPr>
      </w:pPr>
      <w:r w:rsidRPr="00892ACF">
        <w:rPr>
          <w:rFonts w:ascii="Arial" w:eastAsiaTheme="minorHAnsi" w:hAnsi="Arial"/>
        </w:rPr>
        <w:t>additional expiation fines and increased penalties for failure to provide mandatory notifications, essential safety provisions and Statements of Compliance</w:t>
      </w:r>
      <w:r w:rsidR="00086FFD" w:rsidRPr="00892ACF">
        <w:rPr>
          <w:rFonts w:ascii="Arial" w:eastAsiaTheme="minorHAnsi" w:hAnsi="Arial"/>
        </w:rPr>
        <w:t xml:space="preserve"> </w:t>
      </w:r>
    </w:p>
    <w:p w14:paraId="37F359BD" w14:textId="77777777" w:rsidR="007B5515" w:rsidRPr="00892ACF" w:rsidRDefault="007B5515" w:rsidP="003D3F57">
      <w:pPr>
        <w:pStyle w:val="ListParagraph"/>
        <w:keepNext/>
        <w:keepLines/>
        <w:numPr>
          <w:ilvl w:val="0"/>
          <w:numId w:val="28"/>
        </w:numPr>
        <w:ind w:right="-567"/>
        <w:rPr>
          <w:rFonts w:ascii="Arial" w:eastAsiaTheme="minorHAnsi" w:hAnsi="Arial"/>
        </w:rPr>
      </w:pPr>
      <w:r w:rsidRPr="00892ACF">
        <w:rPr>
          <w:rFonts w:ascii="Arial" w:eastAsiaTheme="minorHAnsi" w:hAnsi="Arial"/>
        </w:rPr>
        <w:t>a Certificate of Occupancy for new houses</w:t>
      </w:r>
    </w:p>
    <w:p w14:paraId="0DC66AA6" w14:textId="77777777" w:rsidR="007B5515" w:rsidRPr="00892ACF" w:rsidRDefault="007B5515" w:rsidP="003D3F57">
      <w:pPr>
        <w:pStyle w:val="ListParagraph"/>
        <w:keepNext/>
        <w:keepLines/>
        <w:numPr>
          <w:ilvl w:val="0"/>
          <w:numId w:val="28"/>
        </w:numPr>
        <w:ind w:right="-567"/>
        <w:rPr>
          <w:rFonts w:ascii="Arial" w:eastAsiaTheme="minorHAnsi" w:hAnsi="Arial"/>
        </w:rPr>
      </w:pPr>
      <w:r w:rsidRPr="00892ACF">
        <w:rPr>
          <w:rFonts w:ascii="Arial" w:eastAsiaTheme="minorHAnsi" w:hAnsi="Arial"/>
        </w:rPr>
        <w:t>requirements for applications to provide comprehensive detail about the owner, the builder and the private certifier prior to the application progressing.</w:t>
      </w:r>
    </w:p>
    <w:p w14:paraId="0FF6249F" w14:textId="77777777" w:rsidR="007B5515" w:rsidRPr="00DA7C8C" w:rsidRDefault="007B5515" w:rsidP="007B5515">
      <w:pPr>
        <w:ind w:right="-568"/>
        <w:rPr>
          <w:rFonts w:ascii="Arial" w:eastAsiaTheme="minorHAnsi" w:hAnsi="Arial"/>
        </w:rPr>
      </w:pPr>
      <w:r w:rsidRPr="00DA7C8C">
        <w:rPr>
          <w:rFonts w:ascii="Arial" w:eastAsiaTheme="minorHAnsi" w:hAnsi="Arial"/>
        </w:rPr>
        <w:t>Consultation on the draft Regulations closes on 1 March 2019, with a scheduled implementation date of 1 July 2019.</w:t>
      </w:r>
    </w:p>
    <w:p w14:paraId="70E791B8" w14:textId="77777777" w:rsidR="007B5515" w:rsidRPr="00892ACF" w:rsidRDefault="007B5515" w:rsidP="005C7A68">
      <w:pPr>
        <w:pStyle w:val="Heading3"/>
      </w:pPr>
      <w:r w:rsidRPr="00892ACF">
        <w:t>Planned reforms</w:t>
      </w:r>
    </w:p>
    <w:p w14:paraId="7ECE3541" w14:textId="77777777" w:rsidR="007B5515" w:rsidRPr="00DA7C8C" w:rsidRDefault="007B5515" w:rsidP="00744D51">
      <w:pPr>
        <w:pStyle w:val="Heading4"/>
      </w:pPr>
      <w:r w:rsidRPr="00DA7C8C">
        <w:t>Creation of new Council inspection policies</w:t>
      </w:r>
    </w:p>
    <w:p w14:paraId="47DDF0BB" w14:textId="77777777" w:rsidR="007B5515" w:rsidRPr="00DA7C8C" w:rsidRDefault="007B5515" w:rsidP="007B5515">
      <w:pPr>
        <w:ind w:right="-568"/>
        <w:rPr>
          <w:rFonts w:ascii="Arial" w:eastAsiaTheme="minorHAnsi" w:hAnsi="Arial"/>
        </w:rPr>
      </w:pPr>
      <w:r w:rsidRPr="00DA7C8C">
        <w:rPr>
          <w:rFonts w:ascii="Arial" w:eastAsiaTheme="minorHAnsi" w:hAnsi="Arial"/>
        </w:rPr>
        <w:t>A state-wide Council inspection policy will be developed by the State Planning Commission to ensure a more consistent and increased level of compliance across the State. These will be tailored to meet a range of Council requirements. This will build on existing requirements to inspect swimming pool safety barriers and roof trusses.</w:t>
      </w:r>
    </w:p>
    <w:p w14:paraId="286901FD" w14:textId="77777777" w:rsidR="007B5515" w:rsidRPr="00DA7C8C" w:rsidRDefault="007B5515" w:rsidP="007B5515">
      <w:pPr>
        <w:ind w:right="-568"/>
        <w:rPr>
          <w:rFonts w:ascii="Arial" w:eastAsiaTheme="minorHAnsi" w:hAnsi="Arial"/>
        </w:rPr>
      </w:pPr>
      <w:r w:rsidRPr="00DA7C8C">
        <w:rPr>
          <w:rFonts w:ascii="Arial" w:eastAsiaTheme="minorHAnsi" w:hAnsi="Arial"/>
        </w:rPr>
        <w:t>These policies are expected to be in place by July 2020.</w:t>
      </w:r>
    </w:p>
    <w:p w14:paraId="5F7E0865" w14:textId="77777777" w:rsidR="007B5515" w:rsidRPr="00DA7C8C" w:rsidRDefault="007B5515" w:rsidP="00744D51">
      <w:pPr>
        <w:pStyle w:val="Heading4"/>
      </w:pPr>
      <w:r w:rsidRPr="00DA7C8C">
        <w:t>Accreditation of additional building professionals</w:t>
      </w:r>
    </w:p>
    <w:p w14:paraId="01150175" w14:textId="6A997D47" w:rsidR="007B5515" w:rsidRPr="00DA7C8C" w:rsidRDefault="007B5515" w:rsidP="007B5515">
      <w:pPr>
        <w:ind w:right="-568"/>
        <w:rPr>
          <w:rFonts w:ascii="Arial" w:eastAsiaTheme="minorHAnsi" w:hAnsi="Arial"/>
        </w:rPr>
      </w:pPr>
      <w:r w:rsidRPr="00DA7C8C">
        <w:rPr>
          <w:rFonts w:ascii="Arial" w:eastAsiaTheme="minorHAnsi" w:hAnsi="Arial"/>
        </w:rPr>
        <w:t>Further consideration will be given to the role that engineers and fire safety practitioners should play in the design, assessment, inspection and sign-off of buildings, particularly buildings with a high-risk occupancy profile.</w:t>
      </w:r>
      <w:r w:rsidR="00086FFD">
        <w:rPr>
          <w:rFonts w:ascii="Arial" w:eastAsiaTheme="minorHAnsi" w:hAnsi="Arial"/>
        </w:rPr>
        <w:t xml:space="preserve"> </w:t>
      </w:r>
      <w:r w:rsidRPr="00DA7C8C">
        <w:rPr>
          <w:rFonts w:ascii="Arial" w:eastAsiaTheme="minorHAnsi" w:hAnsi="Arial"/>
        </w:rPr>
        <w:t xml:space="preserve">This will build on existing requirements for sprinkler installers to be licensed with Consumer and Business Services. </w:t>
      </w:r>
    </w:p>
    <w:p w14:paraId="1DE59529" w14:textId="77777777" w:rsidR="007B5515" w:rsidRPr="00DA7C8C" w:rsidRDefault="007B5515" w:rsidP="00744D51">
      <w:pPr>
        <w:pStyle w:val="Heading4"/>
      </w:pPr>
      <w:r w:rsidRPr="00DA7C8C">
        <w:t xml:space="preserve">Revision of building regulations </w:t>
      </w:r>
    </w:p>
    <w:p w14:paraId="0B980D75" w14:textId="77777777" w:rsidR="007B5515" w:rsidRPr="00DA7C8C" w:rsidRDefault="007B5515" w:rsidP="007B5515">
      <w:pPr>
        <w:ind w:right="-568"/>
        <w:rPr>
          <w:rFonts w:ascii="Arial" w:eastAsiaTheme="minorHAnsi" w:hAnsi="Arial"/>
        </w:rPr>
      </w:pPr>
      <w:r w:rsidRPr="00DA7C8C">
        <w:rPr>
          <w:rFonts w:ascii="Arial" w:eastAsiaTheme="minorHAnsi" w:hAnsi="Arial"/>
        </w:rPr>
        <w:t>Further regulatory reforms will focus on:</w:t>
      </w:r>
    </w:p>
    <w:p w14:paraId="6348EC06" w14:textId="77777777" w:rsidR="007B5515" w:rsidRPr="00DA7C8C" w:rsidRDefault="007B5515" w:rsidP="004A41EF">
      <w:pPr>
        <w:numPr>
          <w:ilvl w:val="0"/>
          <w:numId w:val="7"/>
        </w:numPr>
        <w:spacing w:before="120" w:after="120"/>
        <w:ind w:left="426" w:hanging="426"/>
        <w:rPr>
          <w:rFonts w:ascii="Arial" w:eastAsiaTheme="minorHAnsi" w:hAnsi="Arial"/>
        </w:rPr>
      </w:pPr>
      <w:r w:rsidRPr="00DA7C8C">
        <w:rPr>
          <w:rFonts w:ascii="Arial" w:eastAsiaTheme="minorHAnsi" w:hAnsi="Arial"/>
        </w:rPr>
        <w:t>prescribing documentation that must be submitted to justify performance-based solutions</w:t>
      </w:r>
    </w:p>
    <w:p w14:paraId="7F93924E" w14:textId="77777777" w:rsidR="007B5515" w:rsidRPr="00DA7C8C" w:rsidRDefault="007B5515" w:rsidP="004A41EF">
      <w:pPr>
        <w:numPr>
          <w:ilvl w:val="0"/>
          <w:numId w:val="7"/>
        </w:numPr>
        <w:spacing w:before="120" w:after="120"/>
        <w:ind w:left="426" w:hanging="426"/>
        <w:rPr>
          <w:rFonts w:ascii="Arial" w:eastAsiaTheme="minorHAnsi" w:hAnsi="Arial"/>
        </w:rPr>
      </w:pPr>
      <w:r w:rsidRPr="00DA7C8C">
        <w:rPr>
          <w:rFonts w:ascii="Arial" w:eastAsiaTheme="minorHAnsi" w:hAnsi="Arial"/>
        </w:rPr>
        <w:t xml:space="preserve">greater clarity about post-approval processes and responsibilities. </w:t>
      </w:r>
    </w:p>
    <w:p w14:paraId="5B60C70D" w14:textId="0725F3C9" w:rsidR="007B5515" w:rsidRPr="00DA7C8C" w:rsidRDefault="007B5515" w:rsidP="00744D51">
      <w:pPr>
        <w:pStyle w:val="Heading4"/>
      </w:pPr>
      <w:r w:rsidRPr="00DA7C8C">
        <w:t>Delivery of the state-wide e</w:t>
      </w:r>
      <w:r w:rsidR="00CB20D6" w:rsidRPr="00DA7C8C">
        <w:t>P</w:t>
      </w:r>
      <w:r w:rsidRPr="00DA7C8C">
        <w:t xml:space="preserve">lanning platform for development assessment </w:t>
      </w:r>
    </w:p>
    <w:p w14:paraId="2AC11C5C" w14:textId="77777777" w:rsidR="007B5515" w:rsidRPr="00DA7C8C" w:rsidRDefault="007B5515" w:rsidP="007B5515">
      <w:pPr>
        <w:ind w:right="-568"/>
        <w:rPr>
          <w:rFonts w:ascii="Arial" w:eastAsiaTheme="minorHAnsi" w:hAnsi="Arial"/>
        </w:rPr>
      </w:pPr>
      <w:r w:rsidRPr="00DA7C8C">
        <w:rPr>
          <w:rFonts w:ascii="Arial" w:eastAsiaTheme="minorHAnsi" w:hAnsi="Arial"/>
        </w:rPr>
        <w:t>South Australia will shortly move to a system where all development applications across the State will be lodged via the SA Planning Portal. The portal will become the ‘one-stop-shop’ for building practitioner registration, building approvals and building inspection records. All Ministerial Building Standards, building regulations and council inspection policies will also be housed on the SA Planning Portal which is due for implementation from November 2019.</w:t>
      </w:r>
    </w:p>
    <w:p w14:paraId="4D69B8B5" w14:textId="6F745709" w:rsidR="007B5515" w:rsidRPr="00DA7C8C" w:rsidRDefault="007B5515" w:rsidP="007B5515">
      <w:pPr>
        <w:ind w:right="-568"/>
        <w:rPr>
          <w:rFonts w:ascii="Arial" w:eastAsiaTheme="minorHAnsi" w:hAnsi="Arial"/>
        </w:rPr>
      </w:pPr>
      <w:r w:rsidRPr="00DA7C8C">
        <w:rPr>
          <w:rFonts w:ascii="Arial" w:eastAsiaTheme="minorHAnsi" w:hAnsi="Arial"/>
        </w:rPr>
        <w:t>Improved monitoring and reporting through new performance indicators will be part of the e</w:t>
      </w:r>
      <w:r w:rsidR="00CB20D6" w:rsidRPr="00DA7C8C">
        <w:rPr>
          <w:rFonts w:ascii="Arial" w:eastAsiaTheme="minorHAnsi" w:hAnsi="Arial"/>
        </w:rPr>
        <w:t>P</w:t>
      </w:r>
      <w:r w:rsidRPr="00DA7C8C">
        <w:rPr>
          <w:rFonts w:ascii="Arial" w:eastAsiaTheme="minorHAnsi" w:hAnsi="Arial"/>
        </w:rPr>
        <w:t>lanning platform, which will provide improved transparency around the effectiveness of the building system and the ability to monitor policy and practitioner trends.</w:t>
      </w:r>
    </w:p>
    <w:p w14:paraId="2530505B" w14:textId="77777777" w:rsidR="00744D51" w:rsidRDefault="00744D51">
      <w:pPr>
        <w:rPr>
          <w:rFonts w:ascii="Arial" w:hAnsi="Arial"/>
          <w:color w:val="00283E"/>
          <w:sz w:val="30"/>
          <w:szCs w:val="26"/>
        </w:rPr>
      </w:pPr>
      <w:r>
        <w:br w:type="page"/>
      </w:r>
    </w:p>
    <w:p w14:paraId="6BDFD5F0" w14:textId="16466228" w:rsidR="007B5515" w:rsidRPr="00892ACF" w:rsidRDefault="007B5515" w:rsidP="005C7A68">
      <w:pPr>
        <w:pStyle w:val="Heading3"/>
      </w:pPr>
      <w:r w:rsidRPr="00892ACF">
        <w:lastRenderedPageBreak/>
        <w:t>Timeframes</w:t>
      </w:r>
    </w:p>
    <w:tbl>
      <w:tblPr>
        <w:tblW w:w="1000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039"/>
        <w:gridCol w:w="2694"/>
        <w:gridCol w:w="2275"/>
      </w:tblGrid>
      <w:tr w:rsidR="007B5515" w:rsidRPr="001F1ABB" w14:paraId="7ED35F31" w14:textId="77777777" w:rsidTr="000E2B6D">
        <w:trPr>
          <w:cantSplit/>
          <w:trHeight w:hRule="exact" w:val="565"/>
        </w:trPr>
        <w:tc>
          <w:tcPr>
            <w:tcW w:w="5039" w:type="dxa"/>
            <w:shd w:val="clear" w:color="auto" w:fill="005677"/>
            <w:vAlign w:val="center"/>
          </w:tcPr>
          <w:p w14:paraId="051F3E65" w14:textId="79D3D6AE" w:rsidR="007B5515" w:rsidRPr="000E2B6D" w:rsidRDefault="007B5515" w:rsidP="000E2B6D">
            <w:pPr>
              <w:pStyle w:val="NoSpacing"/>
              <w:jc w:val="center"/>
              <w:rPr>
                <w:rFonts w:ascii="Arial" w:eastAsiaTheme="minorHAnsi" w:hAnsi="Arial" w:cs="Arial"/>
                <w:b/>
                <w:color w:val="FFFFFF" w:themeColor="background1"/>
                <w:sz w:val="20"/>
                <w:szCs w:val="20"/>
              </w:rPr>
            </w:pPr>
            <w:r w:rsidRPr="000E2B6D">
              <w:rPr>
                <w:rFonts w:ascii="Arial" w:eastAsiaTheme="minorHAnsi" w:hAnsi="Arial" w:cs="Arial"/>
                <w:b/>
                <w:color w:val="FFFFFF" w:themeColor="background1"/>
                <w:sz w:val="20"/>
                <w:szCs w:val="20"/>
              </w:rPr>
              <w:t>Reform</w:t>
            </w:r>
          </w:p>
        </w:tc>
        <w:tc>
          <w:tcPr>
            <w:tcW w:w="2694" w:type="dxa"/>
            <w:shd w:val="clear" w:color="auto" w:fill="005677"/>
            <w:vAlign w:val="center"/>
          </w:tcPr>
          <w:p w14:paraId="1AA952E1" w14:textId="77777777" w:rsidR="007B5515" w:rsidRPr="000E2B6D" w:rsidRDefault="007B5515" w:rsidP="000E2B6D">
            <w:pPr>
              <w:pStyle w:val="NoSpacing"/>
              <w:jc w:val="center"/>
              <w:rPr>
                <w:rFonts w:ascii="Arial" w:eastAsiaTheme="minorHAnsi" w:hAnsi="Arial" w:cs="Arial"/>
                <w:b/>
                <w:color w:val="FFFFFF" w:themeColor="background1"/>
                <w:sz w:val="20"/>
                <w:szCs w:val="20"/>
              </w:rPr>
            </w:pPr>
            <w:r w:rsidRPr="000E2B6D">
              <w:rPr>
                <w:rFonts w:ascii="Arial" w:eastAsiaTheme="minorHAnsi" w:hAnsi="Arial" w:cs="Arial"/>
                <w:b/>
                <w:color w:val="FFFFFF" w:themeColor="background1"/>
                <w:sz w:val="20"/>
                <w:szCs w:val="20"/>
              </w:rPr>
              <w:t>Associated recommendation</w:t>
            </w:r>
          </w:p>
        </w:tc>
        <w:tc>
          <w:tcPr>
            <w:tcW w:w="2275" w:type="dxa"/>
            <w:shd w:val="clear" w:color="auto" w:fill="005677"/>
            <w:vAlign w:val="center"/>
          </w:tcPr>
          <w:p w14:paraId="6CDD3F54" w14:textId="77777777" w:rsidR="007B5515" w:rsidRPr="000E2B6D" w:rsidRDefault="007B5515" w:rsidP="000E2B6D">
            <w:pPr>
              <w:pStyle w:val="NoSpacing"/>
              <w:jc w:val="center"/>
              <w:rPr>
                <w:rFonts w:ascii="Arial" w:eastAsiaTheme="minorHAnsi" w:hAnsi="Arial" w:cs="Arial"/>
                <w:b/>
                <w:color w:val="FFFFFF" w:themeColor="background1"/>
                <w:sz w:val="20"/>
                <w:szCs w:val="20"/>
              </w:rPr>
            </w:pPr>
            <w:r w:rsidRPr="000E2B6D">
              <w:rPr>
                <w:rFonts w:ascii="Arial" w:eastAsiaTheme="minorHAnsi" w:hAnsi="Arial" w:cs="Arial"/>
                <w:b/>
                <w:color w:val="FFFFFF" w:themeColor="background1"/>
                <w:sz w:val="20"/>
                <w:szCs w:val="20"/>
              </w:rPr>
              <w:t>Timeframe</w:t>
            </w:r>
          </w:p>
        </w:tc>
      </w:tr>
      <w:tr w:rsidR="007B5515" w:rsidRPr="001F1ABB" w14:paraId="5B1C9F62" w14:textId="77777777" w:rsidTr="003D3F57">
        <w:trPr>
          <w:cantSplit/>
          <w:trHeight w:hRule="exact" w:val="515"/>
        </w:trPr>
        <w:tc>
          <w:tcPr>
            <w:tcW w:w="5039" w:type="dxa"/>
            <w:shd w:val="clear" w:color="auto" w:fill="F2F2F2" w:themeFill="background1" w:themeFillShade="F2"/>
            <w:vAlign w:val="center"/>
          </w:tcPr>
          <w:p w14:paraId="0DF7C760" w14:textId="0B2C1624" w:rsidR="007B5515" w:rsidRPr="008D164F" w:rsidRDefault="007B5515" w:rsidP="008D164F">
            <w:pPr>
              <w:keepNext/>
              <w:keepLines/>
              <w:spacing w:before="60" w:after="60" w:line="240" w:lineRule="auto"/>
              <w:rPr>
                <w:rFonts w:ascii="Arial" w:eastAsiaTheme="minorHAnsi" w:hAnsi="Arial"/>
                <w:sz w:val="20"/>
                <w:szCs w:val="20"/>
              </w:rPr>
            </w:pPr>
            <w:r w:rsidRPr="008D164F">
              <w:rPr>
                <w:rFonts w:ascii="Arial" w:eastAsiaTheme="minorHAnsi" w:hAnsi="Arial"/>
                <w:sz w:val="20"/>
                <w:szCs w:val="20"/>
              </w:rPr>
              <w:t xml:space="preserve">Accredited professionals </w:t>
            </w:r>
            <w:r w:rsidR="008D164F">
              <w:rPr>
                <w:rFonts w:ascii="Arial" w:eastAsiaTheme="minorHAnsi" w:hAnsi="Arial"/>
                <w:sz w:val="20"/>
                <w:szCs w:val="20"/>
              </w:rPr>
              <w:t>s</w:t>
            </w:r>
            <w:r w:rsidRPr="008D164F">
              <w:rPr>
                <w:rFonts w:ascii="Arial" w:eastAsiaTheme="minorHAnsi" w:hAnsi="Arial"/>
                <w:sz w:val="20"/>
                <w:szCs w:val="20"/>
              </w:rPr>
              <w:t xml:space="preserve">cheme </w:t>
            </w:r>
          </w:p>
        </w:tc>
        <w:tc>
          <w:tcPr>
            <w:tcW w:w="2694" w:type="dxa"/>
            <w:shd w:val="clear" w:color="auto" w:fill="auto"/>
            <w:vAlign w:val="center"/>
          </w:tcPr>
          <w:p w14:paraId="75A868FE" w14:textId="77777777" w:rsidR="007B5515" w:rsidRPr="008D164F" w:rsidRDefault="007B5515" w:rsidP="008D164F">
            <w:pPr>
              <w:keepNext/>
              <w:keepLines/>
              <w:spacing w:before="60" w:after="60" w:line="240" w:lineRule="auto"/>
              <w:jc w:val="center"/>
              <w:rPr>
                <w:rFonts w:ascii="Arial" w:eastAsiaTheme="minorHAnsi" w:hAnsi="Arial"/>
                <w:sz w:val="20"/>
                <w:szCs w:val="20"/>
              </w:rPr>
            </w:pPr>
            <w:r w:rsidRPr="008D164F">
              <w:rPr>
                <w:rFonts w:ascii="Arial" w:eastAsiaTheme="minorHAnsi" w:hAnsi="Arial"/>
                <w:sz w:val="20"/>
                <w:szCs w:val="20"/>
              </w:rPr>
              <w:t>1, 2, 3, 4, 9, 10, 13, 17, 19</w:t>
            </w:r>
          </w:p>
        </w:tc>
        <w:tc>
          <w:tcPr>
            <w:tcW w:w="2275" w:type="dxa"/>
            <w:shd w:val="clear" w:color="auto" w:fill="auto"/>
            <w:vAlign w:val="center"/>
          </w:tcPr>
          <w:p w14:paraId="58D0BE2D" w14:textId="77777777" w:rsidR="007B5515" w:rsidRPr="008D164F" w:rsidRDefault="007B5515" w:rsidP="008D164F">
            <w:pPr>
              <w:keepNext/>
              <w:keepLines/>
              <w:spacing w:before="60" w:after="60" w:line="240" w:lineRule="auto"/>
              <w:jc w:val="center"/>
              <w:rPr>
                <w:rFonts w:ascii="Arial" w:eastAsiaTheme="minorHAnsi" w:hAnsi="Arial"/>
                <w:sz w:val="20"/>
                <w:szCs w:val="20"/>
              </w:rPr>
            </w:pPr>
            <w:r w:rsidRPr="008D164F">
              <w:rPr>
                <w:rFonts w:ascii="Arial" w:eastAsiaTheme="minorHAnsi" w:hAnsi="Arial"/>
                <w:sz w:val="20"/>
                <w:szCs w:val="20"/>
              </w:rPr>
              <w:t>Medium to long-term</w:t>
            </w:r>
          </w:p>
        </w:tc>
      </w:tr>
      <w:tr w:rsidR="007B5515" w:rsidRPr="001F1ABB" w14:paraId="4E6719A9" w14:textId="77777777" w:rsidTr="003D3F57">
        <w:trPr>
          <w:cantSplit/>
          <w:trHeight w:hRule="exact" w:val="726"/>
        </w:trPr>
        <w:tc>
          <w:tcPr>
            <w:tcW w:w="5039" w:type="dxa"/>
            <w:shd w:val="clear" w:color="auto" w:fill="F2F2F2" w:themeFill="background1" w:themeFillShade="F2"/>
            <w:vAlign w:val="center"/>
          </w:tcPr>
          <w:p w14:paraId="741B670A" w14:textId="77777777" w:rsidR="007B5515" w:rsidRPr="008D164F" w:rsidRDefault="007B5515" w:rsidP="008D164F">
            <w:pPr>
              <w:keepNext/>
              <w:keepLines/>
              <w:spacing w:before="60" w:after="60" w:line="240" w:lineRule="auto"/>
              <w:rPr>
                <w:rFonts w:ascii="Arial" w:eastAsiaTheme="minorHAnsi" w:hAnsi="Arial"/>
                <w:sz w:val="20"/>
                <w:szCs w:val="20"/>
              </w:rPr>
            </w:pPr>
            <w:r w:rsidRPr="008D164F">
              <w:rPr>
                <w:rFonts w:ascii="Arial" w:eastAsiaTheme="minorHAnsi" w:hAnsi="Arial"/>
                <w:sz w:val="20"/>
                <w:szCs w:val="20"/>
              </w:rPr>
              <w:t xml:space="preserve">Revision of building regulations </w:t>
            </w:r>
          </w:p>
        </w:tc>
        <w:tc>
          <w:tcPr>
            <w:tcW w:w="2694" w:type="dxa"/>
            <w:shd w:val="clear" w:color="auto" w:fill="auto"/>
            <w:vAlign w:val="center"/>
          </w:tcPr>
          <w:p w14:paraId="5A4CCED0" w14:textId="77777777" w:rsidR="007B5515" w:rsidRPr="008D164F" w:rsidRDefault="007B5515" w:rsidP="008D164F">
            <w:pPr>
              <w:keepNext/>
              <w:keepLines/>
              <w:spacing w:before="60" w:after="60" w:line="240" w:lineRule="auto"/>
              <w:jc w:val="center"/>
              <w:rPr>
                <w:rFonts w:ascii="Arial" w:eastAsiaTheme="minorHAnsi" w:hAnsi="Arial"/>
                <w:sz w:val="20"/>
                <w:szCs w:val="20"/>
              </w:rPr>
            </w:pPr>
            <w:r w:rsidRPr="008D164F">
              <w:rPr>
                <w:rFonts w:ascii="Arial" w:eastAsiaTheme="minorHAnsi" w:hAnsi="Arial"/>
                <w:sz w:val="20"/>
                <w:szCs w:val="20"/>
              </w:rPr>
              <w:t>5, 8, 14, 15, 16, 20</w:t>
            </w:r>
          </w:p>
        </w:tc>
        <w:tc>
          <w:tcPr>
            <w:tcW w:w="2275" w:type="dxa"/>
            <w:shd w:val="clear" w:color="auto" w:fill="auto"/>
            <w:vAlign w:val="center"/>
          </w:tcPr>
          <w:p w14:paraId="4FA6D5DB" w14:textId="77777777" w:rsidR="007B5515" w:rsidRPr="008D164F" w:rsidRDefault="007B5515" w:rsidP="008D164F">
            <w:pPr>
              <w:keepNext/>
              <w:keepLines/>
              <w:spacing w:before="60" w:after="60" w:line="240" w:lineRule="auto"/>
              <w:jc w:val="center"/>
              <w:rPr>
                <w:rFonts w:ascii="Arial" w:eastAsiaTheme="minorHAnsi" w:hAnsi="Arial"/>
                <w:sz w:val="20"/>
                <w:szCs w:val="20"/>
              </w:rPr>
            </w:pPr>
            <w:r w:rsidRPr="008D164F">
              <w:rPr>
                <w:rFonts w:ascii="Arial" w:eastAsiaTheme="minorHAnsi" w:hAnsi="Arial"/>
                <w:sz w:val="20"/>
                <w:szCs w:val="20"/>
              </w:rPr>
              <w:t>Short to medium</w:t>
            </w:r>
            <w:r w:rsidRPr="008D164F">
              <w:rPr>
                <w:rFonts w:ascii="Arial" w:eastAsiaTheme="minorHAnsi" w:hAnsi="Arial"/>
                <w:sz w:val="20"/>
                <w:szCs w:val="20"/>
              </w:rPr>
              <w:noBreakHyphen/>
              <w:t>term</w:t>
            </w:r>
          </w:p>
        </w:tc>
      </w:tr>
      <w:tr w:rsidR="007B5515" w:rsidRPr="001F1ABB" w14:paraId="7D67605B" w14:textId="77777777" w:rsidTr="003D3F57">
        <w:trPr>
          <w:cantSplit/>
          <w:trHeight w:hRule="exact" w:val="518"/>
        </w:trPr>
        <w:tc>
          <w:tcPr>
            <w:tcW w:w="5039" w:type="dxa"/>
            <w:shd w:val="clear" w:color="auto" w:fill="F2F2F2" w:themeFill="background1" w:themeFillShade="F2"/>
            <w:vAlign w:val="center"/>
          </w:tcPr>
          <w:p w14:paraId="64503FD5" w14:textId="77777777" w:rsidR="007B5515" w:rsidRPr="008D164F" w:rsidRDefault="007B5515" w:rsidP="008D164F">
            <w:pPr>
              <w:keepNext/>
              <w:keepLines/>
              <w:spacing w:before="60" w:after="60" w:line="240" w:lineRule="auto"/>
              <w:rPr>
                <w:rFonts w:ascii="Arial" w:eastAsiaTheme="minorHAnsi" w:hAnsi="Arial"/>
                <w:sz w:val="20"/>
                <w:szCs w:val="20"/>
              </w:rPr>
            </w:pPr>
            <w:r w:rsidRPr="008D164F">
              <w:rPr>
                <w:rFonts w:ascii="Arial" w:eastAsiaTheme="minorHAnsi" w:hAnsi="Arial"/>
                <w:sz w:val="20"/>
                <w:szCs w:val="20"/>
              </w:rPr>
              <w:t>Creation of new Council inspection policies</w:t>
            </w:r>
          </w:p>
        </w:tc>
        <w:tc>
          <w:tcPr>
            <w:tcW w:w="2694" w:type="dxa"/>
            <w:shd w:val="clear" w:color="auto" w:fill="auto"/>
            <w:vAlign w:val="center"/>
          </w:tcPr>
          <w:p w14:paraId="75ADCD9B" w14:textId="77777777" w:rsidR="007B5515" w:rsidRPr="008D164F" w:rsidRDefault="007B5515" w:rsidP="008D164F">
            <w:pPr>
              <w:keepNext/>
              <w:keepLines/>
              <w:spacing w:before="60" w:after="60" w:line="240" w:lineRule="auto"/>
              <w:jc w:val="center"/>
              <w:rPr>
                <w:rFonts w:ascii="Arial" w:eastAsiaTheme="minorHAnsi" w:hAnsi="Arial"/>
                <w:sz w:val="20"/>
                <w:szCs w:val="20"/>
              </w:rPr>
            </w:pPr>
            <w:r w:rsidRPr="008D164F">
              <w:rPr>
                <w:rFonts w:ascii="Arial" w:eastAsiaTheme="minorHAnsi" w:hAnsi="Arial"/>
                <w:sz w:val="20"/>
                <w:szCs w:val="20"/>
              </w:rPr>
              <w:t>6, 7, 11, 18</w:t>
            </w:r>
          </w:p>
        </w:tc>
        <w:tc>
          <w:tcPr>
            <w:tcW w:w="2275" w:type="dxa"/>
            <w:shd w:val="clear" w:color="auto" w:fill="auto"/>
            <w:vAlign w:val="center"/>
          </w:tcPr>
          <w:p w14:paraId="27B59D7C" w14:textId="77777777" w:rsidR="007B5515" w:rsidRPr="008D164F" w:rsidRDefault="007B5515" w:rsidP="008D164F">
            <w:pPr>
              <w:keepNext/>
              <w:keepLines/>
              <w:spacing w:before="60" w:after="60" w:line="240" w:lineRule="auto"/>
              <w:jc w:val="center"/>
              <w:rPr>
                <w:rFonts w:ascii="Arial" w:eastAsiaTheme="minorHAnsi" w:hAnsi="Arial"/>
                <w:sz w:val="20"/>
                <w:szCs w:val="20"/>
              </w:rPr>
            </w:pPr>
            <w:r w:rsidRPr="008D164F">
              <w:rPr>
                <w:rFonts w:ascii="Arial" w:eastAsiaTheme="minorHAnsi" w:hAnsi="Arial"/>
                <w:sz w:val="20"/>
                <w:szCs w:val="20"/>
              </w:rPr>
              <w:t>Short term</w:t>
            </w:r>
          </w:p>
        </w:tc>
      </w:tr>
      <w:tr w:rsidR="007B5515" w:rsidRPr="001F1ABB" w14:paraId="37A17129" w14:textId="77777777" w:rsidTr="003D3F57">
        <w:trPr>
          <w:cantSplit/>
          <w:trHeight w:hRule="exact" w:val="829"/>
        </w:trPr>
        <w:tc>
          <w:tcPr>
            <w:tcW w:w="5039" w:type="dxa"/>
            <w:shd w:val="clear" w:color="auto" w:fill="F2F2F2" w:themeFill="background1" w:themeFillShade="F2"/>
            <w:vAlign w:val="center"/>
          </w:tcPr>
          <w:p w14:paraId="01E879C0" w14:textId="70C25842" w:rsidR="007B5515" w:rsidRPr="008D164F" w:rsidRDefault="007B5515" w:rsidP="008D164F">
            <w:pPr>
              <w:keepNext/>
              <w:keepLines/>
              <w:spacing w:before="60" w:after="60" w:line="240" w:lineRule="auto"/>
              <w:rPr>
                <w:rFonts w:ascii="Arial" w:eastAsiaTheme="minorHAnsi" w:hAnsi="Arial"/>
                <w:sz w:val="20"/>
                <w:szCs w:val="20"/>
              </w:rPr>
            </w:pPr>
            <w:r w:rsidRPr="008D164F">
              <w:rPr>
                <w:rFonts w:ascii="Arial" w:eastAsiaTheme="minorHAnsi" w:hAnsi="Arial"/>
                <w:sz w:val="20"/>
                <w:szCs w:val="20"/>
              </w:rPr>
              <w:t>Delivery of the state-wide e</w:t>
            </w:r>
            <w:r w:rsidR="00CB20D6" w:rsidRPr="008D164F">
              <w:rPr>
                <w:rFonts w:ascii="Arial" w:eastAsiaTheme="minorHAnsi" w:hAnsi="Arial"/>
                <w:sz w:val="20"/>
                <w:szCs w:val="20"/>
              </w:rPr>
              <w:t>P</w:t>
            </w:r>
            <w:r w:rsidRPr="008D164F">
              <w:rPr>
                <w:rFonts w:ascii="Arial" w:eastAsiaTheme="minorHAnsi" w:hAnsi="Arial"/>
                <w:sz w:val="20"/>
                <w:szCs w:val="20"/>
              </w:rPr>
              <w:t xml:space="preserve">lanning platform for development assessment </w:t>
            </w:r>
          </w:p>
        </w:tc>
        <w:tc>
          <w:tcPr>
            <w:tcW w:w="2694" w:type="dxa"/>
            <w:shd w:val="clear" w:color="auto" w:fill="auto"/>
            <w:vAlign w:val="center"/>
          </w:tcPr>
          <w:p w14:paraId="4E93636F" w14:textId="2DB7DCBF" w:rsidR="007B5515" w:rsidRPr="008D164F" w:rsidRDefault="007B5515" w:rsidP="008D164F">
            <w:pPr>
              <w:keepNext/>
              <w:keepLines/>
              <w:spacing w:before="60" w:after="60" w:line="240" w:lineRule="auto"/>
              <w:jc w:val="center"/>
              <w:rPr>
                <w:rFonts w:ascii="Arial" w:eastAsiaTheme="minorHAnsi" w:hAnsi="Arial"/>
                <w:sz w:val="20"/>
                <w:szCs w:val="20"/>
              </w:rPr>
            </w:pPr>
            <w:r w:rsidRPr="008D164F">
              <w:rPr>
                <w:rFonts w:ascii="Arial" w:eastAsiaTheme="minorHAnsi" w:hAnsi="Arial"/>
                <w:sz w:val="20"/>
                <w:szCs w:val="20"/>
              </w:rPr>
              <w:t>1, 8, 12</w:t>
            </w:r>
          </w:p>
        </w:tc>
        <w:tc>
          <w:tcPr>
            <w:tcW w:w="2275" w:type="dxa"/>
            <w:shd w:val="clear" w:color="auto" w:fill="auto"/>
            <w:vAlign w:val="center"/>
          </w:tcPr>
          <w:p w14:paraId="075A8B5F" w14:textId="019C5425" w:rsidR="007B5515" w:rsidRPr="008D164F" w:rsidRDefault="007B5515" w:rsidP="008D164F">
            <w:pPr>
              <w:keepNext/>
              <w:keepLines/>
              <w:spacing w:before="60" w:after="60" w:line="240" w:lineRule="auto"/>
              <w:jc w:val="center"/>
              <w:rPr>
                <w:rFonts w:ascii="Arial" w:eastAsiaTheme="minorHAnsi" w:hAnsi="Arial"/>
                <w:sz w:val="20"/>
                <w:szCs w:val="20"/>
              </w:rPr>
            </w:pPr>
            <w:r w:rsidRPr="008D164F">
              <w:rPr>
                <w:rFonts w:ascii="Arial" w:eastAsiaTheme="minorHAnsi" w:hAnsi="Arial"/>
                <w:sz w:val="20"/>
                <w:szCs w:val="20"/>
              </w:rPr>
              <w:t>Medium to long-term</w:t>
            </w:r>
          </w:p>
        </w:tc>
      </w:tr>
    </w:tbl>
    <w:p w14:paraId="477F0DD5" w14:textId="77777777" w:rsidR="007B5515" w:rsidRPr="00892ACF" w:rsidRDefault="007B5515" w:rsidP="005C7A68">
      <w:pPr>
        <w:pStyle w:val="Heading3"/>
      </w:pPr>
      <w:r w:rsidRPr="00892ACF">
        <w:t>Next steps</w:t>
      </w:r>
    </w:p>
    <w:p w14:paraId="4136246C" w14:textId="6C4FB21A" w:rsidR="007B5515" w:rsidRPr="00744D51" w:rsidRDefault="007B5515" w:rsidP="00744D51">
      <w:pPr>
        <w:ind w:right="-568"/>
        <w:rPr>
          <w:rFonts w:ascii="Arial" w:eastAsiaTheme="minorHAnsi" w:hAnsi="Arial"/>
        </w:rPr>
      </w:pPr>
      <w:r w:rsidRPr="008757A3">
        <w:rPr>
          <w:rFonts w:ascii="Arial" w:eastAsiaTheme="minorHAnsi" w:hAnsi="Arial"/>
        </w:rPr>
        <w:t>The South Australian Government will develop the above reforms in conjunction with key stakeholders to ensure that the reforms are developed and implemented effectively. Ongoing work will be required to ensure that the reforms can be implement</w:t>
      </w:r>
      <w:r w:rsidR="00744D51">
        <w:rPr>
          <w:rFonts w:ascii="Arial" w:eastAsiaTheme="minorHAnsi" w:hAnsi="Arial"/>
        </w:rPr>
        <w:t xml:space="preserve">ed in the proposed timeframes. </w:t>
      </w:r>
    </w:p>
    <w:p w14:paraId="55201C06" w14:textId="77777777" w:rsidR="007B5515" w:rsidRDefault="007B5515" w:rsidP="007B5515">
      <w:r>
        <w:br w:type="page"/>
      </w:r>
    </w:p>
    <w:p w14:paraId="4BDFF562" w14:textId="77777777" w:rsidR="007B5515" w:rsidRPr="000E1ADB" w:rsidRDefault="007B5515" w:rsidP="00744D51">
      <w:pPr>
        <w:pStyle w:val="Heading2"/>
        <w:rPr>
          <w:b/>
        </w:rPr>
      </w:pPr>
      <w:bookmarkStart w:id="28" w:name="_Toc3991431"/>
      <w:r w:rsidRPr="000E1ADB">
        <w:lastRenderedPageBreak/>
        <w:t>Tasmania</w:t>
      </w:r>
      <w:bookmarkEnd w:id="28"/>
    </w:p>
    <w:p w14:paraId="69D59D52" w14:textId="77777777" w:rsidR="007B5515" w:rsidRPr="00892ACF" w:rsidRDefault="007B5515" w:rsidP="005C7A68">
      <w:pPr>
        <w:pStyle w:val="Heading3"/>
      </w:pPr>
      <w:r w:rsidRPr="00892ACF">
        <w:t>Overview</w:t>
      </w:r>
    </w:p>
    <w:p w14:paraId="43014222" w14:textId="609810D8" w:rsidR="007B5515" w:rsidRPr="005076A9" w:rsidRDefault="007B5515" w:rsidP="007B5515">
      <w:pPr>
        <w:rPr>
          <w:rFonts w:ascii="Arial" w:eastAsiaTheme="minorHAnsi" w:hAnsi="Arial"/>
        </w:rPr>
      </w:pPr>
      <w:r w:rsidRPr="005076A9">
        <w:rPr>
          <w:rFonts w:ascii="Arial" w:eastAsiaTheme="minorHAnsi" w:hAnsi="Arial"/>
        </w:rPr>
        <w:t xml:space="preserve">During 2015–16 Tasmania undertook a building reform program that resulted in the </w:t>
      </w:r>
      <w:r w:rsidR="003D3F57">
        <w:rPr>
          <w:rFonts w:ascii="Arial" w:eastAsiaTheme="minorHAnsi" w:hAnsi="Arial"/>
          <w:i/>
        </w:rPr>
        <w:t>Building Act </w:t>
      </w:r>
      <w:r w:rsidRPr="003D3F57">
        <w:rPr>
          <w:rFonts w:ascii="Arial" w:eastAsiaTheme="minorHAnsi" w:hAnsi="Arial"/>
          <w:i/>
        </w:rPr>
        <w:t>2016</w:t>
      </w:r>
      <w:r w:rsidRPr="005076A9">
        <w:rPr>
          <w:rFonts w:ascii="Arial" w:eastAsiaTheme="minorHAnsi" w:hAnsi="Arial"/>
        </w:rPr>
        <w:t>, which came into force on 1 January 2017.</w:t>
      </w:r>
      <w:r w:rsidR="00086FFD">
        <w:rPr>
          <w:rFonts w:ascii="Arial" w:eastAsiaTheme="minorHAnsi" w:hAnsi="Arial"/>
        </w:rPr>
        <w:t xml:space="preserve"> </w:t>
      </w:r>
      <w:r w:rsidRPr="005076A9">
        <w:rPr>
          <w:rFonts w:ascii="Arial" w:eastAsiaTheme="minorHAnsi" w:hAnsi="Arial"/>
        </w:rPr>
        <w:t xml:space="preserve">Many of the recommendations from the </w:t>
      </w:r>
      <w:r w:rsidRPr="003D3F57">
        <w:rPr>
          <w:rFonts w:ascii="Arial" w:eastAsiaTheme="minorHAnsi" w:hAnsi="Arial"/>
          <w:i/>
        </w:rPr>
        <w:t>Building Confidence</w:t>
      </w:r>
      <w:r w:rsidRPr="005076A9">
        <w:rPr>
          <w:rFonts w:ascii="Arial" w:eastAsiaTheme="minorHAnsi" w:hAnsi="Arial"/>
        </w:rPr>
        <w:t xml:space="preserve"> report were implemented through the </w:t>
      </w:r>
      <w:r w:rsidRPr="005076A9">
        <w:rPr>
          <w:rFonts w:ascii="Arial" w:eastAsiaTheme="minorHAnsi" w:hAnsi="Arial"/>
          <w:i/>
        </w:rPr>
        <w:t>Building Act 2016</w:t>
      </w:r>
      <w:r w:rsidRPr="005076A9">
        <w:rPr>
          <w:rFonts w:ascii="Arial" w:eastAsiaTheme="minorHAnsi" w:hAnsi="Arial"/>
        </w:rPr>
        <w:t xml:space="preserve">, the </w:t>
      </w:r>
      <w:r w:rsidRPr="005076A9">
        <w:rPr>
          <w:rFonts w:ascii="Arial" w:eastAsiaTheme="minorHAnsi" w:hAnsi="Arial"/>
          <w:i/>
        </w:rPr>
        <w:t xml:space="preserve">Occupational Licensing Act 2005 </w:t>
      </w:r>
      <w:r w:rsidRPr="005076A9">
        <w:rPr>
          <w:rFonts w:ascii="Arial" w:eastAsiaTheme="minorHAnsi" w:hAnsi="Arial"/>
        </w:rPr>
        <w:t>and associated regulations</w:t>
      </w:r>
      <w:r w:rsidR="005076A9">
        <w:rPr>
          <w:rFonts w:ascii="Arial" w:eastAsiaTheme="minorHAnsi" w:hAnsi="Arial"/>
        </w:rPr>
        <w:t xml:space="preserve">. </w:t>
      </w:r>
      <w:r w:rsidRPr="005076A9">
        <w:rPr>
          <w:rFonts w:ascii="Arial" w:eastAsiaTheme="minorHAnsi" w:hAnsi="Arial"/>
        </w:rPr>
        <w:t>Recommendations 1–4, 7–11, 13 and 15–18 have been fully implemented under either one of these Acts.</w:t>
      </w:r>
      <w:r w:rsidR="00086FFD">
        <w:rPr>
          <w:rFonts w:ascii="Arial" w:eastAsiaTheme="minorHAnsi" w:hAnsi="Arial"/>
        </w:rPr>
        <w:t xml:space="preserve"> </w:t>
      </w:r>
      <w:r w:rsidRPr="005076A9">
        <w:rPr>
          <w:rFonts w:ascii="Arial" w:eastAsiaTheme="minorHAnsi" w:hAnsi="Arial"/>
        </w:rPr>
        <w:t>Priority recommendations set by the BMF (1, 2, 9–11, 13 and 24) have been fully implemented in Tasmania and recommendation 23 is fully supported.</w:t>
      </w:r>
      <w:r w:rsidR="00086FFD">
        <w:rPr>
          <w:rFonts w:ascii="Arial" w:eastAsiaTheme="minorHAnsi" w:hAnsi="Arial"/>
        </w:rPr>
        <w:t xml:space="preserve"> </w:t>
      </w:r>
    </w:p>
    <w:p w14:paraId="2252E90C" w14:textId="5B1AF3DE" w:rsidR="007B5515" w:rsidRPr="005076A9" w:rsidRDefault="007B5515" w:rsidP="007B5515">
      <w:pPr>
        <w:rPr>
          <w:rFonts w:ascii="Arial" w:eastAsiaTheme="minorHAnsi" w:hAnsi="Arial"/>
        </w:rPr>
      </w:pPr>
      <w:r w:rsidRPr="005076A9">
        <w:rPr>
          <w:rFonts w:ascii="Arial" w:eastAsiaTheme="minorHAnsi" w:hAnsi="Arial"/>
        </w:rPr>
        <w:t>Work is continuing on recommendations that have either been parti</w:t>
      </w:r>
      <w:r w:rsidR="005076A9">
        <w:rPr>
          <w:rFonts w:ascii="Arial" w:eastAsiaTheme="minorHAnsi" w:hAnsi="Arial"/>
        </w:rPr>
        <w:t>ally implemented or supported.</w:t>
      </w:r>
      <w:r w:rsidR="00086FFD">
        <w:rPr>
          <w:rFonts w:ascii="Arial" w:eastAsiaTheme="minorHAnsi" w:hAnsi="Arial"/>
        </w:rPr>
        <w:t xml:space="preserve"> </w:t>
      </w:r>
      <w:r w:rsidRPr="005076A9">
        <w:rPr>
          <w:rFonts w:ascii="Arial" w:eastAsiaTheme="minorHAnsi" w:hAnsi="Arial"/>
        </w:rPr>
        <w:t>Tasmania is currently supporting reforms to the implementation of a nationally consistent model, and is participating in SOG working groups for the priority recommendations.</w:t>
      </w:r>
    </w:p>
    <w:p w14:paraId="61C32AE7" w14:textId="77777777" w:rsidR="007B5515" w:rsidRPr="00892ACF" w:rsidRDefault="007B5515" w:rsidP="005C7A68">
      <w:pPr>
        <w:pStyle w:val="Heading3"/>
      </w:pPr>
      <w:r w:rsidRPr="00892ACF">
        <w:t>Reforms underway</w:t>
      </w:r>
    </w:p>
    <w:p w14:paraId="1751CCF1" w14:textId="69C5A101" w:rsidR="007B5515" w:rsidRPr="005076A9" w:rsidRDefault="007B5515" w:rsidP="007B5515">
      <w:pPr>
        <w:rPr>
          <w:rFonts w:ascii="Arial" w:eastAsiaTheme="minorHAnsi" w:hAnsi="Arial"/>
        </w:rPr>
      </w:pPr>
      <w:r w:rsidRPr="005076A9">
        <w:rPr>
          <w:rFonts w:ascii="Arial" w:eastAsiaTheme="minorHAnsi" w:hAnsi="Arial"/>
        </w:rPr>
        <w:t>Work is currently underway to fully implement the recommendations that have already been partially implemented in Tasmania.</w:t>
      </w:r>
      <w:r w:rsidR="00086FFD">
        <w:rPr>
          <w:rFonts w:ascii="Arial" w:eastAsiaTheme="minorHAnsi" w:hAnsi="Arial"/>
        </w:rPr>
        <w:t xml:space="preserve"> </w:t>
      </w:r>
      <w:r w:rsidRPr="005076A9">
        <w:rPr>
          <w:rFonts w:ascii="Arial" w:eastAsiaTheme="minorHAnsi" w:hAnsi="Arial"/>
        </w:rPr>
        <w:t>Tasmania does have licensing requirements for most of the practitioners involved in building work, but not for building inspector and site/project manager.</w:t>
      </w:r>
      <w:r w:rsidR="00086FFD">
        <w:rPr>
          <w:rFonts w:ascii="Arial" w:eastAsiaTheme="minorHAnsi" w:hAnsi="Arial"/>
        </w:rPr>
        <w:t xml:space="preserve"> </w:t>
      </w:r>
      <w:r w:rsidRPr="005076A9">
        <w:rPr>
          <w:rFonts w:ascii="Arial" w:eastAsiaTheme="minorHAnsi" w:hAnsi="Arial"/>
        </w:rPr>
        <w:t>The category of Building Inspector has been drafted and is currently in stakeholder consultation.</w:t>
      </w:r>
      <w:r w:rsidR="00086FFD">
        <w:rPr>
          <w:rFonts w:ascii="Arial" w:eastAsiaTheme="minorHAnsi" w:hAnsi="Arial"/>
        </w:rPr>
        <w:t xml:space="preserve"> </w:t>
      </w:r>
      <w:r w:rsidRPr="005076A9">
        <w:rPr>
          <w:rFonts w:ascii="Arial" w:eastAsiaTheme="minorHAnsi" w:hAnsi="Arial"/>
        </w:rPr>
        <w:t>The category of site/project manager will be considered at a later stage, although the licensing requirements for builders is considered to adequately address this need in the short-term.</w:t>
      </w:r>
    </w:p>
    <w:p w14:paraId="382FF80B" w14:textId="77777777" w:rsidR="007B5515" w:rsidRPr="005076A9" w:rsidRDefault="007B5515" w:rsidP="007B5515">
      <w:pPr>
        <w:rPr>
          <w:rFonts w:ascii="Arial" w:eastAsiaTheme="minorHAnsi" w:hAnsi="Arial"/>
        </w:rPr>
      </w:pPr>
      <w:r w:rsidRPr="005076A9">
        <w:rPr>
          <w:rFonts w:ascii="Arial" w:eastAsiaTheme="minorHAnsi" w:hAnsi="Arial"/>
        </w:rPr>
        <w:t>To implement recommendation 12, funded work has commenced on the development of an online portal that will result in a database of building work in Tasmania and is expected to be online in 2021.</w:t>
      </w:r>
    </w:p>
    <w:p w14:paraId="234B8435" w14:textId="77777777" w:rsidR="007B5515" w:rsidRPr="005076A9" w:rsidRDefault="007B5515" w:rsidP="007B5515">
      <w:pPr>
        <w:rPr>
          <w:rFonts w:ascii="Arial" w:eastAsiaTheme="minorHAnsi" w:hAnsi="Arial"/>
        </w:rPr>
      </w:pPr>
      <w:r w:rsidRPr="005076A9">
        <w:rPr>
          <w:rFonts w:ascii="Arial" w:eastAsiaTheme="minorHAnsi" w:hAnsi="Arial"/>
        </w:rPr>
        <w:t>During the reform program in 2015–16, the proposal of a building manual for commercial buildings was not adopted, however, the work will now be used to implement recommendation 20.</w:t>
      </w:r>
    </w:p>
    <w:p w14:paraId="231BA04D" w14:textId="77777777" w:rsidR="007B5515" w:rsidRPr="005076A9" w:rsidRDefault="007B5515" w:rsidP="007B5515">
      <w:pPr>
        <w:rPr>
          <w:rFonts w:ascii="Arial" w:eastAsiaTheme="minorHAnsi" w:hAnsi="Arial"/>
        </w:rPr>
      </w:pPr>
      <w:r w:rsidRPr="005076A9">
        <w:rPr>
          <w:rFonts w:ascii="Arial" w:eastAsiaTheme="minorHAnsi" w:hAnsi="Arial"/>
        </w:rPr>
        <w:t>Inclusion of performance solutions information on occupancy permits is supported and the implementation is under review.</w:t>
      </w:r>
    </w:p>
    <w:p w14:paraId="75E1628A" w14:textId="74DAEBC0" w:rsidR="007B5515" w:rsidRPr="005076A9" w:rsidRDefault="007B5515" w:rsidP="007B5515">
      <w:pPr>
        <w:rPr>
          <w:rFonts w:ascii="Arial" w:eastAsiaTheme="minorHAnsi" w:hAnsi="Arial"/>
        </w:rPr>
      </w:pPr>
      <w:r w:rsidRPr="005076A9">
        <w:rPr>
          <w:rFonts w:ascii="Arial" w:eastAsiaTheme="minorHAnsi" w:hAnsi="Arial"/>
        </w:rPr>
        <w:t>Tasmania has implemented a process that requires specified high-risk building products to undergo a state accreditation process.</w:t>
      </w:r>
      <w:r w:rsidR="00086FFD">
        <w:rPr>
          <w:rFonts w:ascii="Arial" w:eastAsiaTheme="minorHAnsi" w:hAnsi="Arial"/>
        </w:rPr>
        <w:t xml:space="preserve"> </w:t>
      </w:r>
      <w:r w:rsidRPr="005076A9">
        <w:rPr>
          <w:rFonts w:ascii="Arial" w:eastAsiaTheme="minorHAnsi" w:hAnsi="Arial"/>
        </w:rPr>
        <w:t>In support of recommendation 21, Tasmania will continue to work at a national level for a consistent approach to be adopted nationally.</w:t>
      </w:r>
    </w:p>
    <w:p w14:paraId="628E4DA7" w14:textId="77777777" w:rsidR="007B5515" w:rsidRPr="00892ACF" w:rsidRDefault="007B5515" w:rsidP="005C7A68">
      <w:pPr>
        <w:pStyle w:val="Heading3"/>
      </w:pPr>
      <w:r w:rsidRPr="00892ACF">
        <w:t>Planned reforms</w:t>
      </w:r>
    </w:p>
    <w:p w14:paraId="7EA9F45F" w14:textId="60D25840" w:rsidR="007B5515" w:rsidRPr="005076A9" w:rsidRDefault="007B5515" w:rsidP="007B5515">
      <w:pPr>
        <w:rPr>
          <w:rFonts w:ascii="Arial" w:eastAsiaTheme="minorHAnsi" w:hAnsi="Arial"/>
        </w:rPr>
      </w:pPr>
      <w:r w:rsidRPr="005076A9">
        <w:rPr>
          <w:rFonts w:ascii="Arial" w:eastAsiaTheme="minorHAnsi" w:hAnsi="Arial"/>
        </w:rPr>
        <w:t>Reforms are currently being implemented or considered in the remaining five recommendations that Tasmania supports.</w:t>
      </w:r>
      <w:r w:rsidR="00086FFD">
        <w:rPr>
          <w:rFonts w:ascii="Arial" w:eastAsiaTheme="minorHAnsi" w:hAnsi="Arial"/>
        </w:rPr>
        <w:t xml:space="preserve"> </w:t>
      </w:r>
      <w:r w:rsidRPr="005076A9">
        <w:rPr>
          <w:rFonts w:ascii="Arial" w:eastAsiaTheme="minorHAnsi" w:hAnsi="Arial"/>
        </w:rPr>
        <w:t>Some of these recommendations will require a national approach.</w:t>
      </w:r>
    </w:p>
    <w:p w14:paraId="5910E775" w14:textId="51927AC3" w:rsidR="007B5515" w:rsidRPr="005076A9" w:rsidRDefault="007B5515" w:rsidP="007B5515">
      <w:pPr>
        <w:rPr>
          <w:rFonts w:ascii="Arial" w:eastAsiaTheme="minorHAnsi" w:hAnsi="Arial"/>
        </w:rPr>
      </w:pPr>
      <w:r w:rsidRPr="005076A9">
        <w:rPr>
          <w:rFonts w:ascii="Arial" w:eastAsiaTheme="minorHAnsi" w:hAnsi="Arial"/>
        </w:rPr>
        <w:t>Reforms are being considered for a more collaborative approach between relevant bodies with regulatory oversight.</w:t>
      </w:r>
      <w:r w:rsidR="00086FFD">
        <w:rPr>
          <w:rFonts w:ascii="Arial" w:eastAsiaTheme="minorHAnsi" w:hAnsi="Arial"/>
        </w:rPr>
        <w:t xml:space="preserve"> </w:t>
      </w:r>
      <w:r w:rsidRPr="005076A9">
        <w:rPr>
          <w:rFonts w:ascii="Arial" w:eastAsiaTheme="minorHAnsi" w:hAnsi="Arial"/>
        </w:rPr>
        <w:t>A working group was established during the reform program in 2015–16, comprising state and local government, industry and the Tasmanian Fire Service.</w:t>
      </w:r>
      <w:r w:rsidR="00086FFD">
        <w:rPr>
          <w:rFonts w:ascii="Arial" w:eastAsiaTheme="minorHAnsi" w:hAnsi="Arial"/>
        </w:rPr>
        <w:t xml:space="preserve"> </w:t>
      </w:r>
      <w:r w:rsidRPr="005076A9">
        <w:rPr>
          <w:rFonts w:ascii="Arial" w:eastAsiaTheme="minorHAnsi" w:hAnsi="Arial"/>
        </w:rPr>
        <w:t>Whilst these working groups have continued during the implementation of the reforms, a more structured framework for the ongoing activities will be established.</w:t>
      </w:r>
    </w:p>
    <w:p w14:paraId="788C5296" w14:textId="6F93A8D8" w:rsidR="007B5515" w:rsidRPr="005076A9" w:rsidRDefault="007B5515" w:rsidP="009C6385">
      <w:pPr>
        <w:keepLines/>
        <w:rPr>
          <w:rFonts w:ascii="Arial" w:eastAsiaTheme="minorHAnsi" w:hAnsi="Arial"/>
        </w:rPr>
      </w:pPr>
      <w:r w:rsidRPr="005076A9">
        <w:rPr>
          <w:rFonts w:ascii="Arial" w:eastAsiaTheme="minorHAnsi" w:hAnsi="Arial"/>
        </w:rPr>
        <w:lastRenderedPageBreak/>
        <w:t>Support will be given to the creation of a national dictionary of building terminology through involvement in the ABCB Board and building/plumbing codes committees.</w:t>
      </w:r>
      <w:r w:rsidR="00086FFD">
        <w:rPr>
          <w:rFonts w:ascii="Arial" w:eastAsiaTheme="minorHAnsi" w:hAnsi="Arial"/>
        </w:rPr>
        <w:t xml:space="preserve"> </w:t>
      </w:r>
      <w:r w:rsidRPr="005076A9">
        <w:rPr>
          <w:rFonts w:ascii="Arial" w:eastAsiaTheme="minorHAnsi" w:hAnsi="Arial"/>
        </w:rPr>
        <w:t xml:space="preserve">Tasmania will continue to work through the BMF and SOG to implement the recommendations of the </w:t>
      </w:r>
      <w:r w:rsidRPr="005076A9">
        <w:rPr>
          <w:rFonts w:ascii="Arial" w:eastAsiaTheme="minorHAnsi" w:hAnsi="Arial"/>
          <w:i/>
        </w:rPr>
        <w:t>Building Confidence</w:t>
      </w:r>
      <w:r w:rsidRPr="005076A9">
        <w:rPr>
          <w:rFonts w:ascii="Arial" w:eastAsiaTheme="minorHAnsi" w:hAnsi="Arial"/>
        </w:rPr>
        <w:t xml:space="preserve"> report.</w:t>
      </w:r>
    </w:p>
    <w:p w14:paraId="3A493197" w14:textId="77777777" w:rsidR="007B5515" w:rsidRPr="00892ACF" w:rsidRDefault="007B5515" w:rsidP="005C7A68">
      <w:pPr>
        <w:pStyle w:val="Heading3"/>
      </w:pPr>
      <w:r w:rsidRPr="00892ACF">
        <w:t>Timeframes</w:t>
      </w:r>
    </w:p>
    <w:tbl>
      <w:tblPr>
        <w:tblW w:w="950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098"/>
        <w:gridCol w:w="2083"/>
        <w:gridCol w:w="2324"/>
      </w:tblGrid>
      <w:tr w:rsidR="007B5515" w:rsidRPr="005A538B" w14:paraId="35D27AED" w14:textId="77777777" w:rsidTr="000E2B6D">
        <w:tc>
          <w:tcPr>
            <w:tcW w:w="5098" w:type="dxa"/>
            <w:shd w:val="clear" w:color="auto" w:fill="005677"/>
            <w:vAlign w:val="center"/>
          </w:tcPr>
          <w:p w14:paraId="25003351" w14:textId="77777777" w:rsidR="007B5515" w:rsidRPr="008D164F" w:rsidRDefault="007B5515" w:rsidP="000E2B6D">
            <w:pPr>
              <w:spacing w:before="60" w:after="60" w:line="240" w:lineRule="auto"/>
              <w:jc w:val="center"/>
              <w:rPr>
                <w:rFonts w:ascii="Arial" w:eastAsiaTheme="minorHAnsi" w:hAnsi="Arial"/>
                <w:b/>
                <w:bCs/>
                <w:color w:val="FFFFFF" w:themeColor="background1"/>
                <w:sz w:val="20"/>
                <w:szCs w:val="20"/>
              </w:rPr>
            </w:pPr>
            <w:r w:rsidRPr="008D164F">
              <w:rPr>
                <w:rFonts w:ascii="Arial" w:eastAsiaTheme="minorHAnsi" w:hAnsi="Arial"/>
                <w:b/>
                <w:bCs/>
                <w:color w:val="FFFFFF" w:themeColor="background1"/>
                <w:sz w:val="20"/>
                <w:szCs w:val="20"/>
              </w:rPr>
              <w:t>Reform</w:t>
            </w:r>
          </w:p>
        </w:tc>
        <w:tc>
          <w:tcPr>
            <w:tcW w:w="2083" w:type="dxa"/>
            <w:shd w:val="clear" w:color="auto" w:fill="005677"/>
            <w:vAlign w:val="center"/>
          </w:tcPr>
          <w:p w14:paraId="13BD6C84" w14:textId="77777777" w:rsidR="007B5515" w:rsidRPr="008D164F" w:rsidRDefault="007B5515" w:rsidP="000E2B6D">
            <w:pPr>
              <w:spacing w:before="60" w:after="60" w:line="240" w:lineRule="auto"/>
              <w:jc w:val="center"/>
              <w:rPr>
                <w:rFonts w:ascii="Arial" w:eastAsiaTheme="minorHAnsi" w:hAnsi="Arial"/>
                <w:b/>
                <w:bCs/>
                <w:color w:val="FFFFFF" w:themeColor="background1"/>
                <w:sz w:val="20"/>
                <w:szCs w:val="20"/>
              </w:rPr>
            </w:pPr>
            <w:r w:rsidRPr="008D164F">
              <w:rPr>
                <w:rFonts w:ascii="Arial" w:eastAsiaTheme="minorHAnsi" w:hAnsi="Arial"/>
                <w:b/>
                <w:bCs/>
                <w:color w:val="FFFFFF" w:themeColor="background1"/>
                <w:sz w:val="20"/>
                <w:szCs w:val="20"/>
              </w:rPr>
              <w:t>Associated recommendation</w:t>
            </w:r>
          </w:p>
        </w:tc>
        <w:tc>
          <w:tcPr>
            <w:tcW w:w="2324" w:type="dxa"/>
            <w:shd w:val="clear" w:color="auto" w:fill="005677"/>
            <w:vAlign w:val="center"/>
          </w:tcPr>
          <w:p w14:paraId="64F8BF5F" w14:textId="77777777" w:rsidR="007B5515" w:rsidRPr="008D164F" w:rsidRDefault="007B5515" w:rsidP="000E2B6D">
            <w:pPr>
              <w:spacing w:before="60" w:after="60" w:line="240" w:lineRule="auto"/>
              <w:jc w:val="center"/>
              <w:rPr>
                <w:rFonts w:ascii="Arial" w:eastAsiaTheme="minorHAnsi" w:hAnsi="Arial"/>
                <w:b/>
                <w:bCs/>
                <w:color w:val="FFFFFF" w:themeColor="background1"/>
                <w:sz w:val="20"/>
                <w:szCs w:val="20"/>
              </w:rPr>
            </w:pPr>
            <w:r w:rsidRPr="008D164F">
              <w:rPr>
                <w:rFonts w:ascii="Arial" w:eastAsiaTheme="minorHAnsi" w:hAnsi="Arial"/>
                <w:b/>
                <w:bCs/>
                <w:color w:val="FFFFFF" w:themeColor="background1"/>
                <w:sz w:val="20"/>
                <w:szCs w:val="20"/>
              </w:rPr>
              <w:t>Timeframe</w:t>
            </w:r>
          </w:p>
        </w:tc>
      </w:tr>
      <w:tr w:rsidR="007B5515" w:rsidRPr="005A538B" w14:paraId="136E41ED" w14:textId="77777777" w:rsidTr="003D3F57">
        <w:tc>
          <w:tcPr>
            <w:tcW w:w="5098" w:type="dxa"/>
            <w:shd w:val="clear" w:color="auto" w:fill="F2F2F2" w:themeFill="background1" w:themeFillShade="F2"/>
          </w:tcPr>
          <w:p w14:paraId="66C2A0A6" w14:textId="77777777" w:rsidR="007B5515" w:rsidRPr="008D164F" w:rsidRDefault="007B5515" w:rsidP="008D164F">
            <w:pPr>
              <w:keepNext/>
              <w:keepLines/>
              <w:spacing w:before="60" w:after="60" w:line="240" w:lineRule="auto"/>
              <w:rPr>
                <w:rFonts w:ascii="Arial" w:eastAsiaTheme="minorHAnsi" w:hAnsi="Arial"/>
                <w:sz w:val="20"/>
                <w:szCs w:val="20"/>
              </w:rPr>
            </w:pPr>
            <w:r w:rsidRPr="008D164F">
              <w:rPr>
                <w:rFonts w:ascii="Arial" w:eastAsiaTheme="minorHAnsi" w:hAnsi="Arial"/>
                <w:sz w:val="20"/>
                <w:szCs w:val="20"/>
              </w:rPr>
              <w:t>Building Inspector Licence</w:t>
            </w:r>
          </w:p>
        </w:tc>
        <w:tc>
          <w:tcPr>
            <w:tcW w:w="2083" w:type="dxa"/>
            <w:shd w:val="clear" w:color="auto" w:fill="auto"/>
            <w:vAlign w:val="center"/>
          </w:tcPr>
          <w:p w14:paraId="5399F63E" w14:textId="77777777" w:rsidR="007B5515" w:rsidRPr="008D164F" w:rsidRDefault="007B5515" w:rsidP="008D164F">
            <w:pPr>
              <w:spacing w:before="60" w:after="60" w:line="240" w:lineRule="auto"/>
              <w:jc w:val="center"/>
              <w:rPr>
                <w:rFonts w:ascii="Arial" w:eastAsiaTheme="minorHAnsi" w:hAnsi="Arial"/>
                <w:sz w:val="20"/>
                <w:szCs w:val="20"/>
              </w:rPr>
            </w:pPr>
            <w:r w:rsidRPr="008D164F">
              <w:rPr>
                <w:rFonts w:ascii="Arial" w:eastAsiaTheme="minorHAnsi" w:hAnsi="Arial"/>
                <w:sz w:val="20"/>
                <w:szCs w:val="20"/>
              </w:rPr>
              <w:t>1</w:t>
            </w:r>
          </w:p>
        </w:tc>
        <w:tc>
          <w:tcPr>
            <w:tcW w:w="2324" w:type="dxa"/>
            <w:shd w:val="clear" w:color="auto" w:fill="auto"/>
            <w:vAlign w:val="center"/>
          </w:tcPr>
          <w:p w14:paraId="54887E9D" w14:textId="77777777" w:rsidR="007B5515" w:rsidRPr="008D164F" w:rsidRDefault="007B5515" w:rsidP="008D164F">
            <w:pPr>
              <w:spacing w:before="60" w:after="60" w:line="240" w:lineRule="auto"/>
              <w:jc w:val="center"/>
              <w:rPr>
                <w:rFonts w:ascii="Arial" w:eastAsiaTheme="minorHAnsi" w:hAnsi="Arial"/>
                <w:sz w:val="20"/>
                <w:szCs w:val="20"/>
              </w:rPr>
            </w:pPr>
            <w:r w:rsidRPr="008D164F">
              <w:rPr>
                <w:rFonts w:ascii="Arial" w:eastAsiaTheme="minorHAnsi" w:hAnsi="Arial"/>
                <w:sz w:val="20"/>
                <w:szCs w:val="20"/>
              </w:rPr>
              <w:t>Short term (2019)</w:t>
            </w:r>
          </w:p>
        </w:tc>
      </w:tr>
      <w:tr w:rsidR="007B5515" w:rsidRPr="005A538B" w14:paraId="73B5DFC7" w14:textId="77777777" w:rsidTr="003D3F57">
        <w:tc>
          <w:tcPr>
            <w:tcW w:w="5098" w:type="dxa"/>
            <w:shd w:val="clear" w:color="auto" w:fill="F2F2F2" w:themeFill="background1" w:themeFillShade="F2"/>
          </w:tcPr>
          <w:p w14:paraId="07E3E25D" w14:textId="77777777" w:rsidR="007B5515" w:rsidRPr="008D164F" w:rsidRDefault="007B5515" w:rsidP="008D164F">
            <w:pPr>
              <w:keepNext/>
              <w:keepLines/>
              <w:spacing w:before="60" w:after="60" w:line="240" w:lineRule="auto"/>
              <w:rPr>
                <w:rFonts w:ascii="Arial" w:eastAsiaTheme="minorHAnsi" w:hAnsi="Arial"/>
                <w:sz w:val="20"/>
                <w:szCs w:val="20"/>
              </w:rPr>
            </w:pPr>
            <w:r w:rsidRPr="008D164F">
              <w:rPr>
                <w:rFonts w:ascii="Arial" w:eastAsiaTheme="minorHAnsi" w:hAnsi="Arial"/>
                <w:sz w:val="20"/>
                <w:szCs w:val="20"/>
              </w:rPr>
              <w:t>Online Building Portal</w:t>
            </w:r>
          </w:p>
        </w:tc>
        <w:tc>
          <w:tcPr>
            <w:tcW w:w="2083" w:type="dxa"/>
            <w:shd w:val="clear" w:color="auto" w:fill="auto"/>
            <w:vAlign w:val="center"/>
          </w:tcPr>
          <w:p w14:paraId="4C6FC547" w14:textId="77777777" w:rsidR="007B5515" w:rsidRPr="008D164F" w:rsidRDefault="007B5515" w:rsidP="008D164F">
            <w:pPr>
              <w:keepNext/>
              <w:keepLines/>
              <w:spacing w:before="60" w:after="60" w:line="240" w:lineRule="auto"/>
              <w:jc w:val="center"/>
              <w:rPr>
                <w:rFonts w:ascii="Arial" w:eastAsiaTheme="minorHAnsi" w:hAnsi="Arial"/>
                <w:sz w:val="20"/>
                <w:szCs w:val="20"/>
              </w:rPr>
            </w:pPr>
            <w:r w:rsidRPr="008D164F">
              <w:rPr>
                <w:rFonts w:ascii="Arial" w:eastAsiaTheme="minorHAnsi" w:hAnsi="Arial"/>
                <w:sz w:val="20"/>
                <w:szCs w:val="20"/>
              </w:rPr>
              <w:t>12</w:t>
            </w:r>
          </w:p>
        </w:tc>
        <w:tc>
          <w:tcPr>
            <w:tcW w:w="2324" w:type="dxa"/>
            <w:shd w:val="clear" w:color="auto" w:fill="auto"/>
            <w:vAlign w:val="center"/>
          </w:tcPr>
          <w:p w14:paraId="76F0172C" w14:textId="77777777" w:rsidR="007B5515" w:rsidRPr="008D164F" w:rsidRDefault="007B5515" w:rsidP="008D164F">
            <w:pPr>
              <w:keepNext/>
              <w:keepLines/>
              <w:spacing w:before="60" w:after="60" w:line="240" w:lineRule="auto"/>
              <w:jc w:val="center"/>
              <w:rPr>
                <w:rFonts w:ascii="Arial" w:eastAsiaTheme="minorHAnsi" w:hAnsi="Arial"/>
                <w:sz w:val="20"/>
                <w:szCs w:val="20"/>
              </w:rPr>
            </w:pPr>
            <w:r w:rsidRPr="008D164F">
              <w:rPr>
                <w:rFonts w:ascii="Arial" w:eastAsiaTheme="minorHAnsi" w:hAnsi="Arial"/>
                <w:sz w:val="20"/>
                <w:szCs w:val="20"/>
              </w:rPr>
              <w:t>Long term (2021)</w:t>
            </w:r>
          </w:p>
        </w:tc>
      </w:tr>
      <w:tr w:rsidR="007B5515" w:rsidRPr="005A538B" w14:paraId="0444AE36" w14:textId="77777777" w:rsidTr="003D3F57">
        <w:tc>
          <w:tcPr>
            <w:tcW w:w="5098" w:type="dxa"/>
            <w:shd w:val="clear" w:color="auto" w:fill="F2F2F2" w:themeFill="background1" w:themeFillShade="F2"/>
          </w:tcPr>
          <w:p w14:paraId="2356CB9B" w14:textId="77777777" w:rsidR="007B5515" w:rsidRPr="008D164F" w:rsidRDefault="007B5515" w:rsidP="008D164F">
            <w:pPr>
              <w:keepNext/>
              <w:keepLines/>
              <w:spacing w:before="60" w:after="60" w:line="240" w:lineRule="auto"/>
              <w:rPr>
                <w:rFonts w:ascii="Arial" w:eastAsiaTheme="minorHAnsi" w:hAnsi="Arial"/>
                <w:sz w:val="20"/>
                <w:szCs w:val="20"/>
              </w:rPr>
            </w:pPr>
            <w:r w:rsidRPr="008D164F">
              <w:rPr>
                <w:rFonts w:ascii="Arial" w:eastAsiaTheme="minorHAnsi" w:hAnsi="Arial"/>
                <w:sz w:val="20"/>
                <w:szCs w:val="20"/>
              </w:rPr>
              <w:t>Performance Solutions/Occupancy Certificates</w:t>
            </w:r>
          </w:p>
        </w:tc>
        <w:tc>
          <w:tcPr>
            <w:tcW w:w="2083" w:type="dxa"/>
            <w:shd w:val="clear" w:color="auto" w:fill="auto"/>
            <w:vAlign w:val="center"/>
          </w:tcPr>
          <w:p w14:paraId="53CDCBF4" w14:textId="77777777" w:rsidR="007B5515" w:rsidRPr="008D164F" w:rsidRDefault="007B5515" w:rsidP="008D164F">
            <w:pPr>
              <w:keepNext/>
              <w:keepLines/>
              <w:spacing w:before="60" w:after="60" w:line="240" w:lineRule="auto"/>
              <w:jc w:val="center"/>
              <w:rPr>
                <w:rFonts w:ascii="Arial" w:eastAsiaTheme="minorHAnsi" w:hAnsi="Arial"/>
                <w:sz w:val="20"/>
                <w:szCs w:val="20"/>
              </w:rPr>
            </w:pPr>
            <w:r w:rsidRPr="008D164F">
              <w:rPr>
                <w:rFonts w:ascii="Arial" w:eastAsiaTheme="minorHAnsi" w:hAnsi="Arial"/>
                <w:sz w:val="20"/>
                <w:szCs w:val="20"/>
              </w:rPr>
              <w:t>14</w:t>
            </w:r>
          </w:p>
        </w:tc>
        <w:tc>
          <w:tcPr>
            <w:tcW w:w="2324" w:type="dxa"/>
            <w:shd w:val="clear" w:color="auto" w:fill="auto"/>
            <w:vAlign w:val="center"/>
          </w:tcPr>
          <w:p w14:paraId="191636E5" w14:textId="77777777" w:rsidR="007B5515" w:rsidRPr="008D164F" w:rsidRDefault="007B5515" w:rsidP="008D164F">
            <w:pPr>
              <w:keepNext/>
              <w:keepLines/>
              <w:spacing w:before="60" w:after="60" w:line="240" w:lineRule="auto"/>
              <w:jc w:val="center"/>
              <w:rPr>
                <w:rFonts w:ascii="Arial" w:eastAsiaTheme="minorHAnsi" w:hAnsi="Arial"/>
                <w:sz w:val="20"/>
                <w:szCs w:val="20"/>
              </w:rPr>
            </w:pPr>
            <w:r w:rsidRPr="008D164F">
              <w:rPr>
                <w:rFonts w:ascii="Arial" w:eastAsiaTheme="minorHAnsi" w:hAnsi="Arial"/>
                <w:sz w:val="20"/>
                <w:szCs w:val="20"/>
              </w:rPr>
              <w:t>Short term (2019)</w:t>
            </w:r>
          </w:p>
        </w:tc>
      </w:tr>
      <w:tr w:rsidR="007B5515" w:rsidRPr="005A538B" w14:paraId="69717820" w14:textId="77777777" w:rsidTr="003D3F57">
        <w:tc>
          <w:tcPr>
            <w:tcW w:w="5098" w:type="dxa"/>
            <w:shd w:val="clear" w:color="auto" w:fill="F2F2F2" w:themeFill="background1" w:themeFillShade="F2"/>
          </w:tcPr>
          <w:p w14:paraId="59DBF7E0" w14:textId="77777777" w:rsidR="007B5515" w:rsidRPr="008D164F" w:rsidRDefault="007B5515" w:rsidP="008D164F">
            <w:pPr>
              <w:keepNext/>
              <w:keepLines/>
              <w:spacing w:before="60" w:after="60" w:line="240" w:lineRule="auto"/>
              <w:rPr>
                <w:rFonts w:ascii="Arial" w:eastAsiaTheme="minorHAnsi" w:hAnsi="Arial"/>
                <w:sz w:val="20"/>
                <w:szCs w:val="20"/>
              </w:rPr>
            </w:pPr>
            <w:r w:rsidRPr="008D164F">
              <w:rPr>
                <w:rFonts w:ascii="Arial" w:eastAsiaTheme="minorHAnsi" w:hAnsi="Arial"/>
                <w:sz w:val="20"/>
                <w:szCs w:val="20"/>
              </w:rPr>
              <w:t>Commercial Building Manual</w:t>
            </w:r>
          </w:p>
        </w:tc>
        <w:tc>
          <w:tcPr>
            <w:tcW w:w="2083" w:type="dxa"/>
            <w:shd w:val="clear" w:color="auto" w:fill="auto"/>
            <w:vAlign w:val="center"/>
          </w:tcPr>
          <w:p w14:paraId="66C1374C" w14:textId="77777777" w:rsidR="007B5515" w:rsidRPr="008D164F" w:rsidRDefault="007B5515" w:rsidP="008D164F">
            <w:pPr>
              <w:keepNext/>
              <w:keepLines/>
              <w:spacing w:before="60" w:after="60" w:line="240" w:lineRule="auto"/>
              <w:jc w:val="center"/>
              <w:rPr>
                <w:rFonts w:ascii="Arial" w:eastAsiaTheme="minorHAnsi" w:hAnsi="Arial"/>
                <w:sz w:val="20"/>
                <w:szCs w:val="20"/>
              </w:rPr>
            </w:pPr>
            <w:r w:rsidRPr="008D164F">
              <w:rPr>
                <w:rFonts w:ascii="Arial" w:eastAsiaTheme="minorHAnsi" w:hAnsi="Arial"/>
                <w:sz w:val="20"/>
                <w:szCs w:val="20"/>
              </w:rPr>
              <w:t>20</w:t>
            </w:r>
          </w:p>
        </w:tc>
        <w:tc>
          <w:tcPr>
            <w:tcW w:w="2324" w:type="dxa"/>
            <w:shd w:val="clear" w:color="auto" w:fill="auto"/>
            <w:vAlign w:val="center"/>
          </w:tcPr>
          <w:p w14:paraId="1D73402B" w14:textId="77777777" w:rsidR="007B5515" w:rsidRPr="008D164F" w:rsidRDefault="007B5515" w:rsidP="008D164F">
            <w:pPr>
              <w:keepNext/>
              <w:keepLines/>
              <w:spacing w:before="60" w:after="60" w:line="240" w:lineRule="auto"/>
              <w:jc w:val="center"/>
              <w:rPr>
                <w:rFonts w:ascii="Arial" w:eastAsiaTheme="minorHAnsi" w:hAnsi="Arial"/>
                <w:sz w:val="20"/>
                <w:szCs w:val="20"/>
              </w:rPr>
            </w:pPr>
            <w:r w:rsidRPr="008D164F">
              <w:rPr>
                <w:rFonts w:ascii="Arial" w:eastAsiaTheme="minorHAnsi" w:hAnsi="Arial"/>
                <w:sz w:val="20"/>
                <w:szCs w:val="20"/>
              </w:rPr>
              <w:t>Long term (2021)</w:t>
            </w:r>
          </w:p>
        </w:tc>
      </w:tr>
      <w:tr w:rsidR="007B5515" w:rsidRPr="005A538B" w14:paraId="70CA96D5" w14:textId="77777777" w:rsidTr="003D3F57">
        <w:tc>
          <w:tcPr>
            <w:tcW w:w="5098" w:type="dxa"/>
            <w:shd w:val="clear" w:color="auto" w:fill="F2F2F2" w:themeFill="background1" w:themeFillShade="F2"/>
          </w:tcPr>
          <w:p w14:paraId="411A60E8" w14:textId="77777777" w:rsidR="007B5515" w:rsidRPr="008D164F" w:rsidRDefault="007B5515" w:rsidP="008D164F">
            <w:pPr>
              <w:keepNext/>
              <w:keepLines/>
              <w:spacing w:before="60" w:after="60" w:line="240" w:lineRule="auto"/>
              <w:rPr>
                <w:rFonts w:ascii="Arial" w:eastAsiaTheme="minorHAnsi" w:hAnsi="Arial"/>
                <w:sz w:val="20"/>
                <w:szCs w:val="20"/>
              </w:rPr>
            </w:pPr>
            <w:r w:rsidRPr="008D164F">
              <w:rPr>
                <w:rFonts w:ascii="Arial" w:eastAsiaTheme="minorHAnsi" w:hAnsi="Arial"/>
                <w:sz w:val="20"/>
                <w:szCs w:val="20"/>
              </w:rPr>
              <w:t>High Risk Building Products</w:t>
            </w:r>
          </w:p>
        </w:tc>
        <w:tc>
          <w:tcPr>
            <w:tcW w:w="2083" w:type="dxa"/>
            <w:shd w:val="clear" w:color="auto" w:fill="auto"/>
            <w:vAlign w:val="center"/>
          </w:tcPr>
          <w:p w14:paraId="2C0472BC" w14:textId="77777777" w:rsidR="007B5515" w:rsidRPr="008D164F" w:rsidRDefault="007B5515" w:rsidP="008D164F">
            <w:pPr>
              <w:keepNext/>
              <w:keepLines/>
              <w:spacing w:before="60" w:after="60" w:line="240" w:lineRule="auto"/>
              <w:jc w:val="center"/>
              <w:rPr>
                <w:rFonts w:ascii="Arial" w:eastAsiaTheme="minorHAnsi" w:hAnsi="Arial"/>
                <w:sz w:val="20"/>
                <w:szCs w:val="20"/>
              </w:rPr>
            </w:pPr>
            <w:r w:rsidRPr="008D164F">
              <w:rPr>
                <w:rFonts w:ascii="Arial" w:eastAsiaTheme="minorHAnsi" w:hAnsi="Arial"/>
                <w:sz w:val="20"/>
                <w:szCs w:val="20"/>
              </w:rPr>
              <w:t>21</w:t>
            </w:r>
          </w:p>
        </w:tc>
        <w:tc>
          <w:tcPr>
            <w:tcW w:w="2324" w:type="dxa"/>
            <w:shd w:val="clear" w:color="auto" w:fill="auto"/>
            <w:vAlign w:val="center"/>
          </w:tcPr>
          <w:p w14:paraId="41B25097" w14:textId="77777777" w:rsidR="007B5515" w:rsidRPr="008D164F" w:rsidRDefault="007B5515" w:rsidP="008D164F">
            <w:pPr>
              <w:keepNext/>
              <w:keepLines/>
              <w:spacing w:before="60" w:after="60" w:line="240" w:lineRule="auto"/>
              <w:jc w:val="center"/>
              <w:rPr>
                <w:rFonts w:ascii="Arial" w:eastAsiaTheme="minorHAnsi" w:hAnsi="Arial"/>
                <w:sz w:val="20"/>
                <w:szCs w:val="20"/>
              </w:rPr>
            </w:pPr>
            <w:r w:rsidRPr="008D164F">
              <w:rPr>
                <w:rFonts w:ascii="Arial" w:eastAsiaTheme="minorHAnsi" w:hAnsi="Arial"/>
                <w:sz w:val="20"/>
                <w:szCs w:val="20"/>
              </w:rPr>
              <w:t>Medium to long-term</w:t>
            </w:r>
          </w:p>
        </w:tc>
      </w:tr>
    </w:tbl>
    <w:p w14:paraId="27094B63" w14:textId="77777777" w:rsidR="007B5515" w:rsidRPr="00892ACF" w:rsidRDefault="007B5515" w:rsidP="005C7A68">
      <w:pPr>
        <w:pStyle w:val="Heading3"/>
      </w:pPr>
      <w:r w:rsidRPr="00892ACF">
        <w:t>Next steps</w:t>
      </w:r>
    </w:p>
    <w:p w14:paraId="2A9DDEEC" w14:textId="77777777" w:rsidR="007B5515" w:rsidRPr="00054033" w:rsidRDefault="007B5515" w:rsidP="004A41EF">
      <w:pPr>
        <w:numPr>
          <w:ilvl w:val="0"/>
          <w:numId w:val="7"/>
        </w:numPr>
        <w:spacing w:before="120" w:after="120"/>
        <w:ind w:left="426" w:hanging="426"/>
        <w:rPr>
          <w:rFonts w:ascii="Arial" w:eastAsiaTheme="minorHAnsi" w:hAnsi="Arial"/>
        </w:rPr>
      </w:pPr>
      <w:r w:rsidRPr="00054033">
        <w:rPr>
          <w:rFonts w:ascii="Arial" w:eastAsiaTheme="minorHAnsi" w:hAnsi="Arial"/>
        </w:rPr>
        <w:t>Stakeholder feedback and consultation is ongoing through industry forums and continuing professional development events.</w:t>
      </w:r>
    </w:p>
    <w:p w14:paraId="057DC1EE" w14:textId="77777777" w:rsidR="007B5515" w:rsidRPr="00054033" w:rsidRDefault="007B5515" w:rsidP="004A41EF">
      <w:pPr>
        <w:numPr>
          <w:ilvl w:val="0"/>
          <w:numId w:val="7"/>
        </w:numPr>
        <w:spacing w:before="120" w:after="120"/>
        <w:ind w:left="426" w:hanging="426"/>
        <w:rPr>
          <w:rFonts w:ascii="Arial" w:eastAsiaTheme="minorHAnsi" w:hAnsi="Arial"/>
        </w:rPr>
      </w:pPr>
      <w:r w:rsidRPr="00054033">
        <w:rPr>
          <w:rFonts w:ascii="Arial" w:eastAsiaTheme="minorHAnsi" w:hAnsi="Arial"/>
        </w:rPr>
        <w:t>An additional licensing category of building inspector, supervised by a building surveyor, is under consideration and out for stakeholder feedback.</w:t>
      </w:r>
    </w:p>
    <w:p w14:paraId="448571CC" w14:textId="77777777" w:rsidR="007B5515" w:rsidRPr="00054033" w:rsidRDefault="007B5515" w:rsidP="004A41EF">
      <w:pPr>
        <w:numPr>
          <w:ilvl w:val="0"/>
          <w:numId w:val="7"/>
        </w:numPr>
        <w:spacing w:before="120" w:after="120"/>
        <w:ind w:left="426" w:hanging="426"/>
        <w:rPr>
          <w:rFonts w:ascii="Arial" w:eastAsiaTheme="minorHAnsi" w:hAnsi="Arial"/>
        </w:rPr>
      </w:pPr>
      <w:r w:rsidRPr="00054033">
        <w:rPr>
          <w:rFonts w:ascii="Arial" w:eastAsiaTheme="minorHAnsi" w:hAnsi="Arial"/>
        </w:rPr>
        <w:t>Tender for the next stage of the Planning and Building Portal project.</w:t>
      </w:r>
    </w:p>
    <w:p w14:paraId="4E6B6AA3" w14:textId="77777777" w:rsidR="007B5515" w:rsidRPr="00054033" w:rsidRDefault="007B5515" w:rsidP="004A41EF">
      <w:pPr>
        <w:numPr>
          <w:ilvl w:val="0"/>
          <w:numId w:val="7"/>
        </w:numPr>
        <w:spacing w:before="120" w:after="120"/>
        <w:ind w:left="426" w:hanging="426"/>
        <w:rPr>
          <w:rFonts w:ascii="Arial" w:eastAsiaTheme="minorHAnsi" w:hAnsi="Arial"/>
        </w:rPr>
      </w:pPr>
      <w:r w:rsidRPr="00054033">
        <w:rPr>
          <w:rFonts w:ascii="Arial" w:eastAsiaTheme="minorHAnsi" w:hAnsi="Arial"/>
        </w:rPr>
        <w:t>Development of requirements for the inclusion of performance solution information on occupancy certificates.</w:t>
      </w:r>
    </w:p>
    <w:p w14:paraId="09E6CCA7" w14:textId="77777777" w:rsidR="007B5515" w:rsidRDefault="007B5515" w:rsidP="007B5515">
      <w:r>
        <w:br w:type="page"/>
      </w:r>
    </w:p>
    <w:p w14:paraId="7645E98C" w14:textId="77777777" w:rsidR="007B5515" w:rsidRPr="000E1ADB" w:rsidRDefault="007B5515" w:rsidP="00744D51">
      <w:pPr>
        <w:pStyle w:val="Heading2"/>
        <w:rPr>
          <w:b/>
        </w:rPr>
      </w:pPr>
      <w:bookmarkStart w:id="29" w:name="_Toc3991432"/>
      <w:r w:rsidRPr="000E1ADB">
        <w:lastRenderedPageBreak/>
        <w:t>Australian Capital Territory</w:t>
      </w:r>
      <w:bookmarkEnd w:id="29"/>
    </w:p>
    <w:p w14:paraId="731D999D" w14:textId="77777777" w:rsidR="007B5515" w:rsidRPr="00892ACF" w:rsidRDefault="007B5515" w:rsidP="005C7A68">
      <w:pPr>
        <w:pStyle w:val="Heading3"/>
      </w:pPr>
      <w:r w:rsidRPr="00892ACF">
        <w:t>Overview</w:t>
      </w:r>
    </w:p>
    <w:p w14:paraId="41055697" w14:textId="77777777" w:rsidR="003D3F57" w:rsidRDefault="007B5515" w:rsidP="00054033">
      <w:pPr>
        <w:spacing w:before="120" w:after="120"/>
        <w:rPr>
          <w:rFonts w:ascii="Arial" w:eastAsiaTheme="minorHAnsi" w:hAnsi="Arial"/>
        </w:rPr>
      </w:pPr>
      <w:r w:rsidRPr="00054033">
        <w:rPr>
          <w:rFonts w:ascii="Arial" w:eastAsiaTheme="minorHAnsi" w:hAnsi="Arial"/>
        </w:rPr>
        <w:t xml:space="preserve">The ACT Government completed a review of its building regulatory system in 2015 (the Review). As a result of the Review, the Territory has implemented, and continues to implement, reforms to strengthen the integrity of the system. The ACT Government has delivered and is progressing a range of reforms that respond to the recommendations of the </w:t>
      </w:r>
      <w:r w:rsidRPr="00054033">
        <w:rPr>
          <w:rFonts w:ascii="Arial" w:eastAsiaTheme="minorHAnsi" w:hAnsi="Arial"/>
          <w:i/>
        </w:rPr>
        <w:t>Building Confidence</w:t>
      </w:r>
      <w:r w:rsidRPr="00054033">
        <w:rPr>
          <w:rFonts w:ascii="Arial" w:eastAsiaTheme="minorHAnsi" w:hAnsi="Arial"/>
        </w:rPr>
        <w:t xml:space="preserve"> report. </w:t>
      </w:r>
    </w:p>
    <w:p w14:paraId="519B22AE" w14:textId="04D7C6DC" w:rsidR="007B5515" w:rsidRPr="00054033" w:rsidRDefault="007B5515" w:rsidP="00054033">
      <w:pPr>
        <w:spacing w:before="120" w:after="120"/>
        <w:rPr>
          <w:rFonts w:ascii="Arial" w:eastAsiaTheme="minorHAnsi" w:hAnsi="Arial"/>
        </w:rPr>
      </w:pPr>
      <w:r w:rsidRPr="00054033">
        <w:rPr>
          <w:rFonts w:ascii="Arial" w:eastAsiaTheme="minorHAnsi" w:hAnsi="Arial"/>
        </w:rPr>
        <w:t xml:space="preserve">The current </w:t>
      </w:r>
      <w:r w:rsidRPr="00054033">
        <w:rPr>
          <w:rFonts w:ascii="Arial" w:eastAsiaTheme="minorHAnsi" w:hAnsi="Arial"/>
          <w:i/>
        </w:rPr>
        <w:t>Improving the ACT Building Regulatory System</w:t>
      </w:r>
      <w:r w:rsidRPr="00054033">
        <w:rPr>
          <w:rFonts w:ascii="Arial" w:eastAsiaTheme="minorHAnsi" w:hAnsi="Arial"/>
        </w:rPr>
        <w:t xml:space="preserve"> program includes a comprehensive set of reforms targeting issues such as design and documentation, practitioner regulation, supervision and regulatory oversight of building projects, client protections such as insurance and warranties, dispute resolution and contracting practices. The ACT Government will continue to work closely with jurisdictions on best practice.</w:t>
      </w:r>
    </w:p>
    <w:p w14:paraId="478E56C9" w14:textId="77777777" w:rsidR="007B5515" w:rsidRPr="00892ACF" w:rsidRDefault="007B5515" w:rsidP="005C7A68">
      <w:pPr>
        <w:pStyle w:val="Heading3"/>
      </w:pPr>
      <w:r w:rsidRPr="00892ACF">
        <w:t>Current system and completed reforms</w:t>
      </w:r>
    </w:p>
    <w:p w14:paraId="3AA4343D" w14:textId="77777777" w:rsidR="007B5515" w:rsidRPr="00054033" w:rsidRDefault="007B5515" w:rsidP="007B5515">
      <w:pPr>
        <w:rPr>
          <w:rFonts w:ascii="Arial" w:eastAsiaTheme="minorHAnsi" w:hAnsi="Arial"/>
        </w:rPr>
      </w:pPr>
      <w:r w:rsidRPr="00054033">
        <w:rPr>
          <w:rFonts w:ascii="Arial" w:eastAsiaTheme="minorHAnsi" w:hAnsi="Arial"/>
        </w:rPr>
        <w:t>The ACT’s building regulatory system already includes many of the powers and processes suggested in the Building Confidence Report. Some of these have been in place for many years, while others have been introduced as a result of the ACT Review. Reforms to date include:</w:t>
      </w:r>
    </w:p>
    <w:p w14:paraId="4874CC1F" w14:textId="77777777" w:rsidR="007B5515" w:rsidRPr="00054033" w:rsidRDefault="007B5515" w:rsidP="004A41EF">
      <w:pPr>
        <w:numPr>
          <w:ilvl w:val="0"/>
          <w:numId w:val="7"/>
        </w:numPr>
        <w:spacing w:before="120" w:after="120"/>
        <w:ind w:left="426" w:hanging="426"/>
        <w:rPr>
          <w:rFonts w:ascii="Arial" w:eastAsiaTheme="minorHAnsi" w:hAnsi="Arial"/>
        </w:rPr>
      </w:pPr>
      <w:r w:rsidRPr="00054033">
        <w:rPr>
          <w:rFonts w:ascii="Arial" w:eastAsiaTheme="minorHAnsi" w:hAnsi="Arial"/>
        </w:rPr>
        <w:t>expanded powers for the regulator to refuse or condition a construction licence</w:t>
      </w:r>
    </w:p>
    <w:p w14:paraId="43C7916F" w14:textId="77777777" w:rsidR="007B5515" w:rsidRPr="00054033" w:rsidRDefault="007B5515" w:rsidP="004A41EF">
      <w:pPr>
        <w:numPr>
          <w:ilvl w:val="0"/>
          <w:numId w:val="7"/>
        </w:numPr>
        <w:spacing w:before="120" w:after="120"/>
        <w:ind w:left="426" w:hanging="426"/>
        <w:rPr>
          <w:rFonts w:ascii="Arial" w:eastAsiaTheme="minorHAnsi" w:hAnsi="Arial"/>
        </w:rPr>
      </w:pPr>
      <w:r w:rsidRPr="00054033">
        <w:rPr>
          <w:rFonts w:ascii="Arial" w:eastAsiaTheme="minorHAnsi" w:hAnsi="Arial"/>
        </w:rPr>
        <w:t>new powers to require licensees to undertake skills assessment</w:t>
      </w:r>
    </w:p>
    <w:p w14:paraId="5A2336CD" w14:textId="77777777" w:rsidR="007B5515" w:rsidRPr="00054033" w:rsidRDefault="007B5515" w:rsidP="004A41EF">
      <w:pPr>
        <w:numPr>
          <w:ilvl w:val="0"/>
          <w:numId w:val="7"/>
        </w:numPr>
        <w:spacing w:before="120" w:after="120"/>
        <w:ind w:left="426" w:hanging="426"/>
        <w:rPr>
          <w:rFonts w:ascii="Arial" w:eastAsiaTheme="minorHAnsi" w:hAnsi="Arial"/>
        </w:rPr>
      </w:pPr>
      <w:r w:rsidRPr="00054033">
        <w:rPr>
          <w:rFonts w:ascii="Arial" w:eastAsiaTheme="minorHAnsi" w:hAnsi="Arial"/>
        </w:rPr>
        <w:t>a framework for the regulator to direct construction licence holders in particular licence classes to undertake specified training</w:t>
      </w:r>
    </w:p>
    <w:p w14:paraId="13FA2A65" w14:textId="77777777" w:rsidR="007B5515" w:rsidRPr="00054033" w:rsidRDefault="007B5515" w:rsidP="004A41EF">
      <w:pPr>
        <w:numPr>
          <w:ilvl w:val="0"/>
          <w:numId w:val="7"/>
        </w:numPr>
        <w:spacing w:before="120" w:after="120"/>
        <w:ind w:left="426" w:hanging="426"/>
        <w:rPr>
          <w:rFonts w:ascii="Arial" w:eastAsiaTheme="minorHAnsi" w:hAnsi="Arial"/>
        </w:rPr>
      </w:pPr>
      <w:r w:rsidRPr="00054033">
        <w:rPr>
          <w:rFonts w:ascii="Arial" w:eastAsiaTheme="minorHAnsi" w:hAnsi="Arial"/>
        </w:rPr>
        <w:t>new offences and increased penalties for failing to comply with the ACT Building Act, building code and with a rectification order</w:t>
      </w:r>
    </w:p>
    <w:p w14:paraId="7F3928F3" w14:textId="77777777" w:rsidR="007B5515" w:rsidRPr="00054033" w:rsidRDefault="007B5515" w:rsidP="004A41EF">
      <w:pPr>
        <w:numPr>
          <w:ilvl w:val="0"/>
          <w:numId w:val="7"/>
        </w:numPr>
        <w:spacing w:before="120" w:after="120"/>
        <w:ind w:left="426" w:hanging="426"/>
        <w:rPr>
          <w:rFonts w:ascii="Arial" w:eastAsiaTheme="minorHAnsi" w:hAnsi="Arial"/>
        </w:rPr>
      </w:pPr>
      <w:r w:rsidRPr="00054033">
        <w:rPr>
          <w:rFonts w:ascii="Arial" w:eastAsiaTheme="minorHAnsi" w:hAnsi="Arial"/>
        </w:rPr>
        <w:t>creation of a public register of disciplinary information about licensees</w:t>
      </w:r>
    </w:p>
    <w:p w14:paraId="4EE4DE53" w14:textId="77777777" w:rsidR="007B5515" w:rsidRPr="00054033" w:rsidRDefault="007B5515" w:rsidP="004A41EF">
      <w:pPr>
        <w:numPr>
          <w:ilvl w:val="0"/>
          <w:numId w:val="7"/>
        </w:numPr>
        <w:spacing w:before="120" w:after="120"/>
        <w:ind w:left="426" w:hanging="426"/>
        <w:rPr>
          <w:rFonts w:ascii="Arial" w:eastAsiaTheme="minorHAnsi" w:hAnsi="Arial"/>
        </w:rPr>
      </w:pPr>
      <w:r w:rsidRPr="00054033">
        <w:rPr>
          <w:rFonts w:ascii="Arial" w:eastAsiaTheme="minorHAnsi" w:hAnsi="Arial"/>
        </w:rPr>
        <w:t>improved information gathering powers for investigators.</w:t>
      </w:r>
    </w:p>
    <w:p w14:paraId="3D31ED4B" w14:textId="77777777" w:rsidR="007B5515" w:rsidRPr="00054033" w:rsidRDefault="007B5515" w:rsidP="007B5515">
      <w:pPr>
        <w:rPr>
          <w:rFonts w:ascii="Arial" w:eastAsiaTheme="minorHAnsi" w:hAnsi="Arial"/>
        </w:rPr>
      </w:pPr>
      <w:r w:rsidRPr="00054033">
        <w:rPr>
          <w:rFonts w:ascii="Arial" w:eastAsiaTheme="minorHAnsi" w:hAnsi="Arial"/>
        </w:rPr>
        <w:t>Under the current reform program the ACT Government has also:</w:t>
      </w:r>
    </w:p>
    <w:p w14:paraId="3F69399A" w14:textId="77777777" w:rsidR="007B5515" w:rsidRPr="00054033" w:rsidRDefault="007B5515" w:rsidP="004A41EF">
      <w:pPr>
        <w:numPr>
          <w:ilvl w:val="0"/>
          <w:numId w:val="7"/>
        </w:numPr>
        <w:spacing w:before="120" w:after="120"/>
        <w:ind w:left="426" w:hanging="426"/>
        <w:rPr>
          <w:rFonts w:ascii="Arial" w:eastAsiaTheme="minorHAnsi" w:hAnsi="Arial"/>
        </w:rPr>
      </w:pPr>
      <w:r w:rsidRPr="00054033">
        <w:rPr>
          <w:rFonts w:ascii="Arial" w:eastAsiaTheme="minorHAnsi" w:hAnsi="Arial"/>
        </w:rPr>
        <w:t>made further restrictions on the types of qualifications and experience required to gain an ACT building licence</w:t>
      </w:r>
    </w:p>
    <w:p w14:paraId="42D39D3D" w14:textId="77777777" w:rsidR="007B5515" w:rsidRPr="00054033" w:rsidRDefault="007B5515" w:rsidP="004A41EF">
      <w:pPr>
        <w:numPr>
          <w:ilvl w:val="0"/>
          <w:numId w:val="7"/>
        </w:numPr>
        <w:spacing w:before="120" w:after="120"/>
        <w:ind w:left="426" w:hanging="426"/>
        <w:rPr>
          <w:rFonts w:ascii="Arial" w:eastAsiaTheme="minorHAnsi" w:hAnsi="Arial"/>
        </w:rPr>
      </w:pPr>
      <w:r w:rsidRPr="00054033">
        <w:rPr>
          <w:rFonts w:ascii="Arial" w:eastAsiaTheme="minorHAnsi" w:hAnsi="Arial"/>
        </w:rPr>
        <w:t>introduced new provisions and powers to help prevent ‘phoenixing’ in ACT construction licensees and people shifting their operations between existing licences</w:t>
      </w:r>
    </w:p>
    <w:p w14:paraId="4B441443" w14:textId="77777777" w:rsidR="007B5515" w:rsidRPr="00054033" w:rsidRDefault="007B5515" w:rsidP="004A41EF">
      <w:pPr>
        <w:numPr>
          <w:ilvl w:val="0"/>
          <w:numId w:val="7"/>
        </w:numPr>
        <w:spacing w:before="120" w:after="120"/>
        <w:ind w:left="426" w:hanging="426"/>
        <w:rPr>
          <w:rFonts w:ascii="Arial" w:eastAsiaTheme="minorHAnsi" w:hAnsi="Arial"/>
        </w:rPr>
      </w:pPr>
      <w:r w:rsidRPr="00054033">
        <w:rPr>
          <w:rFonts w:ascii="Arial" w:eastAsiaTheme="minorHAnsi" w:hAnsi="Arial"/>
        </w:rPr>
        <w:t>clarified the roles of building certifiers and the obligations of corporate and partnership construction licensees in legislation</w:t>
      </w:r>
    </w:p>
    <w:p w14:paraId="0DCA25C9" w14:textId="77777777" w:rsidR="007B5515" w:rsidRPr="00054033" w:rsidRDefault="007B5515" w:rsidP="004A41EF">
      <w:pPr>
        <w:numPr>
          <w:ilvl w:val="0"/>
          <w:numId w:val="7"/>
        </w:numPr>
        <w:spacing w:before="120" w:after="120"/>
        <w:ind w:left="426" w:hanging="426"/>
        <w:rPr>
          <w:rFonts w:ascii="Arial" w:eastAsiaTheme="minorHAnsi" w:hAnsi="Arial"/>
        </w:rPr>
      </w:pPr>
      <w:r w:rsidRPr="00054033">
        <w:rPr>
          <w:rFonts w:ascii="Arial" w:eastAsiaTheme="minorHAnsi" w:hAnsi="Arial"/>
        </w:rPr>
        <w:t>created new grounds for occupational discipline and automatic suspensions of a construction licence</w:t>
      </w:r>
    </w:p>
    <w:p w14:paraId="1F184286" w14:textId="77777777" w:rsidR="007B5515" w:rsidRPr="00054033" w:rsidRDefault="007B5515" w:rsidP="004A41EF">
      <w:pPr>
        <w:numPr>
          <w:ilvl w:val="0"/>
          <w:numId w:val="7"/>
        </w:numPr>
        <w:spacing w:before="120" w:after="120"/>
        <w:ind w:left="426" w:hanging="426"/>
        <w:rPr>
          <w:rFonts w:ascii="Arial" w:eastAsiaTheme="minorHAnsi" w:hAnsi="Arial"/>
        </w:rPr>
      </w:pPr>
      <w:r w:rsidRPr="00054033">
        <w:rPr>
          <w:rFonts w:ascii="Arial" w:eastAsiaTheme="minorHAnsi" w:hAnsi="Arial"/>
        </w:rPr>
        <w:t>expanded statutory warranties to all residential buildings</w:t>
      </w:r>
    </w:p>
    <w:p w14:paraId="00BCD27E" w14:textId="77777777" w:rsidR="007B5515" w:rsidRPr="00054033" w:rsidRDefault="007B5515" w:rsidP="004A41EF">
      <w:pPr>
        <w:numPr>
          <w:ilvl w:val="0"/>
          <w:numId w:val="7"/>
        </w:numPr>
        <w:spacing w:before="120" w:after="120"/>
        <w:ind w:left="426" w:hanging="426"/>
        <w:rPr>
          <w:rFonts w:ascii="Arial" w:eastAsiaTheme="minorHAnsi" w:hAnsi="Arial"/>
        </w:rPr>
      </w:pPr>
      <w:r w:rsidRPr="00054033">
        <w:rPr>
          <w:rFonts w:ascii="Arial" w:eastAsiaTheme="minorHAnsi" w:hAnsi="Arial"/>
        </w:rPr>
        <w:t>increased maximum payments that can be imposed in an occupational discipline order</w:t>
      </w:r>
    </w:p>
    <w:p w14:paraId="66E3EE02" w14:textId="77777777" w:rsidR="007B5515" w:rsidRPr="00054033" w:rsidRDefault="007B5515" w:rsidP="004A41EF">
      <w:pPr>
        <w:numPr>
          <w:ilvl w:val="0"/>
          <w:numId w:val="7"/>
        </w:numPr>
        <w:spacing w:before="120" w:after="120"/>
        <w:ind w:left="426" w:hanging="426"/>
        <w:rPr>
          <w:rFonts w:ascii="Arial" w:eastAsiaTheme="minorHAnsi" w:hAnsi="Arial"/>
        </w:rPr>
      </w:pPr>
      <w:r w:rsidRPr="00054033">
        <w:rPr>
          <w:rFonts w:ascii="Arial" w:eastAsiaTheme="minorHAnsi" w:hAnsi="Arial"/>
        </w:rPr>
        <w:t>introduced new reporting related to changes in a licensee’s eligibility, including on financial grounds.</w:t>
      </w:r>
    </w:p>
    <w:p w14:paraId="78BC1D65" w14:textId="77777777" w:rsidR="003D3F57" w:rsidRDefault="007B5515" w:rsidP="003D3F57">
      <w:pPr>
        <w:keepLines/>
        <w:rPr>
          <w:rFonts w:ascii="Arial" w:eastAsiaTheme="minorHAnsi" w:hAnsi="Arial"/>
        </w:rPr>
      </w:pPr>
      <w:r w:rsidRPr="00054033">
        <w:rPr>
          <w:rFonts w:ascii="Arial" w:eastAsiaTheme="minorHAnsi" w:hAnsi="Arial"/>
        </w:rPr>
        <w:lastRenderedPageBreak/>
        <w:t xml:space="preserve">Following a pilot of licence exams for certain residential builder licences, the ACT Government has extended licence examinations to the main builder licence categories. This means that all applicants for a new ACT licence will need to pass an examination before they are issued a licence. </w:t>
      </w:r>
    </w:p>
    <w:p w14:paraId="512EB272" w14:textId="63C0B6C2" w:rsidR="007B5515" w:rsidRPr="00054033" w:rsidRDefault="007B5515" w:rsidP="007B5515">
      <w:pPr>
        <w:rPr>
          <w:rFonts w:ascii="Arial" w:eastAsiaTheme="minorHAnsi" w:hAnsi="Arial"/>
        </w:rPr>
      </w:pPr>
      <w:r w:rsidRPr="00054033">
        <w:rPr>
          <w:rFonts w:ascii="Arial" w:eastAsiaTheme="minorHAnsi" w:hAnsi="Arial"/>
        </w:rPr>
        <w:t>The examinations cover the licensee’s obligations under building laws and fundamental skills such as the ability to read and interpret legislation and technical documents applying to building work. Examinations can also be applied to existing licensees at the time of renewal, particularly licensees with rectification orders or whose work is not compliant with building standards.</w:t>
      </w:r>
    </w:p>
    <w:p w14:paraId="07809E0D" w14:textId="77777777" w:rsidR="007B5515" w:rsidRPr="00054033" w:rsidRDefault="007B5515" w:rsidP="007B5515">
      <w:pPr>
        <w:rPr>
          <w:rFonts w:ascii="Arial" w:eastAsiaTheme="minorHAnsi" w:hAnsi="Arial"/>
        </w:rPr>
      </w:pPr>
      <w:r w:rsidRPr="00054033">
        <w:rPr>
          <w:rFonts w:ascii="Arial" w:eastAsiaTheme="minorHAnsi" w:hAnsi="Arial"/>
        </w:rPr>
        <w:t>In addition to the reform agenda, the ACT Government has improved the way that compliance is monitored on building work and how complaints about building work are managed. Government building inspectors attend the sites of complaints usually within five days, to quickly determine if further action is necessary.</w:t>
      </w:r>
    </w:p>
    <w:p w14:paraId="6C3C1C02" w14:textId="77777777" w:rsidR="007B5515" w:rsidRPr="00892ACF" w:rsidRDefault="007B5515" w:rsidP="005C7A68">
      <w:pPr>
        <w:pStyle w:val="Heading3"/>
      </w:pPr>
      <w:r w:rsidRPr="00892ACF">
        <w:t>Planned reforms</w:t>
      </w:r>
    </w:p>
    <w:p w14:paraId="590B56E9" w14:textId="77777777" w:rsidR="007B5515" w:rsidRPr="00054033" w:rsidRDefault="007B5515" w:rsidP="007B5515">
      <w:pPr>
        <w:rPr>
          <w:rFonts w:ascii="Arial" w:eastAsiaTheme="minorHAnsi" w:hAnsi="Arial"/>
        </w:rPr>
      </w:pPr>
      <w:r w:rsidRPr="00054033">
        <w:rPr>
          <w:rFonts w:ascii="Arial" w:eastAsiaTheme="minorHAnsi" w:hAnsi="Arial"/>
        </w:rPr>
        <w:t>Priority reforms for 2019 include:</w:t>
      </w:r>
    </w:p>
    <w:p w14:paraId="23120EEC" w14:textId="77777777" w:rsidR="007B5515" w:rsidRPr="00054033" w:rsidRDefault="007B5515" w:rsidP="004A41EF">
      <w:pPr>
        <w:numPr>
          <w:ilvl w:val="0"/>
          <w:numId w:val="7"/>
        </w:numPr>
        <w:spacing w:before="120" w:after="120"/>
        <w:ind w:left="426" w:hanging="426"/>
        <w:rPr>
          <w:rFonts w:ascii="Arial" w:eastAsiaTheme="minorHAnsi" w:hAnsi="Arial"/>
        </w:rPr>
      </w:pPr>
      <w:r w:rsidRPr="00054033">
        <w:rPr>
          <w:rFonts w:ascii="Arial" w:eastAsiaTheme="minorHAnsi" w:hAnsi="Arial"/>
        </w:rPr>
        <w:t>new information and documentation guidelines for building approval applicants (relevant to recommendations 13 and 14)</w:t>
      </w:r>
    </w:p>
    <w:p w14:paraId="06D34B41" w14:textId="77777777" w:rsidR="007B5515" w:rsidRPr="00054033" w:rsidRDefault="007B5515" w:rsidP="004A41EF">
      <w:pPr>
        <w:numPr>
          <w:ilvl w:val="0"/>
          <w:numId w:val="7"/>
        </w:numPr>
        <w:spacing w:before="120" w:after="120"/>
        <w:ind w:left="426" w:hanging="426"/>
        <w:rPr>
          <w:rFonts w:ascii="Arial" w:eastAsiaTheme="minorHAnsi" w:hAnsi="Arial"/>
        </w:rPr>
      </w:pPr>
      <w:r w:rsidRPr="00054033">
        <w:rPr>
          <w:rFonts w:ascii="Arial" w:eastAsiaTheme="minorHAnsi" w:hAnsi="Arial"/>
        </w:rPr>
        <w:t>codes of practice for builders and building surveyors to improve supervision and consistency in stage inspections during construction (relevant to recommendations 9, 10, 16 and 18)</w:t>
      </w:r>
    </w:p>
    <w:p w14:paraId="72FAB615" w14:textId="77777777" w:rsidR="007B5515" w:rsidRPr="00054033" w:rsidRDefault="007B5515" w:rsidP="004A41EF">
      <w:pPr>
        <w:numPr>
          <w:ilvl w:val="0"/>
          <w:numId w:val="7"/>
        </w:numPr>
        <w:spacing w:before="120" w:after="120"/>
        <w:ind w:left="426" w:hanging="426"/>
        <w:rPr>
          <w:rFonts w:ascii="Arial" w:eastAsiaTheme="minorHAnsi" w:hAnsi="Arial"/>
        </w:rPr>
      </w:pPr>
      <w:r w:rsidRPr="00054033">
        <w:rPr>
          <w:rFonts w:ascii="Arial" w:eastAsiaTheme="minorHAnsi" w:hAnsi="Arial"/>
        </w:rPr>
        <w:t>education and training courses for practitioners on the ACT building regulatory system and building standards (relates to recommendations 1, 3 and 4) and</w:t>
      </w:r>
    </w:p>
    <w:p w14:paraId="172829AF" w14:textId="77777777" w:rsidR="007B5515" w:rsidRPr="00054033" w:rsidRDefault="007B5515" w:rsidP="004A41EF">
      <w:pPr>
        <w:numPr>
          <w:ilvl w:val="0"/>
          <w:numId w:val="7"/>
        </w:numPr>
        <w:spacing w:before="120" w:after="120"/>
        <w:ind w:left="426" w:hanging="426"/>
        <w:rPr>
          <w:rFonts w:ascii="Arial" w:eastAsiaTheme="minorHAnsi" w:hAnsi="Arial"/>
        </w:rPr>
      </w:pPr>
      <w:r w:rsidRPr="00054033">
        <w:rPr>
          <w:rFonts w:ascii="Arial" w:eastAsiaTheme="minorHAnsi" w:hAnsi="Arial"/>
        </w:rPr>
        <w:t>rolling out a new risk</w:t>
      </w:r>
      <w:r w:rsidRPr="00054033">
        <w:rPr>
          <w:rFonts w:ascii="Cambria Math" w:eastAsiaTheme="minorHAnsi" w:hAnsi="Cambria Math" w:cs="Cambria Math"/>
        </w:rPr>
        <w:t>‐</w:t>
      </w:r>
      <w:r w:rsidRPr="00054033">
        <w:rPr>
          <w:rFonts w:ascii="Arial" w:eastAsiaTheme="minorHAnsi" w:hAnsi="Arial"/>
        </w:rPr>
        <w:t>based auditing system (relates to recommendations 6 and 7).</w:t>
      </w:r>
    </w:p>
    <w:p w14:paraId="7AD3E155" w14:textId="275B7B5B" w:rsidR="007B5515" w:rsidRPr="00054033" w:rsidRDefault="007B5515" w:rsidP="007B5515">
      <w:pPr>
        <w:rPr>
          <w:rFonts w:ascii="Arial" w:eastAsiaTheme="minorHAnsi" w:hAnsi="Arial"/>
        </w:rPr>
      </w:pPr>
      <w:r w:rsidRPr="00054033">
        <w:rPr>
          <w:rFonts w:ascii="Arial" w:eastAsiaTheme="minorHAnsi" w:hAnsi="Arial"/>
        </w:rPr>
        <w:t xml:space="preserve">The </w:t>
      </w:r>
      <w:r w:rsidR="006064ED" w:rsidRPr="00054033">
        <w:rPr>
          <w:rFonts w:ascii="Arial" w:eastAsiaTheme="minorHAnsi" w:hAnsi="Arial"/>
        </w:rPr>
        <w:t xml:space="preserve">ACT </w:t>
      </w:r>
      <w:r w:rsidRPr="00054033">
        <w:rPr>
          <w:rFonts w:ascii="Arial" w:eastAsiaTheme="minorHAnsi" w:hAnsi="Arial"/>
        </w:rPr>
        <w:t>Government will also consult further on licensing scopes, insurance and accountability of design practitioners preparing plans, specifications and other reports for building approvals (relates to recommendations 1, 2, 13, 17 and 19). It will also consider additional powers and protections to address problems with defective work, including licensees winding up or discontinuing their business without rectifying substantial defects (relevant to recommendations 6 and 7).</w:t>
      </w:r>
    </w:p>
    <w:p w14:paraId="2D787403" w14:textId="77777777" w:rsidR="007B5515" w:rsidRPr="00054033" w:rsidRDefault="007B5515" w:rsidP="007B5515">
      <w:pPr>
        <w:rPr>
          <w:rFonts w:ascii="Arial" w:eastAsiaTheme="minorHAnsi" w:hAnsi="Arial"/>
        </w:rPr>
      </w:pPr>
      <w:r w:rsidRPr="00054033">
        <w:rPr>
          <w:rFonts w:ascii="Arial" w:eastAsiaTheme="minorHAnsi" w:hAnsi="Arial"/>
        </w:rPr>
        <w:t>In relation to recommendation 15, which is to provide a process for the approval of a performance solution for constructed building work, in the ACT’s system a building approval is for proposed building work and cannot be issued retrospectively. This recommendation will be considered in relation to processes for final certification of buildings with unapproved work.</w:t>
      </w:r>
    </w:p>
    <w:p w14:paraId="010773EE" w14:textId="77777777" w:rsidR="007B5515" w:rsidRPr="00054033" w:rsidRDefault="007B5515" w:rsidP="007B5515">
      <w:pPr>
        <w:rPr>
          <w:rFonts w:ascii="Arial" w:eastAsiaTheme="minorHAnsi" w:hAnsi="Arial"/>
        </w:rPr>
      </w:pPr>
      <w:r w:rsidRPr="00054033">
        <w:rPr>
          <w:rFonts w:ascii="Arial" w:eastAsiaTheme="minorHAnsi" w:hAnsi="Arial"/>
        </w:rPr>
        <w:t>The ACT has an existing database where all building approval documents and a range of certificates and inspection information is stored (recommendation 20).</w:t>
      </w:r>
    </w:p>
    <w:p w14:paraId="15F726F6" w14:textId="719B3D52" w:rsidR="007B5515" w:rsidRPr="00054033" w:rsidRDefault="007B5515" w:rsidP="007B5515">
      <w:pPr>
        <w:rPr>
          <w:rFonts w:ascii="Arial" w:eastAsiaTheme="minorHAnsi" w:hAnsi="Arial"/>
        </w:rPr>
      </w:pPr>
      <w:r w:rsidRPr="00054033">
        <w:rPr>
          <w:rFonts w:ascii="Arial" w:eastAsiaTheme="minorHAnsi" w:hAnsi="Arial"/>
        </w:rPr>
        <w:t xml:space="preserve">With one level of </w:t>
      </w:r>
      <w:r w:rsidR="006064ED" w:rsidRPr="00054033">
        <w:rPr>
          <w:rFonts w:ascii="Arial" w:eastAsiaTheme="minorHAnsi" w:hAnsi="Arial"/>
        </w:rPr>
        <w:t xml:space="preserve">ACT </w:t>
      </w:r>
      <w:r w:rsidRPr="00054033">
        <w:rPr>
          <w:rFonts w:ascii="Arial" w:eastAsiaTheme="minorHAnsi" w:hAnsi="Arial"/>
        </w:rPr>
        <w:t>Government and one building regulatory agency, the ACT considers that establishing further regulatory bodies (recommendation 5) is not needed in the Territory.</w:t>
      </w:r>
    </w:p>
    <w:p w14:paraId="459E795E" w14:textId="77777777" w:rsidR="007B5515" w:rsidRPr="00892ACF" w:rsidRDefault="007B5515" w:rsidP="005C7A68">
      <w:pPr>
        <w:pStyle w:val="Heading3"/>
      </w:pPr>
      <w:r w:rsidRPr="00892ACF">
        <w:t>Timeframes and next steps</w:t>
      </w:r>
    </w:p>
    <w:p w14:paraId="6BA2F3DC" w14:textId="77777777" w:rsidR="007B5515" w:rsidRPr="00054033" w:rsidRDefault="007B5515" w:rsidP="007B5515">
      <w:pPr>
        <w:rPr>
          <w:rFonts w:ascii="Arial" w:eastAsiaTheme="minorHAnsi" w:hAnsi="Arial"/>
        </w:rPr>
      </w:pPr>
      <w:r w:rsidRPr="00054033">
        <w:rPr>
          <w:rFonts w:ascii="Arial" w:eastAsiaTheme="minorHAnsi" w:hAnsi="Arial"/>
        </w:rPr>
        <w:t xml:space="preserve">All reforms in the current </w:t>
      </w:r>
      <w:r w:rsidRPr="00054033">
        <w:rPr>
          <w:rFonts w:ascii="Arial" w:eastAsiaTheme="minorHAnsi" w:hAnsi="Arial"/>
          <w:i/>
        </w:rPr>
        <w:t>Improving the ACT Building Regulatory System</w:t>
      </w:r>
      <w:r w:rsidRPr="00054033">
        <w:rPr>
          <w:rFonts w:ascii="Arial" w:eastAsiaTheme="minorHAnsi" w:hAnsi="Arial"/>
        </w:rPr>
        <w:t xml:space="preserve"> program will be completed by mid</w:t>
      </w:r>
      <w:r w:rsidRPr="00054033">
        <w:rPr>
          <w:rFonts w:ascii="Cambria Math" w:eastAsiaTheme="minorHAnsi" w:hAnsi="Cambria Math" w:cs="Cambria Math"/>
        </w:rPr>
        <w:t>‐</w:t>
      </w:r>
      <w:r w:rsidRPr="00054033">
        <w:rPr>
          <w:rFonts w:ascii="Arial" w:eastAsiaTheme="minorHAnsi" w:hAnsi="Arial"/>
        </w:rPr>
        <w:t>2020. Upgrades to the existing database to capture additional information on building projects are expected to be completed in the medium term.</w:t>
      </w:r>
    </w:p>
    <w:p w14:paraId="657225DF" w14:textId="77777777" w:rsidR="007B5515" w:rsidRPr="00054033" w:rsidRDefault="007B5515" w:rsidP="007B5515">
      <w:pPr>
        <w:rPr>
          <w:rFonts w:ascii="Arial" w:hAnsi="Arial" w:cs="Arial"/>
        </w:rPr>
      </w:pPr>
      <w:r w:rsidRPr="00054033">
        <w:rPr>
          <w:rFonts w:ascii="Arial" w:eastAsiaTheme="minorHAnsi" w:hAnsi="Arial"/>
        </w:rPr>
        <w:t>Further information on the ACT’s reforms including alerts about opportunities for input can be found at:</w:t>
      </w:r>
      <w:r>
        <w:t xml:space="preserve"> </w:t>
      </w:r>
      <w:hyperlink r:id="rId18" w:history="1">
        <w:r w:rsidRPr="00054033">
          <w:rPr>
            <w:rStyle w:val="Hyperlink"/>
            <w:rFonts w:ascii="Arial" w:hAnsi="Arial" w:cs="Arial"/>
          </w:rPr>
          <w:t>https://www.planning.act.gov.au/topics/current_projects/act_building_regulatory_system_review</w:t>
        </w:r>
      </w:hyperlink>
      <w:r w:rsidRPr="00054033">
        <w:rPr>
          <w:rFonts w:ascii="Arial" w:hAnsi="Arial" w:cs="Arial"/>
        </w:rPr>
        <w:t>.</w:t>
      </w:r>
    </w:p>
    <w:p w14:paraId="63571796" w14:textId="48707366" w:rsidR="007B5515" w:rsidRPr="000E1ADB" w:rsidRDefault="007B5515" w:rsidP="00744D51">
      <w:pPr>
        <w:pStyle w:val="Heading2"/>
        <w:rPr>
          <w:b/>
        </w:rPr>
      </w:pPr>
      <w:bookmarkStart w:id="30" w:name="_Toc3991433"/>
      <w:r w:rsidRPr="000E1ADB">
        <w:lastRenderedPageBreak/>
        <w:t>Northern Territory</w:t>
      </w:r>
      <w:bookmarkEnd w:id="30"/>
    </w:p>
    <w:p w14:paraId="1F30B6AD" w14:textId="77777777" w:rsidR="007B5515" w:rsidRPr="00892ACF" w:rsidRDefault="007B5515" w:rsidP="005C7A68">
      <w:pPr>
        <w:pStyle w:val="Heading3"/>
      </w:pPr>
      <w:r w:rsidRPr="00892ACF">
        <w:t>Overview</w:t>
      </w:r>
    </w:p>
    <w:p w14:paraId="2ADCD4E1" w14:textId="7D7C9B37" w:rsidR="007B5515" w:rsidRPr="00054033" w:rsidRDefault="007B5515" w:rsidP="007B5515">
      <w:pPr>
        <w:rPr>
          <w:rFonts w:ascii="Arial" w:eastAsiaTheme="minorHAnsi" w:hAnsi="Arial"/>
        </w:rPr>
      </w:pPr>
      <w:r w:rsidRPr="00054033">
        <w:rPr>
          <w:rFonts w:ascii="Arial" w:eastAsiaTheme="minorHAnsi" w:hAnsi="Arial"/>
        </w:rPr>
        <w:t>The Northern Territory Government is committed to providing a robust building regulation system based on best practice.</w:t>
      </w:r>
      <w:r w:rsidR="00086FFD">
        <w:rPr>
          <w:rFonts w:ascii="Arial" w:eastAsiaTheme="minorHAnsi" w:hAnsi="Arial"/>
        </w:rPr>
        <w:t xml:space="preserve"> </w:t>
      </w:r>
      <w:r w:rsidRPr="00054033">
        <w:rPr>
          <w:rFonts w:ascii="Arial" w:eastAsiaTheme="minorHAnsi" w:hAnsi="Arial"/>
        </w:rPr>
        <w:t xml:space="preserve">Significant reforms were undertaken in 2016 to improve compliance outcomes, and work is being done to identify ways to further </w:t>
      </w:r>
      <w:r w:rsidR="003D3F57">
        <w:rPr>
          <w:rFonts w:ascii="Arial" w:eastAsiaTheme="minorHAnsi" w:hAnsi="Arial"/>
        </w:rPr>
        <w:t>enhance the system using a risk</w:t>
      </w:r>
      <w:r w:rsidR="003D3F57">
        <w:rPr>
          <w:rFonts w:ascii="Arial" w:eastAsiaTheme="minorHAnsi" w:hAnsi="Arial"/>
        </w:rPr>
        <w:noBreakHyphen/>
      </w:r>
      <w:r w:rsidRPr="00054033">
        <w:rPr>
          <w:rFonts w:ascii="Arial" w:eastAsiaTheme="minorHAnsi" w:hAnsi="Arial"/>
        </w:rPr>
        <w:t>based and outcome</w:t>
      </w:r>
      <w:r w:rsidRPr="00054033">
        <w:rPr>
          <w:rFonts w:ascii="Arial" w:eastAsiaTheme="minorHAnsi" w:hAnsi="Arial"/>
        </w:rPr>
        <w:noBreakHyphen/>
        <w:t>focussed approach.</w:t>
      </w:r>
    </w:p>
    <w:p w14:paraId="74DF80E5" w14:textId="77777777" w:rsidR="007B5515" w:rsidRPr="00054033" w:rsidRDefault="007B5515" w:rsidP="007B5515">
      <w:pPr>
        <w:rPr>
          <w:rFonts w:ascii="Arial" w:eastAsiaTheme="minorHAnsi" w:hAnsi="Arial"/>
        </w:rPr>
      </w:pPr>
      <w:r w:rsidRPr="00054033">
        <w:rPr>
          <w:rFonts w:ascii="Arial" w:eastAsiaTheme="minorHAnsi" w:hAnsi="Arial"/>
        </w:rPr>
        <w:t xml:space="preserve">Consultation with local industry regarding the </w:t>
      </w:r>
      <w:r w:rsidRPr="00054033">
        <w:rPr>
          <w:rFonts w:ascii="Arial" w:eastAsiaTheme="minorHAnsi" w:hAnsi="Arial"/>
          <w:i/>
        </w:rPr>
        <w:t>Building Confidence</w:t>
      </w:r>
      <w:r w:rsidRPr="00054033">
        <w:rPr>
          <w:rFonts w:ascii="Arial" w:eastAsiaTheme="minorHAnsi" w:hAnsi="Arial"/>
        </w:rPr>
        <w:t xml:space="preserve"> report in late 2018 showed that stakeholders recognise that reform is required and that an industry-wide approach is preferred.</w:t>
      </w:r>
    </w:p>
    <w:p w14:paraId="3D60C422" w14:textId="77777777" w:rsidR="007B5515" w:rsidRPr="00892ACF" w:rsidRDefault="007B5515" w:rsidP="005C7A68">
      <w:pPr>
        <w:pStyle w:val="Heading3"/>
      </w:pPr>
      <w:r w:rsidRPr="00892ACF">
        <w:t>Reforms underway</w:t>
      </w:r>
    </w:p>
    <w:p w14:paraId="44511867" w14:textId="77777777" w:rsidR="007B5515" w:rsidRPr="00054033" w:rsidRDefault="007B5515" w:rsidP="007B5515">
      <w:pPr>
        <w:rPr>
          <w:rFonts w:ascii="Arial" w:eastAsiaTheme="minorHAnsi" w:hAnsi="Arial"/>
        </w:rPr>
      </w:pPr>
      <w:r w:rsidRPr="00054033">
        <w:rPr>
          <w:rFonts w:ascii="Arial" w:eastAsiaTheme="minorHAnsi" w:hAnsi="Arial"/>
        </w:rPr>
        <w:t>Work is underway to review frameworks relating to enforcement that will be viable if implemented in the context of a small jurisdiction.</w:t>
      </w:r>
    </w:p>
    <w:p w14:paraId="76220F44" w14:textId="77777777" w:rsidR="007B5515" w:rsidRPr="00892ACF" w:rsidRDefault="007B5515" w:rsidP="005C7A68">
      <w:pPr>
        <w:pStyle w:val="Heading3"/>
      </w:pPr>
      <w:r w:rsidRPr="00892ACF">
        <w:t>Planned reforms</w:t>
      </w:r>
    </w:p>
    <w:p w14:paraId="13B09A78" w14:textId="063B4154" w:rsidR="007B5515" w:rsidRPr="00054033" w:rsidRDefault="007B5515" w:rsidP="007B5515">
      <w:pPr>
        <w:rPr>
          <w:rFonts w:ascii="Arial" w:eastAsiaTheme="minorHAnsi" w:hAnsi="Arial"/>
        </w:rPr>
      </w:pPr>
      <w:r w:rsidRPr="00054033">
        <w:rPr>
          <w:rFonts w:ascii="Arial" w:eastAsiaTheme="minorHAnsi" w:hAnsi="Arial"/>
        </w:rPr>
        <w:t>Recommendations 1, 2, 7, 9, 11 and 18 have been partially implemented already.</w:t>
      </w:r>
      <w:r w:rsidR="00086FFD">
        <w:rPr>
          <w:rFonts w:ascii="Arial" w:eastAsiaTheme="minorHAnsi" w:hAnsi="Arial"/>
        </w:rPr>
        <w:t xml:space="preserve"> </w:t>
      </w:r>
      <w:r w:rsidRPr="00054033">
        <w:rPr>
          <w:rFonts w:ascii="Arial" w:eastAsiaTheme="minorHAnsi" w:hAnsi="Arial"/>
        </w:rPr>
        <w:t>Implementation of recommendations 3, 4, 16, 17, 19 and 20 is supported in-principle.</w:t>
      </w:r>
      <w:r w:rsidR="00086FFD">
        <w:rPr>
          <w:rFonts w:ascii="Arial" w:eastAsiaTheme="minorHAnsi" w:hAnsi="Arial"/>
        </w:rPr>
        <w:t xml:space="preserve"> </w:t>
      </w:r>
      <w:r w:rsidRPr="00054033">
        <w:rPr>
          <w:rFonts w:ascii="Arial" w:eastAsiaTheme="minorHAnsi" w:hAnsi="Arial"/>
        </w:rPr>
        <w:t>Of those, recommendations 1, 2, 3, 19 and 20 will require a nationally harmonised response and the NT is committed to working with the SOG, BRF and ABCB.</w:t>
      </w:r>
    </w:p>
    <w:p w14:paraId="79229D52" w14:textId="1D3C07DA" w:rsidR="007B5515" w:rsidRPr="00054033" w:rsidRDefault="007B5515" w:rsidP="007B5515">
      <w:pPr>
        <w:rPr>
          <w:rFonts w:ascii="Arial" w:eastAsiaTheme="minorHAnsi" w:hAnsi="Arial"/>
        </w:rPr>
      </w:pPr>
      <w:r w:rsidRPr="00054033">
        <w:rPr>
          <w:rFonts w:ascii="Arial" w:eastAsiaTheme="minorHAnsi" w:hAnsi="Arial"/>
        </w:rPr>
        <w:t>Reforms to fully implement remaining recommendations 4, 7,</w:t>
      </w:r>
      <w:r w:rsidR="003D3F57">
        <w:rPr>
          <w:rFonts w:ascii="Arial" w:eastAsiaTheme="minorHAnsi" w:hAnsi="Arial"/>
        </w:rPr>
        <w:t xml:space="preserve"> 9, 11, 16, 17 and 18 on a risk</w:t>
      </w:r>
      <w:r w:rsidR="003D3F57">
        <w:rPr>
          <w:rFonts w:ascii="Arial" w:eastAsiaTheme="minorHAnsi" w:hAnsi="Arial"/>
        </w:rPr>
        <w:noBreakHyphen/>
      </w:r>
      <w:r w:rsidRPr="00054033">
        <w:rPr>
          <w:rFonts w:ascii="Arial" w:eastAsiaTheme="minorHAnsi" w:hAnsi="Arial"/>
        </w:rPr>
        <w:t>based and outcome-focussed basis will be developed by reviewing frameworks in other jurisdictions that have already implemented those recommendations.</w:t>
      </w:r>
    </w:p>
    <w:p w14:paraId="3FFA47AD" w14:textId="77777777" w:rsidR="007B5515" w:rsidRPr="00892ACF" w:rsidRDefault="007B5515" w:rsidP="005C7A68">
      <w:pPr>
        <w:pStyle w:val="Heading3"/>
      </w:pPr>
      <w:r w:rsidRPr="00892ACF">
        <w:t>Timeframes</w:t>
      </w:r>
    </w:p>
    <w:p w14:paraId="7F9C9F78" w14:textId="77777777" w:rsidR="007B5515" w:rsidRPr="00054033" w:rsidRDefault="007B5515" w:rsidP="007B5515">
      <w:pPr>
        <w:rPr>
          <w:rFonts w:ascii="Arial" w:eastAsiaTheme="minorHAnsi" w:hAnsi="Arial"/>
        </w:rPr>
      </w:pPr>
      <w:r w:rsidRPr="00054033">
        <w:rPr>
          <w:rFonts w:ascii="Arial" w:eastAsiaTheme="minorHAnsi" w:hAnsi="Arial"/>
        </w:rPr>
        <w:t>The reforms below will require detailed policy investigation and development in the short to medium</w:t>
      </w:r>
      <w:r w:rsidRPr="00054033">
        <w:rPr>
          <w:rFonts w:ascii="Arial" w:eastAsiaTheme="minorHAnsi" w:hAnsi="Arial"/>
        </w:rPr>
        <w:noBreakHyphen/>
        <w:t>term and legislative reforms will be implemented in the third year of the implementation plan to allow for further consultation with industry and the normal legislative amendment process to take place.</w:t>
      </w:r>
    </w:p>
    <w:tbl>
      <w:tblPr>
        <w:tblW w:w="982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148"/>
        <w:gridCol w:w="2653"/>
        <w:gridCol w:w="2024"/>
      </w:tblGrid>
      <w:tr w:rsidR="007B5515" w:rsidRPr="00054033" w14:paraId="7BECAF0F" w14:textId="77777777" w:rsidTr="000E2B6D">
        <w:trPr>
          <w:trHeight w:val="564"/>
        </w:trPr>
        <w:tc>
          <w:tcPr>
            <w:tcW w:w="5148" w:type="dxa"/>
            <w:shd w:val="clear" w:color="auto" w:fill="005677"/>
            <w:vAlign w:val="center"/>
          </w:tcPr>
          <w:p w14:paraId="369EC6D0" w14:textId="77777777" w:rsidR="007B5515" w:rsidRPr="008D164F" w:rsidRDefault="007B5515" w:rsidP="000E2B6D">
            <w:pPr>
              <w:spacing w:before="60" w:after="60" w:line="240" w:lineRule="auto"/>
              <w:jc w:val="center"/>
              <w:rPr>
                <w:rFonts w:ascii="Arial" w:eastAsiaTheme="minorHAnsi" w:hAnsi="Arial"/>
                <w:b/>
                <w:bCs/>
                <w:color w:val="FFFFFF" w:themeColor="background1"/>
                <w:sz w:val="20"/>
                <w:szCs w:val="20"/>
              </w:rPr>
            </w:pPr>
            <w:r w:rsidRPr="008D164F">
              <w:rPr>
                <w:rFonts w:ascii="Arial" w:eastAsiaTheme="minorHAnsi" w:hAnsi="Arial"/>
                <w:b/>
                <w:bCs/>
                <w:color w:val="FFFFFF" w:themeColor="background1"/>
                <w:sz w:val="20"/>
                <w:szCs w:val="20"/>
              </w:rPr>
              <w:t>Reform</w:t>
            </w:r>
          </w:p>
        </w:tc>
        <w:tc>
          <w:tcPr>
            <w:tcW w:w="2653" w:type="dxa"/>
            <w:shd w:val="clear" w:color="auto" w:fill="005677"/>
            <w:vAlign w:val="center"/>
          </w:tcPr>
          <w:p w14:paraId="043DFC19" w14:textId="77777777" w:rsidR="007B5515" w:rsidRPr="008D164F" w:rsidRDefault="007B5515" w:rsidP="000E2B6D">
            <w:pPr>
              <w:spacing w:before="60" w:after="60" w:line="240" w:lineRule="auto"/>
              <w:jc w:val="center"/>
              <w:rPr>
                <w:rFonts w:ascii="Arial" w:eastAsiaTheme="minorHAnsi" w:hAnsi="Arial"/>
                <w:b/>
                <w:bCs/>
                <w:color w:val="FFFFFF" w:themeColor="background1"/>
                <w:sz w:val="20"/>
                <w:szCs w:val="20"/>
              </w:rPr>
            </w:pPr>
            <w:r w:rsidRPr="008D164F">
              <w:rPr>
                <w:rFonts w:ascii="Arial" w:eastAsiaTheme="minorHAnsi" w:hAnsi="Arial"/>
                <w:b/>
                <w:bCs/>
                <w:color w:val="FFFFFF" w:themeColor="background1"/>
                <w:sz w:val="20"/>
                <w:szCs w:val="20"/>
              </w:rPr>
              <w:t>Associated recommendation</w:t>
            </w:r>
          </w:p>
        </w:tc>
        <w:tc>
          <w:tcPr>
            <w:tcW w:w="2024" w:type="dxa"/>
            <w:shd w:val="clear" w:color="auto" w:fill="005677"/>
            <w:vAlign w:val="center"/>
          </w:tcPr>
          <w:p w14:paraId="58FCF916" w14:textId="77777777" w:rsidR="007B5515" w:rsidRPr="008D164F" w:rsidRDefault="007B5515" w:rsidP="000E2B6D">
            <w:pPr>
              <w:spacing w:before="60" w:after="60" w:line="240" w:lineRule="auto"/>
              <w:jc w:val="center"/>
              <w:rPr>
                <w:rFonts w:ascii="Arial" w:eastAsiaTheme="minorHAnsi" w:hAnsi="Arial"/>
                <w:b/>
                <w:bCs/>
                <w:color w:val="FFFFFF" w:themeColor="background1"/>
                <w:sz w:val="20"/>
                <w:szCs w:val="20"/>
              </w:rPr>
            </w:pPr>
            <w:r w:rsidRPr="008D164F">
              <w:rPr>
                <w:rFonts w:ascii="Arial" w:eastAsiaTheme="minorHAnsi" w:hAnsi="Arial"/>
                <w:b/>
                <w:bCs/>
                <w:color w:val="FFFFFF" w:themeColor="background1"/>
                <w:sz w:val="20"/>
                <w:szCs w:val="20"/>
              </w:rPr>
              <w:t>Timeframe</w:t>
            </w:r>
          </w:p>
        </w:tc>
      </w:tr>
      <w:tr w:rsidR="007B5515" w:rsidRPr="00054033" w14:paraId="398D8F39" w14:textId="77777777" w:rsidTr="003D3F57">
        <w:tc>
          <w:tcPr>
            <w:tcW w:w="5148" w:type="dxa"/>
            <w:shd w:val="clear" w:color="auto" w:fill="F2F2F2" w:themeFill="background1" w:themeFillShade="F2"/>
            <w:vAlign w:val="center"/>
          </w:tcPr>
          <w:p w14:paraId="4204CC22" w14:textId="77777777" w:rsidR="007B5515" w:rsidRPr="008D164F" w:rsidRDefault="007B5515" w:rsidP="008D164F">
            <w:pPr>
              <w:spacing w:before="60" w:after="60" w:line="240" w:lineRule="auto"/>
              <w:rPr>
                <w:rFonts w:ascii="Arial" w:eastAsiaTheme="minorHAnsi" w:hAnsi="Arial"/>
                <w:sz w:val="20"/>
                <w:szCs w:val="20"/>
              </w:rPr>
            </w:pPr>
            <w:r w:rsidRPr="008D164F">
              <w:rPr>
                <w:rFonts w:ascii="Arial" w:eastAsiaTheme="minorHAnsi" w:hAnsi="Arial"/>
                <w:sz w:val="20"/>
                <w:szCs w:val="20"/>
              </w:rPr>
              <w:t>Registration and training of practitioners</w:t>
            </w:r>
          </w:p>
        </w:tc>
        <w:tc>
          <w:tcPr>
            <w:tcW w:w="2653" w:type="dxa"/>
            <w:shd w:val="clear" w:color="auto" w:fill="auto"/>
            <w:vAlign w:val="center"/>
          </w:tcPr>
          <w:p w14:paraId="4D180D97" w14:textId="77777777" w:rsidR="007B5515" w:rsidRPr="008D164F" w:rsidRDefault="007B5515" w:rsidP="008D164F">
            <w:pPr>
              <w:spacing w:before="60" w:after="60" w:line="240" w:lineRule="auto"/>
              <w:jc w:val="center"/>
              <w:rPr>
                <w:rFonts w:ascii="Arial" w:eastAsiaTheme="minorHAnsi" w:hAnsi="Arial"/>
                <w:sz w:val="20"/>
                <w:szCs w:val="20"/>
              </w:rPr>
            </w:pPr>
            <w:r w:rsidRPr="008D164F">
              <w:rPr>
                <w:rFonts w:ascii="Arial" w:eastAsiaTheme="minorHAnsi" w:hAnsi="Arial"/>
                <w:sz w:val="20"/>
                <w:szCs w:val="20"/>
              </w:rPr>
              <w:t>1, 2, 3 and 4</w:t>
            </w:r>
          </w:p>
        </w:tc>
        <w:tc>
          <w:tcPr>
            <w:tcW w:w="2024" w:type="dxa"/>
            <w:shd w:val="clear" w:color="auto" w:fill="auto"/>
            <w:vAlign w:val="center"/>
          </w:tcPr>
          <w:p w14:paraId="2ECE4082" w14:textId="77777777" w:rsidR="007B5515" w:rsidRPr="008D164F" w:rsidRDefault="007B5515" w:rsidP="008D164F">
            <w:pPr>
              <w:spacing w:before="60" w:after="60" w:line="240" w:lineRule="auto"/>
              <w:jc w:val="center"/>
              <w:rPr>
                <w:rFonts w:ascii="Arial" w:eastAsiaTheme="minorHAnsi" w:hAnsi="Arial"/>
                <w:sz w:val="20"/>
                <w:szCs w:val="20"/>
              </w:rPr>
            </w:pPr>
            <w:r w:rsidRPr="008D164F">
              <w:rPr>
                <w:rFonts w:ascii="Arial" w:eastAsiaTheme="minorHAnsi" w:hAnsi="Arial"/>
                <w:sz w:val="20"/>
                <w:szCs w:val="20"/>
              </w:rPr>
              <w:t>Long-term</w:t>
            </w:r>
          </w:p>
        </w:tc>
      </w:tr>
      <w:tr w:rsidR="007B5515" w:rsidRPr="00054033" w14:paraId="518339CC" w14:textId="77777777" w:rsidTr="003D3F57">
        <w:tc>
          <w:tcPr>
            <w:tcW w:w="5148" w:type="dxa"/>
            <w:shd w:val="clear" w:color="auto" w:fill="F2F2F2" w:themeFill="background1" w:themeFillShade="F2"/>
            <w:vAlign w:val="center"/>
          </w:tcPr>
          <w:p w14:paraId="06BC48F0" w14:textId="77777777" w:rsidR="007B5515" w:rsidRPr="008D164F" w:rsidRDefault="007B5515" w:rsidP="008D164F">
            <w:pPr>
              <w:spacing w:before="60" w:after="60" w:line="240" w:lineRule="auto"/>
              <w:rPr>
                <w:rFonts w:ascii="Arial" w:eastAsiaTheme="minorHAnsi" w:hAnsi="Arial"/>
                <w:sz w:val="20"/>
                <w:szCs w:val="20"/>
              </w:rPr>
            </w:pPr>
            <w:r w:rsidRPr="008D164F">
              <w:rPr>
                <w:rFonts w:ascii="Arial" w:eastAsiaTheme="minorHAnsi" w:hAnsi="Arial"/>
                <w:sz w:val="20"/>
                <w:szCs w:val="20"/>
              </w:rPr>
              <w:t>Roles and responsibilities of regulators</w:t>
            </w:r>
          </w:p>
        </w:tc>
        <w:tc>
          <w:tcPr>
            <w:tcW w:w="2653" w:type="dxa"/>
            <w:shd w:val="clear" w:color="auto" w:fill="auto"/>
            <w:vAlign w:val="center"/>
          </w:tcPr>
          <w:p w14:paraId="0046E0C1" w14:textId="77777777" w:rsidR="007B5515" w:rsidRPr="008D164F" w:rsidRDefault="007B5515" w:rsidP="008D164F">
            <w:pPr>
              <w:spacing w:before="60" w:after="60" w:line="240" w:lineRule="auto"/>
              <w:jc w:val="center"/>
              <w:rPr>
                <w:rFonts w:ascii="Arial" w:eastAsiaTheme="minorHAnsi" w:hAnsi="Arial"/>
                <w:sz w:val="20"/>
                <w:szCs w:val="20"/>
              </w:rPr>
            </w:pPr>
            <w:r w:rsidRPr="008D164F">
              <w:rPr>
                <w:rFonts w:ascii="Arial" w:eastAsiaTheme="minorHAnsi" w:hAnsi="Arial"/>
                <w:sz w:val="20"/>
                <w:szCs w:val="20"/>
              </w:rPr>
              <w:t>7</w:t>
            </w:r>
          </w:p>
        </w:tc>
        <w:tc>
          <w:tcPr>
            <w:tcW w:w="2024" w:type="dxa"/>
            <w:shd w:val="clear" w:color="auto" w:fill="auto"/>
            <w:vAlign w:val="center"/>
          </w:tcPr>
          <w:p w14:paraId="3A28FD1E" w14:textId="77777777" w:rsidR="007B5515" w:rsidRPr="008D164F" w:rsidRDefault="007B5515" w:rsidP="008D164F">
            <w:pPr>
              <w:spacing w:before="60" w:after="60" w:line="240" w:lineRule="auto"/>
              <w:jc w:val="center"/>
              <w:rPr>
                <w:rFonts w:ascii="Arial" w:eastAsiaTheme="minorHAnsi" w:hAnsi="Arial"/>
                <w:sz w:val="20"/>
                <w:szCs w:val="20"/>
              </w:rPr>
            </w:pPr>
            <w:r w:rsidRPr="008D164F">
              <w:rPr>
                <w:rFonts w:ascii="Arial" w:eastAsiaTheme="minorHAnsi" w:hAnsi="Arial"/>
                <w:sz w:val="20"/>
                <w:szCs w:val="20"/>
              </w:rPr>
              <w:t>Long-term</w:t>
            </w:r>
          </w:p>
        </w:tc>
      </w:tr>
      <w:tr w:rsidR="007B5515" w:rsidRPr="00054033" w14:paraId="04B2FED2" w14:textId="77777777" w:rsidTr="003D3F57">
        <w:tc>
          <w:tcPr>
            <w:tcW w:w="5148" w:type="dxa"/>
            <w:shd w:val="clear" w:color="auto" w:fill="F2F2F2" w:themeFill="background1" w:themeFillShade="F2"/>
            <w:vAlign w:val="center"/>
          </w:tcPr>
          <w:p w14:paraId="324D1D6E" w14:textId="77777777" w:rsidR="007B5515" w:rsidRPr="008D164F" w:rsidRDefault="007B5515" w:rsidP="008D164F">
            <w:pPr>
              <w:spacing w:before="60" w:after="60" w:line="240" w:lineRule="auto"/>
              <w:rPr>
                <w:rFonts w:ascii="Arial" w:eastAsiaTheme="minorHAnsi" w:hAnsi="Arial"/>
                <w:sz w:val="20"/>
                <w:szCs w:val="20"/>
              </w:rPr>
            </w:pPr>
            <w:r w:rsidRPr="008D164F">
              <w:rPr>
                <w:rFonts w:ascii="Arial" w:eastAsiaTheme="minorHAnsi" w:hAnsi="Arial"/>
                <w:sz w:val="20"/>
                <w:szCs w:val="20"/>
              </w:rPr>
              <w:t>Integrity of building certifiers</w:t>
            </w:r>
          </w:p>
        </w:tc>
        <w:tc>
          <w:tcPr>
            <w:tcW w:w="2653" w:type="dxa"/>
            <w:shd w:val="clear" w:color="auto" w:fill="auto"/>
            <w:vAlign w:val="center"/>
          </w:tcPr>
          <w:p w14:paraId="536EC207" w14:textId="77777777" w:rsidR="007B5515" w:rsidRPr="008D164F" w:rsidRDefault="007B5515" w:rsidP="008D164F">
            <w:pPr>
              <w:spacing w:before="60" w:after="60" w:line="240" w:lineRule="auto"/>
              <w:jc w:val="center"/>
              <w:rPr>
                <w:rFonts w:ascii="Arial" w:eastAsiaTheme="minorHAnsi" w:hAnsi="Arial"/>
                <w:sz w:val="20"/>
                <w:szCs w:val="20"/>
              </w:rPr>
            </w:pPr>
            <w:r w:rsidRPr="008D164F">
              <w:rPr>
                <w:rFonts w:ascii="Arial" w:eastAsiaTheme="minorHAnsi" w:hAnsi="Arial"/>
                <w:sz w:val="20"/>
                <w:szCs w:val="20"/>
              </w:rPr>
              <w:t>9 and 11</w:t>
            </w:r>
          </w:p>
        </w:tc>
        <w:tc>
          <w:tcPr>
            <w:tcW w:w="2024" w:type="dxa"/>
            <w:shd w:val="clear" w:color="auto" w:fill="auto"/>
            <w:vAlign w:val="center"/>
          </w:tcPr>
          <w:p w14:paraId="5B1661CE" w14:textId="77777777" w:rsidR="007B5515" w:rsidRPr="008D164F" w:rsidRDefault="007B5515" w:rsidP="008D164F">
            <w:pPr>
              <w:spacing w:before="60" w:after="60" w:line="240" w:lineRule="auto"/>
              <w:jc w:val="center"/>
              <w:rPr>
                <w:rFonts w:ascii="Arial" w:eastAsiaTheme="minorHAnsi" w:hAnsi="Arial"/>
                <w:sz w:val="20"/>
                <w:szCs w:val="20"/>
              </w:rPr>
            </w:pPr>
            <w:r w:rsidRPr="008D164F">
              <w:rPr>
                <w:rFonts w:ascii="Arial" w:eastAsiaTheme="minorHAnsi" w:hAnsi="Arial"/>
                <w:sz w:val="20"/>
                <w:szCs w:val="20"/>
              </w:rPr>
              <w:t>Long-term</w:t>
            </w:r>
          </w:p>
        </w:tc>
      </w:tr>
      <w:tr w:rsidR="007B5515" w:rsidRPr="00054033" w14:paraId="640E1EF4" w14:textId="77777777" w:rsidTr="003D3F57">
        <w:tc>
          <w:tcPr>
            <w:tcW w:w="5148" w:type="dxa"/>
            <w:shd w:val="clear" w:color="auto" w:fill="F2F2F2" w:themeFill="background1" w:themeFillShade="F2"/>
            <w:vAlign w:val="center"/>
          </w:tcPr>
          <w:p w14:paraId="61E66FBD" w14:textId="77777777" w:rsidR="007B5515" w:rsidRPr="008D164F" w:rsidRDefault="007B5515" w:rsidP="008D164F">
            <w:pPr>
              <w:spacing w:before="60" w:after="60" w:line="240" w:lineRule="auto"/>
              <w:rPr>
                <w:rFonts w:ascii="Arial" w:eastAsiaTheme="minorHAnsi" w:hAnsi="Arial"/>
                <w:sz w:val="20"/>
                <w:szCs w:val="20"/>
              </w:rPr>
            </w:pPr>
            <w:r w:rsidRPr="008D164F">
              <w:rPr>
                <w:rFonts w:ascii="Arial" w:eastAsiaTheme="minorHAnsi" w:hAnsi="Arial"/>
                <w:sz w:val="20"/>
                <w:szCs w:val="20"/>
              </w:rPr>
              <w:t>Adequacy of documentation and record keeping</w:t>
            </w:r>
          </w:p>
        </w:tc>
        <w:tc>
          <w:tcPr>
            <w:tcW w:w="2653" w:type="dxa"/>
            <w:shd w:val="clear" w:color="auto" w:fill="auto"/>
            <w:vAlign w:val="center"/>
          </w:tcPr>
          <w:p w14:paraId="6059A15D" w14:textId="77777777" w:rsidR="007B5515" w:rsidRPr="008D164F" w:rsidRDefault="007B5515" w:rsidP="008D164F">
            <w:pPr>
              <w:spacing w:before="60" w:after="60" w:line="240" w:lineRule="auto"/>
              <w:jc w:val="center"/>
              <w:rPr>
                <w:rFonts w:ascii="Arial" w:eastAsiaTheme="minorHAnsi" w:hAnsi="Arial"/>
                <w:sz w:val="20"/>
                <w:szCs w:val="20"/>
              </w:rPr>
            </w:pPr>
            <w:r w:rsidRPr="008D164F">
              <w:rPr>
                <w:rFonts w:ascii="Arial" w:eastAsiaTheme="minorHAnsi" w:hAnsi="Arial"/>
                <w:sz w:val="20"/>
                <w:szCs w:val="20"/>
              </w:rPr>
              <w:t>16 and 17</w:t>
            </w:r>
          </w:p>
        </w:tc>
        <w:tc>
          <w:tcPr>
            <w:tcW w:w="2024" w:type="dxa"/>
            <w:shd w:val="clear" w:color="auto" w:fill="auto"/>
            <w:vAlign w:val="center"/>
          </w:tcPr>
          <w:p w14:paraId="699068B7" w14:textId="77777777" w:rsidR="007B5515" w:rsidRPr="008D164F" w:rsidRDefault="007B5515" w:rsidP="008D164F">
            <w:pPr>
              <w:spacing w:before="60" w:after="60" w:line="240" w:lineRule="auto"/>
              <w:jc w:val="center"/>
              <w:rPr>
                <w:rFonts w:ascii="Arial" w:eastAsiaTheme="minorHAnsi" w:hAnsi="Arial"/>
                <w:sz w:val="20"/>
                <w:szCs w:val="20"/>
              </w:rPr>
            </w:pPr>
            <w:r w:rsidRPr="008D164F">
              <w:rPr>
                <w:rFonts w:ascii="Arial" w:eastAsiaTheme="minorHAnsi" w:hAnsi="Arial"/>
                <w:sz w:val="20"/>
                <w:szCs w:val="20"/>
              </w:rPr>
              <w:t>Long-term</w:t>
            </w:r>
          </w:p>
        </w:tc>
      </w:tr>
      <w:tr w:rsidR="007B5515" w:rsidRPr="00054033" w14:paraId="5A4BC18F" w14:textId="77777777" w:rsidTr="003D3F57">
        <w:tc>
          <w:tcPr>
            <w:tcW w:w="5148" w:type="dxa"/>
            <w:shd w:val="clear" w:color="auto" w:fill="F2F2F2" w:themeFill="background1" w:themeFillShade="F2"/>
            <w:vAlign w:val="center"/>
          </w:tcPr>
          <w:p w14:paraId="0CC654C1" w14:textId="77777777" w:rsidR="007B5515" w:rsidRPr="008D164F" w:rsidRDefault="007B5515" w:rsidP="008D164F">
            <w:pPr>
              <w:spacing w:before="60" w:after="60" w:line="240" w:lineRule="auto"/>
              <w:rPr>
                <w:rFonts w:ascii="Arial" w:eastAsiaTheme="minorHAnsi" w:hAnsi="Arial"/>
                <w:sz w:val="20"/>
                <w:szCs w:val="20"/>
              </w:rPr>
            </w:pPr>
            <w:r w:rsidRPr="008D164F">
              <w:rPr>
                <w:rFonts w:ascii="Arial" w:eastAsiaTheme="minorHAnsi" w:hAnsi="Arial"/>
                <w:sz w:val="20"/>
                <w:szCs w:val="20"/>
              </w:rPr>
              <w:t>Inspection regimes</w:t>
            </w:r>
          </w:p>
        </w:tc>
        <w:tc>
          <w:tcPr>
            <w:tcW w:w="2653" w:type="dxa"/>
            <w:shd w:val="clear" w:color="auto" w:fill="auto"/>
            <w:vAlign w:val="center"/>
          </w:tcPr>
          <w:p w14:paraId="2FAE28FC" w14:textId="77777777" w:rsidR="007B5515" w:rsidRPr="008D164F" w:rsidRDefault="007B5515" w:rsidP="008D164F">
            <w:pPr>
              <w:spacing w:before="60" w:after="60" w:line="240" w:lineRule="auto"/>
              <w:jc w:val="center"/>
              <w:rPr>
                <w:rFonts w:ascii="Arial" w:eastAsiaTheme="minorHAnsi" w:hAnsi="Arial"/>
                <w:sz w:val="20"/>
                <w:szCs w:val="20"/>
              </w:rPr>
            </w:pPr>
            <w:r w:rsidRPr="008D164F">
              <w:rPr>
                <w:rFonts w:ascii="Arial" w:eastAsiaTheme="minorHAnsi" w:hAnsi="Arial"/>
                <w:sz w:val="20"/>
                <w:szCs w:val="20"/>
              </w:rPr>
              <w:t>18 and 19</w:t>
            </w:r>
          </w:p>
        </w:tc>
        <w:tc>
          <w:tcPr>
            <w:tcW w:w="2024" w:type="dxa"/>
            <w:shd w:val="clear" w:color="auto" w:fill="auto"/>
            <w:vAlign w:val="center"/>
          </w:tcPr>
          <w:p w14:paraId="47672037" w14:textId="77777777" w:rsidR="007B5515" w:rsidRPr="008D164F" w:rsidRDefault="007B5515" w:rsidP="008D164F">
            <w:pPr>
              <w:spacing w:before="60" w:after="60" w:line="240" w:lineRule="auto"/>
              <w:jc w:val="center"/>
              <w:rPr>
                <w:rFonts w:ascii="Arial" w:eastAsiaTheme="minorHAnsi" w:hAnsi="Arial"/>
                <w:sz w:val="20"/>
                <w:szCs w:val="20"/>
              </w:rPr>
            </w:pPr>
            <w:r w:rsidRPr="008D164F">
              <w:rPr>
                <w:rFonts w:ascii="Arial" w:eastAsiaTheme="minorHAnsi" w:hAnsi="Arial"/>
                <w:sz w:val="20"/>
                <w:szCs w:val="20"/>
              </w:rPr>
              <w:t>Long-term</w:t>
            </w:r>
          </w:p>
        </w:tc>
      </w:tr>
      <w:tr w:rsidR="007B5515" w:rsidRPr="00054033" w14:paraId="40083D1D" w14:textId="77777777" w:rsidTr="003D3F57">
        <w:tc>
          <w:tcPr>
            <w:tcW w:w="5148" w:type="dxa"/>
            <w:shd w:val="clear" w:color="auto" w:fill="F2F2F2" w:themeFill="background1" w:themeFillShade="F2"/>
            <w:vAlign w:val="center"/>
          </w:tcPr>
          <w:p w14:paraId="274D7426" w14:textId="77777777" w:rsidR="007B5515" w:rsidRPr="008D164F" w:rsidRDefault="007B5515" w:rsidP="008D164F">
            <w:pPr>
              <w:spacing w:before="60" w:after="60" w:line="240" w:lineRule="auto"/>
              <w:rPr>
                <w:rFonts w:ascii="Arial" w:eastAsiaTheme="minorHAnsi" w:hAnsi="Arial"/>
                <w:sz w:val="20"/>
                <w:szCs w:val="20"/>
              </w:rPr>
            </w:pPr>
            <w:r w:rsidRPr="008D164F">
              <w:rPr>
                <w:rFonts w:ascii="Arial" w:eastAsiaTheme="minorHAnsi" w:hAnsi="Arial"/>
                <w:sz w:val="20"/>
                <w:szCs w:val="20"/>
              </w:rPr>
              <w:t>Post-construction information management</w:t>
            </w:r>
          </w:p>
        </w:tc>
        <w:tc>
          <w:tcPr>
            <w:tcW w:w="2653" w:type="dxa"/>
            <w:shd w:val="clear" w:color="auto" w:fill="auto"/>
            <w:vAlign w:val="center"/>
          </w:tcPr>
          <w:p w14:paraId="616DB08B" w14:textId="77777777" w:rsidR="007B5515" w:rsidRPr="008D164F" w:rsidRDefault="007B5515" w:rsidP="008D164F">
            <w:pPr>
              <w:spacing w:before="60" w:after="60" w:line="240" w:lineRule="auto"/>
              <w:jc w:val="center"/>
              <w:rPr>
                <w:rFonts w:ascii="Arial" w:eastAsiaTheme="minorHAnsi" w:hAnsi="Arial"/>
                <w:sz w:val="20"/>
                <w:szCs w:val="20"/>
              </w:rPr>
            </w:pPr>
            <w:r w:rsidRPr="008D164F">
              <w:rPr>
                <w:rFonts w:ascii="Arial" w:eastAsiaTheme="minorHAnsi" w:hAnsi="Arial"/>
                <w:sz w:val="20"/>
                <w:szCs w:val="20"/>
              </w:rPr>
              <w:t>20</w:t>
            </w:r>
          </w:p>
        </w:tc>
        <w:tc>
          <w:tcPr>
            <w:tcW w:w="2024" w:type="dxa"/>
            <w:shd w:val="clear" w:color="auto" w:fill="auto"/>
            <w:vAlign w:val="center"/>
          </w:tcPr>
          <w:p w14:paraId="481A9D10" w14:textId="77777777" w:rsidR="007B5515" w:rsidRPr="008D164F" w:rsidRDefault="007B5515" w:rsidP="008D164F">
            <w:pPr>
              <w:spacing w:before="60" w:after="60" w:line="240" w:lineRule="auto"/>
              <w:jc w:val="center"/>
              <w:rPr>
                <w:rFonts w:ascii="Arial" w:eastAsiaTheme="minorHAnsi" w:hAnsi="Arial"/>
                <w:sz w:val="20"/>
                <w:szCs w:val="20"/>
              </w:rPr>
            </w:pPr>
            <w:r w:rsidRPr="008D164F">
              <w:rPr>
                <w:rFonts w:ascii="Arial" w:eastAsiaTheme="minorHAnsi" w:hAnsi="Arial"/>
                <w:sz w:val="20"/>
                <w:szCs w:val="20"/>
              </w:rPr>
              <w:t>Long-term</w:t>
            </w:r>
          </w:p>
        </w:tc>
      </w:tr>
    </w:tbl>
    <w:p w14:paraId="171D5442" w14:textId="77777777" w:rsidR="007B5515" w:rsidRPr="00892ACF" w:rsidRDefault="007B5515" w:rsidP="005C7A68">
      <w:pPr>
        <w:pStyle w:val="Heading3"/>
      </w:pPr>
      <w:r w:rsidRPr="00892ACF">
        <w:t>Next steps</w:t>
      </w:r>
    </w:p>
    <w:p w14:paraId="3C49C489" w14:textId="1C40550F" w:rsidR="000440FA" w:rsidRDefault="007B5515" w:rsidP="007B5515">
      <w:pPr>
        <w:rPr>
          <w:rFonts w:ascii="Arial" w:eastAsiaTheme="minorHAnsi" w:hAnsi="Arial"/>
        </w:rPr>
      </w:pPr>
      <w:r w:rsidRPr="00054033">
        <w:rPr>
          <w:rFonts w:ascii="Arial" w:eastAsiaTheme="minorHAnsi" w:hAnsi="Arial"/>
        </w:rPr>
        <w:t xml:space="preserve">The Northern Territory Government has commenced investigations and policy development for the identified reforms above and will prepare a building reform package for industry and community consultation in the latter half of 2019. </w:t>
      </w:r>
    </w:p>
    <w:p w14:paraId="6B0BE48F" w14:textId="77777777" w:rsidR="000440FA" w:rsidRDefault="000440FA">
      <w:pPr>
        <w:rPr>
          <w:rFonts w:ascii="Arial" w:eastAsiaTheme="minorHAnsi" w:hAnsi="Arial"/>
        </w:rPr>
      </w:pPr>
      <w:r>
        <w:rPr>
          <w:rFonts w:ascii="Arial" w:eastAsiaTheme="minorHAnsi" w:hAnsi="Arial"/>
        </w:rPr>
        <w:br w:type="page"/>
      </w:r>
    </w:p>
    <w:p w14:paraId="2F34EBA1" w14:textId="7D76BEAE" w:rsidR="007B79AE" w:rsidRDefault="000440FA" w:rsidP="000440FA">
      <w:pPr>
        <w:pStyle w:val="Heading2"/>
        <w:rPr>
          <w:rFonts w:eastAsiaTheme="minorHAnsi"/>
        </w:rPr>
      </w:pPr>
      <w:bookmarkStart w:id="31" w:name="_Toc3991434"/>
      <w:r>
        <w:rPr>
          <w:rFonts w:eastAsiaTheme="minorHAnsi"/>
        </w:rPr>
        <w:lastRenderedPageBreak/>
        <w:t>Australian Building Codes Board (ABCB)</w:t>
      </w:r>
      <w:bookmarkEnd w:id="31"/>
    </w:p>
    <w:p w14:paraId="424C200F" w14:textId="32DB7241" w:rsidR="000440FA" w:rsidRDefault="000440FA" w:rsidP="000440FA">
      <w:pPr>
        <w:pStyle w:val="Heading3"/>
      </w:pPr>
      <w:r>
        <w:t>Overview</w:t>
      </w:r>
    </w:p>
    <w:p w14:paraId="02B999F7" w14:textId="5368A8A7" w:rsidR="000440FA" w:rsidRPr="00783787" w:rsidRDefault="000440FA" w:rsidP="000440FA">
      <w:pPr>
        <w:rPr>
          <w:rFonts w:ascii="Arial" w:eastAsiaTheme="minorHAnsi" w:hAnsi="Arial"/>
        </w:rPr>
      </w:pPr>
      <w:r w:rsidRPr="00783787">
        <w:rPr>
          <w:rFonts w:ascii="Arial" w:eastAsiaTheme="minorHAnsi" w:hAnsi="Arial"/>
        </w:rPr>
        <w:t xml:space="preserve">Whilst not a regulator in its own right, the ABCB plays a key role in national infrastructure for building regulation, helping support decisions of the BMF and acting as a COAG reform vehicle. </w:t>
      </w:r>
    </w:p>
    <w:p w14:paraId="520C33D8" w14:textId="667DA7AD" w:rsidR="000440FA" w:rsidRPr="00783787" w:rsidRDefault="000440FA" w:rsidP="000440FA">
      <w:pPr>
        <w:rPr>
          <w:rFonts w:ascii="Arial" w:eastAsiaTheme="minorHAnsi" w:hAnsi="Arial"/>
        </w:rPr>
      </w:pPr>
      <w:r w:rsidRPr="00783787">
        <w:rPr>
          <w:rFonts w:ascii="Arial" w:eastAsiaTheme="minorHAnsi" w:hAnsi="Arial"/>
        </w:rPr>
        <w:t>As part of its considerati</w:t>
      </w:r>
      <w:r w:rsidR="009C6385">
        <w:rPr>
          <w:rFonts w:ascii="Arial" w:eastAsiaTheme="minorHAnsi" w:hAnsi="Arial"/>
        </w:rPr>
        <w:t xml:space="preserve">on of the </w:t>
      </w:r>
      <w:r w:rsidR="009C6385" w:rsidRPr="009C6385">
        <w:rPr>
          <w:rFonts w:ascii="Arial" w:eastAsiaTheme="minorHAnsi" w:hAnsi="Arial"/>
          <w:i/>
        </w:rPr>
        <w:t>Building Confidence</w:t>
      </w:r>
      <w:r w:rsidR="009C6385">
        <w:rPr>
          <w:rFonts w:ascii="Arial" w:eastAsiaTheme="minorHAnsi" w:hAnsi="Arial"/>
        </w:rPr>
        <w:t xml:space="preserve"> r</w:t>
      </w:r>
      <w:r w:rsidRPr="00783787">
        <w:rPr>
          <w:rFonts w:ascii="Arial" w:eastAsiaTheme="minorHAnsi" w:hAnsi="Arial"/>
        </w:rPr>
        <w:t>eport and having regard to the charter of the ABCB, the BMF requested that the ABCB conduct w</w:t>
      </w:r>
      <w:r w:rsidR="009C6385">
        <w:rPr>
          <w:rFonts w:ascii="Arial" w:eastAsiaTheme="minorHAnsi" w:hAnsi="Arial"/>
        </w:rPr>
        <w:t>ork in relation to five of the r</w:t>
      </w:r>
      <w:r w:rsidRPr="00783787">
        <w:rPr>
          <w:rFonts w:ascii="Arial" w:eastAsiaTheme="minorHAnsi" w:hAnsi="Arial"/>
        </w:rPr>
        <w:t>eport’s recommendations, in coordination with the SOG, as outlined below.</w:t>
      </w:r>
    </w:p>
    <w:p w14:paraId="6E7D6892" w14:textId="65D95786" w:rsidR="000440FA" w:rsidRPr="00783787" w:rsidRDefault="000440FA" w:rsidP="000440FA">
      <w:pPr>
        <w:rPr>
          <w:rFonts w:ascii="Arial" w:eastAsiaTheme="minorHAnsi" w:hAnsi="Arial"/>
        </w:rPr>
      </w:pPr>
      <w:r w:rsidRPr="00783787">
        <w:rPr>
          <w:rFonts w:ascii="Arial" w:eastAsiaTheme="minorHAnsi" w:hAnsi="Arial"/>
        </w:rPr>
        <w:t>This work will align with the strategic priorities of the ABCB, which include improved safety and code compliance, and a well understood and utilised code, through improved NCC access, awareness, understanding and use.</w:t>
      </w:r>
    </w:p>
    <w:p w14:paraId="3CAD77CA" w14:textId="07159CF4" w:rsidR="000440FA" w:rsidRDefault="000440FA" w:rsidP="000440FA">
      <w:pPr>
        <w:pStyle w:val="Heading3"/>
      </w:pPr>
      <w:r>
        <w:t>Reforms underway</w:t>
      </w:r>
    </w:p>
    <w:p w14:paraId="6332EF24" w14:textId="44EC0325" w:rsidR="000440FA" w:rsidRDefault="000440FA" w:rsidP="000440FA">
      <w:pPr>
        <w:pStyle w:val="Heading4"/>
      </w:pPr>
      <w:r>
        <w:t>Educati</w:t>
      </w:r>
      <w:r w:rsidR="00B321B2">
        <w:t>on (parts of Recommendations 2 and</w:t>
      </w:r>
      <w:r>
        <w:t xml:space="preserve"> 3)</w:t>
      </w:r>
    </w:p>
    <w:p w14:paraId="410FC2DE" w14:textId="465EF57C" w:rsidR="000440FA" w:rsidRPr="00783787" w:rsidRDefault="000440FA" w:rsidP="000440FA">
      <w:pPr>
        <w:rPr>
          <w:rFonts w:ascii="Arial" w:eastAsiaTheme="minorHAnsi" w:hAnsi="Arial"/>
        </w:rPr>
      </w:pPr>
      <w:r w:rsidRPr="00783787">
        <w:rPr>
          <w:rFonts w:ascii="Arial" w:eastAsiaTheme="minorHAnsi" w:hAnsi="Arial"/>
        </w:rPr>
        <w:t xml:space="preserve">Work is underway </w:t>
      </w:r>
      <w:r w:rsidR="009C6385">
        <w:rPr>
          <w:rFonts w:ascii="Arial" w:eastAsiaTheme="minorHAnsi" w:hAnsi="Arial"/>
        </w:rPr>
        <w:t>to scope</w:t>
      </w:r>
      <w:r w:rsidRPr="00783787">
        <w:rPr>
          <w:rFonts w:ascii="Arial" w:eastAsiaTheme="minorHAnsi" w:hAnsi="Arial"/>
        </w:rPr>
        <w:t xml:space="preserve"> an enhanced education and awareness program. This project will look to develop digitally focused resources for Continuing Professional Development (CPD) units targeting existing practitioners in the building and plumbing sectors. This complements existing work by the ABCB to improve base level understanding of the NCC through free online access to the code, generic supporting materials, seminars and base level NCC education materials.</w:t>
      </w:r>
    </w:p>
    <w:p w14:paraId="6896440C" w14:textId="6A5648CD" w:rsidR="000440FA" w:rsidRPr="00783787" w:rsidRDefault="000440FA" w:rsidP="000440FA">
      <w:pPr>
        <w:rPr>
          <w:rFonts w:ascii="Arial" w:eastAsiaTheme="minorHAnsi" w:hAnsi="Arial"/>
        </w:rPr>
      </w:pPr>
      <w:r w:rsidRPr="00783787">
        <w:rPr>
          <w:rFonts w:ascii="Arial" w:eastAsiaTheme="minorHAnsi" w:hAnsi="Arial"/>
        </w:rPr>
        <w:t xml:space="preserve">This would be expanded to include NCC curriculum content for relevant vocational courses, coordinated with professional membership organisations responsible for accrediting these courses. </w:t>
      </w:r>
    </w:p>
    <w:p w14:paraId="5DFF9308" w14:textId="7FDA4A79" w:rsidR="000440FA" w:rsidRPr="00783787" w:rsidRDefault="00783787" w:rsidP="000440FA">
      <w:pPr>
        <w:rPr>
          <w:rFonts w:ascii="Arial" w:eastAsiaTheme="minorHAnsi" w:hAnsi="Arial"/>
        </w:rPr>
      </w:pPr>
      <w:r w:rsidRPr="00783787">
        <w:rPr>
          <w:rFonts w:ascii="Arial" w:eastAsiaTheme="minorHAnsi" w:hAnsi="Arial"/>
        </w:rPr>
        <w:t>Through this work a foundation can be laid for establishing core competencies in the application of the NCC, which can be linked by the states and territories to licencing and registration of practitioners.</w:t>
      </w:r>
    </w:p>
    <w:p w14:paraId="7CBD28FC" w14:textId="560CE780" w:rsidR="00783787" w:rsidRDefault="00783787" w:rsidP="00783787">
      <w:pPr>
        <w:pStyle w:val="Heading4"/>
      </w:pPr>
      <w:r>
        <w:t xml:space="preserve">International </w:t>
      </w:r>
      <w:r w:rsidR="001D74A3">
        <w:t>F</w:t>
      </w:r>
      <w:r>
        <w:t xml:space="preserve">ire </w:t>
      </w:r>
      <w:r w:rsidR="001D74A3">
        <w:t>E</w:t>
      </w:r>
      <w:r>
        <w:t xml:space="preserve">ngineering </w:t>
      </w:r>
      <w:r w:rsidR="001D74A3">
        <w:t>G</w:t>
      </w:r>
      <w:r>
        <w:t>uidelines (IFEG) (Recommendation 8)</w:t>
      </w:r>
    </w:p>
    <w:p w14:paraId="4ECF187F" w14:textId="0254A9FD" w:rsidR="00783787" w:rsidRDefault="00783787" w:rsidP="00783787">
      <w:pPr>
        <w:rPr>
          <w:rFonts w:ascii="Arial" w:hAnsi="Arial" w:cs="Arial"/>
        </w:rPr>
      </w:pPr>
      <w:r>
        <w:rPr>
          <w:rFonts w:ascii="Arial" w:hAnsi="Arial" w:cs="Arial"/>
        </w:rPr>
        <w:t xml:space="preserve">A review of the IFEG, which established acceptable practice for documenting fire safety Performance Solutions, has commenced. As part of this exercise, it has been agreed in-principle that the process for developing </w:t>
      </w:r>
      <w:r w:rsidR="005F7C0D">
        <w:rPr>
          <w:rFonts w:ascii="Arial" w:hAnsi="Arial" w:cs="Arial"/>
        </w:rPr>
        <w:t>Performance Solutions contained</w:t>
      </w:r>
      <w:r>
        <w:rPr>
          <w:rFonts w:ascii="Arial" w:hAnsi="Arial" w:cs="Arial"/>
        </w:rPr>
        <w:t xml:space="preserve"> in the IFEG could be referenced in the NCC Governing Requirements. </w:t>
      </w:r>
      <w:r w:rsidR="00D046AB">
        <w:rPr>
          <w:rFonts w:ascii="Arial" w:hAnsi="Arial" w:cs="Arial"/>
        </w:rPr>
        <w:t>This would help establish minimum levels of documentation, as well as greater consistency, in the preparation of Performance Solutions. In parallel but separate to this work, the IFEG will be updated with international contemporary guidance to ensure its ongoing suitability for use in Australia.</w:t>
      </w:r>
    </w:p>
    <w:p w14:paraId="5AB8E5CC" w14:textId="2915ADCB" w:rsidR="00D046AB" w:rsidRDefault="00D046AB" w:rsidP="00D046AB">
      <w:pPr>
        <w:pStyle w:val="Heading4"/>
      </w:pPr>
      <w:r>
        <w:t xml:space="preserve">Development of </w:t>
      </w:r>
      <w:r w:rsidR="001D74A3">
        <w:t>P</w:t>
      </w:r>
      <w:r>
        <w:t xml:space="preserve">erformance </w:t>
      </w:r>
      <w:r w:rsidR="001D74A3">
        <w:t>S</w:t>
      </w:r>
      <w:r>
        <w:t xml:space="preserve">olutions </w:t>
      </w:r>
      <w:r w:rsidR="001D74A3">
        <w:t>G</w:t>
      </w:r>
      <w:r>
        <w:t>uideline (Recommendation 14)</w:t>
      </w:r>
    </w:p>
    <w:p w14:paraId="050A1173" w14:textId="6FE724E0" w:rsidR="00D046AB" w:rsidRDefault="009C6385" w:rsidP="00D046AB">
      <w:pPr>
        <w:rPr>
          <w:rFonts w:ascii="Arial" w:hAnsi="Arial" w:cs="Arial"/>
        </w:rPr>
      </w:pPr>
      <w:r>
        <w:rPr>
          <w:rFonts w:ascii="Arial" w:hAnsi="Arial" w:cs="Arial"/>
        </w:rPr>
        <w:t xml:space="preserve">The </w:t>
      </w:r>
      <w:r w:rsidRPr="009C6385">
        <w:rPr>
          <w:rFonts w:ascii="Arial" w:hAnsi="Arial" w:cs="Arial"/>
          <w:i/>
        </w:rPr>
        <w:t>Building Confidence</w:t>
      </w:r>
      <w:r>
        <w:rPr>
          <w:rFonts w:ascii="Arial" w:hAnsi="Arial" w:cs="Arial"/>
        </w:rPr>
        <w:t xml:space="preserve"> r</w:t>
      </w:r>
      <w:r w:rsidR="00D046AB">
        <w:rPr>
          <w:rFonts w:ascii="Arial" w:hAnsi="Arial" w:cs="Arial"/>
        </w:rPr>
        <w:t>eport noted that the standard of documentation supporting Performance Solutions is poor. Recommendation 14 states: “That each jurisdiction sets out the information which must be included in performance solutions, specifying in occupancy certificates the circumstances in which performance solutions have been used and for what purpose.”</w:t>
      </w:r>
    </w:p>
    <w:p w14:paraId="26A0E96E" w14:textId="3EF9DAAC" w:rsidR="00D046AB" w:rsidRDefault="00D046AB" w:rsidP="00D046AB">
      <w:pPr>
        <w:rPr>
          <w:rFonts w:ascii="Arial" w:hAnsi="Arial" w:cs="Arial"/>
        </w:rPr>
      </w:pPr>
      <w:r>
        <w:rPr>
          <w:rFonts w:ascii="Arial" w:hAnsi="Arial" w:cs="Arial"/>
        </w:rPr>
        <w:t>To impl</w:t>
      </w:r>
      <w:r w:rsidR="009C6385">
        <w:rPr>
          <w:rFonts w:ascii="Arial" w:hAnsi="Arial" w:cs="Arial"/>
        </w:rPr>
        <w:t>ement this recommendation, the r</w:t>
      </w:r>
      <w:r>
        <w:rPr>
          <w:rFonts w:ascii="Arial" w:hAnsi="Arial" w:cs="Arial"/>
        </w:rPr>
        <w:t xml:space="preserve">eport suggests there should be a national best practice guide for documenting Performance Solutions that could be adopted by jurisdiction and given legislative force. In response and having regards to the IFEG work, it is intended to refine the ABCB’s existing </w:t>
      </w:r>
      <w:r w:rsidRPr="00D046AB">
        <w:rPr>
          <w:rFonts w:ascii="Arial" w:hAnsi="Arial" w:cs="Arial"/>
          <w:i/>
        </w:rPr>
        <w:t>‘Development of Performance Solutions Guidelines’</w:t>
      </w:r>
      <w:r>
        <w:rPr>
          <w:rFonts w:ascii="Arial" w:hAnsi="Arial" w:cs="Arial"/>
        </w:rPr>
        <w:t xml:space="preserve"> with the intention of jurisdictions agreeing to its use as a national template. </w:t>
      </w:r>
    </w:p>
    <w:p w14:paraId="34EA2710" w14:textId="37BFD174" w:rsidR="00D046AB" w:rsidRDefault="00D046AB" w:rsidP="00D046AB">
      <w:pPr>
        <w:pStyle w:val="Heading4"/>
      </w:pPr>
      <w:r>
        <w:lastRenderedPageBreak/>
        <w:t xml:space="preserve">National </w:t>
      </w:r>
      <w:r w:rsidR="001D74A3">
        <w:t>D</w:t>
      </w:r>
      <w:r>
        <w:t xml:space="preserve">ictionary of </w:t>
      </w:r>
      <w:r w:rsidR="001D74A3">
        <w:t>T</w:t>
      </w:r>
      <w:r>
        <w:t>erminology (Recommendation 22)</w:t>
      </w:r>
    </w:p>
    <w:p w14:paraId="56F6902E" w14:textId="73E8C6E9" w:rsidR="00D046AB" w:rsidRDefault="00D046AB" w:rsidP="00D046AB">
      <w:pPr>
        <w:rPr>
          <w:rFonts w:ascii="Arial" w:hAnsi="Arial" w:cs="Arial"/>
        </w:rPr>
      </w:pPr>
      <w:r>
        <w:rPr>
          <w:rFonts w:ascii="Arial" w:hAnsi="Arial" w:cs="Arial"/>
        </w:rPr>
        <w:t>To deliver on recommendation 22, it is intended to expand the scope of an existing project between the ABCB and Standards Australia, which involves developing a national dictionary of terminology for NCC defined terms and referenced standards. A proto-type tool has been developed to highlight current terminology inconsistencies and is expected to be released for broader testing/exposure shortly.</w:t>
      </w:r>
    </w:p>
    <w:p w14:paraId="7175F489" w14:textId="122F484B" w:rsidR="009C6385" w:rsidRPr="009C6385" w:rsidRDefault="009C6385" w:rsidP="009C6385">
      <w:pPr>
        <w:rPr>
          <w:rFonts w:ascii="Arial" w:hAnsi="Arial" w:cs="Arial"/>
        </w:rPr>
      </w:pPr>
      <w:r w:rsidRPr="009C6385">
        <w:rPr>
          <w:rFonts w:ascii="Arial" w:hAnsi="Arial" w:cs="Arial"/>
        </w:rPr>
        <w:t xml:space="preserve">A subsequent body of work to consolidate terminology amongst the states, territories and the NCC, to be led by the ABCB, will follow, which will necessitate coordination with </w:t>
      </w:r>
      <w:r w:rsidR="00B321B2">
        <w:rPr>
          <w:rFonts w:ascii="Arial" w:hAnsi="Arial" w:cs="Arial"/>
        </w:rPr>
        <w:t xml:space="preserve">SOG </w:t>
      </w:r>
      <w:r w:rsidRPr="009C6385">
        <w:rPr>
          <w:rFonts w:ascii="Arial" w:hAnsi="Arial" w:cs="Arial"/>
        </w:rPr>
        <w:t xml:space="preserve">to achieve national consistency. </w:t>
      </w:r>
    </w:p>
    <w:p w14:paraId="27671E6A" w14:textId="77777777" w:rsidR="009C6385" w:rsidRPr="009C6385" w:rsidRDefault="009C6385" w:rsidP="009C6385">
      <w:pPr>
        <w:pStyle w:val="Heading3"/>
      </w:pPr>
      <w:r w:rsidRPr="009C6385">
        <w:t xml:space="preserve">Planned reforms </w:t>
      </w:r>
    </w:p>
    <w:p w14:paraId="43165F48" w14:textId="6E9D66CE" w:rsidR="009C6385" w:rsidRPr="009C6385" w:rsidRDefault="009C6385" w:rsidP="009C6385">
      <w:pPr>
        <w:rPr>
          <w:rFonts w:ascii="Arial" w:eastAsiaTheme="majorEastAsia" w:hAnsi="Arial" w:cstheme="majorBidi"/>
          <w:iCs/>
          <w:color w:val="00283E"/>
          <w:sz w:val="24"/>
        </w:rPr>
      </w:pPr>
      <w:r w:rsidRPr="009C6385">
        <w:rPr>
          <w:rFonts w:ascii="Arial" w:eastAsiaTheme="majorEastAsia" w:hAnsi="Arial" w:cstheme="majorBidi"/>
          <w:iCs/>
          <w:color w:val="00283E"/>
          <w:sz w:val="24"/>
        </w:rPr>
        <w:t>Education</w:t>
      </w:r>
    </w:p>
    <w:p w14:paraId="20D058BB" w14:textId="6822EF58" w:rsidR="00D046AB" w:rsidRDefault="00D046AB" w:rsidP="00D046AB">
      <w:pPr>
        <w:rPr>
          <w:rFonts w:ascii="Arial" w:hAnsi="Arial" w:cs="Arial"/>
        </w:rPr>
      </w:pPr>
      <w:r>
        <w:rPr>
          <w:rFonts w:ascii="Arial" w:hAnsi="Arial" w:cs="Arial"/>
        </w:rPr>
        <w:t xml:space="preserve">As part of the enhanced education and awareness work the ABCB is looking to explore partnership opportunities for developing content for CPD units with relevant industry bodies and options for input into relevant course curriculum. </w:t>
      </w:r>
    </w:p>
    <w:p w14:paraId="7A60A18F" w14:textId="355E033E" w:rsidR="00D046AB" w:rsidRDefault="00D046AB" w:rsidP="009C6385">
      <w:pPr>
        <w:pStyle w:val="Heading3"/>
      </w:pPr>
      <w:bookmarkStart w:id="32" w:name="_Toc3988118"/>
      <w:r>
        <w:t>Timeframes</w:t>
      </w:r>
      <w:bookmarkEnd w:id="32"/>
    </w:p>
    <w:tbl>
      <w:tblPr>
        <w:tblStyle w:val="TableGrid"/>
        <w:tblW w:w="9918" w:type="dxa"/>
        <w:tblLook w:val="04A0" w:firstRow="1" w:lastRow="0" w:firstColumn="1" w:lastColumn="0" w:noHBand="0" w:noVBand="1"/>
        <w:tblDescription w:val="This table lists reforms, associated recommendations and timeframes."/>
      </w:tblPr>
      <w:tblGrid>
        <w:gridCol w:w="6232"/>
        <w:gridCol w:w="1843"/>
        <w:gridCol w:w="1843"/>
      </w:tblGrid>
      <w:tr w:rsidR="00D046AB" w:rsidRPr="00D046AB" w14:paraId="65E0D0EC" w14:textId="77777777" w:rsidTr="00B331DE">
        <w:trPr>
          <w:trHeight w:val="417"/>
          <w:tblHeader/>
        </w:trPr>
        <w:tc>
          <w:tcPr>
            <w:tcW w:w="6232" w:type="dxa"/>
            <w:shd w:val="clear" w:color="auto" w:fill="005677"/>
            <w:vAlign w:val="center"/>
          </w:tcPr>
          <w:p w14:paraId="25D4E7CF" w14:textId="77777777" w:rsidR="00D046AB" w:rsidRPr="000E2B6D" w:rsidRDefault="00D046AB" w:rsidP="000E2B6D">
            <w:pPr>
              <w:pStyle w:val="NoSpacing"/>
              <w:jc w:val="center"/>
              <w:rPr>
                <w:rFonts w:ascii="Arial" w:hAnsi="Arial" w:cs="Arial"/>
                <w:b/>
                <w:color w:val="FFFFFF" w:themeColor="background1"/>
                <w:sz w:val="20"/>
              </w:rPr>
            </w:pPr>
            <w:r w:rsidRPr="000E2B6D">
              <w:rPr>
                <w:rFonts w:ascii="Arial" w:hAnsi="Arial" w:cs="Arial"/>
                <w:b/>
                <w:color w:val="FFFFFF" w:themeColor="background1"/>
                <w:sz w:val="20"/>
              </w:rPr>
              <w:t>Reform</w:t>
            </w:r>
          </w:p>
        </w:tc>
        <w:tc>
          <w:tcPr>
            <w:tcW w:w="1843" w:type="dxa"/>
            <w:shd w:val="clear" w:color="auto" w:fill="005677"/>
            <w:vAlign w:val="center"/>
          </w:tcPr>
          <w:p w14:paraId="73CDA4F2" w14:textId="77777777" w:rsidR="00D046AB" w:rsidRPr="000E2B6D" w:rsidRDefault="00D046AB" w:rsidP="000E2B6D">
            <w:pPr>
              <w:pStyle w:val="NoSpacing"/>
              <w:jc w:val="center"/>
              <w:rPr>
                <w:rFonts w:ascii="Arial" w:hAnsi="Arial" w:cs="Arial"/>
                <w:b/>
                <w:color w:val="FFFFFF" w:themeColor="background1"/>
                <w:sz w:val="20"/>
              </w:rPr>
            </w:pPr>
            <w:r w:rsidRPr="000E2B6D">
              <w:rPr>
                <w:rFonts w:ascii="Arial" w:hAnsi="Arial" w:cs="Arial"/>
                <w:b/>
                <w:color w:val="FFFFFF" w:themeColor="background1"/>
                <w:sz w:val="20"/>
              </w:rPr>
              <w:t>Associated recommendation</w:t>
            </w:r>
          </w:p>
        </w:tc>
        <w:tc>
          <w:tcPr>
            <w:tcW w:w="1843" w:type="dxa"/>
            <w:shd w:val="clear" w:color="auto" w:fill="005677"/>
            <w:vAlign w:val="center"/>
          </w:tcPr>
          <w:p w14:paraId="333DD352" w14:textId="77777777" w:rsidR="00D046AB" w:rsidRPr="000E2B6D" w:rsidRDefault="00D046AB" w:rsidP="000E2B6D">
            <w:pPr>
              <w:pStyle w:val="NoSpacing"/>
              <w:jc w:val="center"/>
              <w:rPr>
                <w:rFonts w:ascii="Arial" w:hAnsi="Arial" w:cs="Arial"/>
                <w:b/>
                <w:color w:val="FFFFFF" w:themeColor="background1"/>
                <w:sz w:val="20"/>
              </w:rPr>
            </w:pPr>
            <w:r w:rsidRPr="000E2B6D">
              <w:rPr>
                <w:rFonts w:ascii="Arial" w:hAnsi="Arial" w:cs="Arial"/>
                <w:b/>
                <w:color w:val="FFFFFF" w:themeColor="background1"/>
                <w:sz w:val="20"/>
              </w:rPr>
              <w:t>Timeframe</w:t>
            </w:r>
          </w:p>
        </w:tc>
      </w:tr>
      <w:tr w:rsidR="00D046AB" w:rsidRPr="00D046AB" w14:paraId="0D882617" w14:textId="77777777" w:rsidTr="009C6385">
        <w:tc>
          <w:tcPr>
            <w:tcW w:w="6232" w:type="dxa"/>
            <w:shd w:val="clear" w:color="auto" w:fill="F2F2F2" w:themeFill="background1" w:themeFillShade="F2"/>
          </w:tcPr>
          <w:p w14:paraId="7CBBC94B" w14:textId="77777777" w:rsidR="00D046AB" w:rsidRPr="00B321B2" w:rsidRDefault="00D046AB" w:rsidP="00B321B2">
            <w:pPr>
              <w:spacing w:before="60" w:after="60"/>
              <w:rPr>
                <w:rFonts w:ascii="Arial" w:eastAsiaTheme="minorHAnsi" w:hAnsi="Arial"/>
                <w:sz w:val="20"/>
                <w:szCs w:val="20"/>
              </w:rPr>
            </w:pPr>
            <w:r w:rsidRPr="00B321B2">
              <w:rPr>
                <w:rFonts w:ascii="Arial" w:eastAsiaTheme="minorHAnsi" w:hAnsi="Arial"/>
                <w:sz w:val="20"/>
                <w:szCs w:val="20"/>
              </w:rPr>
              <w:t>Developing curriculum, tools and online resources to assist engaging and training practitioners on the operation of the NCC, including developing CPD units on the NCC</w:t>
            </w:r>
          </w:p>
        </w:tc>
        <w:tc>
          <w:tcPr>
            <w:tcW w:w="1843" w:type="dxa"/>
          </w:tcPr>
          <w:p w14:paraId="4B264119" w14:textId="77777777" w:rsidR="00D046AB" w:rsidRPr="00B321B2" w:rsidRDefault="00D046AB" w:rsidP="00B321B2">
            <w:pPr>
              <w:spacing w:before="60" w:after="60"/>
              <w:jc w:val="center"/>
              <w:rPr>
                <w:rFonts w:ascii="Arial" w:eastAsiaTheme="minorHAnsi" w:hAnsi="Arial"/>
                <w:sz w:val="20"/>
                <w:szCs w:val="20"/>
              </w:rPr>
            </w:pPr>
            <w:r w:rsidRPr="00B321B2">
              <w:rPr>
                <w:rFonts w:ascii="Arial" w:eastAsiaTheme="minorHAnsi" w:hAnsi="Arial"/>
                <w:sz w:val="20"/>
                <w:szCs w:val="20"/>
              </w:rPr>
              <w:t>2,3</w:t>
            </w:r>
          </w:p>
        </w:tc>
        <w:tc>
          <w:tcPr>
            <w:tcW w:w="1843" w:type="dxa"/>
          </w:tcPr>
          <w:p w14:paraId="159C49DB" w14:textId="2CEA649C" w:rsidR="00D046AB" w:rsidRPr="00B321B2" w:rsidRDefault="00D046AB" w:rsidP="00B321B2">
            <w:pPr>
              <w:spacing w:before="60" w:after="60"/>
              <w:jc w:val="center"/>
              <w:rPr>
                <w:rFonts w:ascii="Arial" w:eastAsiaTheme="minorHAnsi" w:hAnsi="Arial"/>
                <w:sz w:val="20"/>
                <w:szCs w:val="20"/>
              </w:rPr>
            </w:pPr>
            <w:r w:rsidRPr="00B321B2">
              <w:rPr>
                <w:rFonts w:ascii="Arial" w:eastAsiaTheme="minorHAnsi" w:hAnsi="Arial"/>
                <w:sz w:val="20"/>
                <w:szCs w:val="20"/>
              </w:rPr>
              <w:t>Short term</w:t>
            </w:r>
          </w:p>
          <w:p w14:paraId="27CA0E02" w14:textId="77777777" w:rsidR="00D046AB" w:rsidRPr="00B321B2" w:rsidRDefault="00D046AB" w:rsidP="00B321B2">
            <w:pPr>
              <w:spacing w:before="60" w:after="60"/>
              <w:jc w:val="center"/>
              <w:rPr>
                <w:rFonts w:ascii="Arial" w:eastAsiaTheme="minorHAnsi" w:hAnsi="Arial"/>
                <w:sz w:val="20"/>
                <w:szCs w:val="20"/>
              </w:rPr>
            </w:pPr>
          </w:p>
        </w:tc>
      </w:tr>
      <w:tr w:rsidR="00D046AB" w:rsidRPr="00D046AB" w14:paraId="2B0FB561" w14:textId="77777777" w:rsidTr="009C6385">
        <w:tc>
          <w:tcPr>
            <w:tcW w:w="6232" w:type="dxa"/>
            <w:shd w:val="clear" w:color="auto" w:fill="F2F2F2" w:themeFill="background1" w:themeFillShade="F2"/>
          </w:tcPr>
          <w:p w14:paraId="3B29FF25" w14:textId="77777777" w:rsidR="00D046AB" w:rsidRPr="00B321B2" w:rsidRDefault="00D046AB" w:rsidP="00B321B2">
            <w:pPr>
              <w:spacing w:before="60" w:after="60"/>
              <w:rPr>
                <w:rFonts w:ascii="Arial" w:eastAsiaTheme="minorHAnsi" w:hAnsi="Arial"/>
                <w:sz w:val="20"/>
                <w:szCs w:val="20"/>
              </w:rPr>
            </w:pPr>
            <w:r w:rsidRPr="00B321B2">
              <w:rPr>
                <w:rFonts w:ascii="Arial" w:eastAsiaTheme="minorHAnsi" w:hAnsi="Arial"/>
                <w:sz w:val="20"/>
                <w:szCs w:val="20"/>
              </w:rPr>
              <w:t>Review and update (as necessary) the International Fire Engineering Guidelines (IFEG) to align with contemporary practice and investigate if the ‘Development of Performance Solutions Guideline’ document could be used as a national template for developing Performance Solutions.</w:t>
            </w:r>
          </w:p>
        </w:tc>
        <w:tc>
          <w:tcPr>
            <w:tcW w:w="1843" w:type="dxa"/>
          </w:tcPr>
          <w:p w14:paraId="552E1086" w14:textId="77777777" w:rsidR="00D046AB" w:rsidRPr="00B321B2" w:rsidRDefault="00D046AB" w:rsidP="00B321B2">
            <w:pPr>
              <w:spacing w:before="60" w:after="60"/>
              <w:jc w:val="center"/>
              <w:rPr>
                <w:rFonts w:ascii="Arial" w:eastAsiaTheme="minorHAnsi" w:hAnsi="Arial"/>
                <w:sz w:val="20"/>
                <w:szCs w:val="20"/>
              </w:rPr>
            </w:pPr>
            <w:r w:rsidRPr="00B321B2">
              <w:rPr>
                <w:rFonts w:ascii="Arial" w:eastAsiaTheme="minorHAnsi" w:hAnsi="Arial"/>
                <w:sz w:val="20"/>
                <w:szCs w:val="20"/>
              </w:rPr>
              <w:t>8, 14</w:t>
            </w:r>
          </w:p>
        </w:tc>
        <w:tc>
          <w:tcPr>
            <w:tcW w:w="1843" w:type="dxa"/>
          </w:tcPr>
          <w:p w14:paraId="633CB59A" w14:textId="77777777" w:rsidR="00D046AB" w:rsidRPr="00B321B2" w:rsidRDefault="00D046AB" w:rsidP="00B321B2">
            <w:pPr>
              <w:spacing w:before="60" w:after="60"/>
              <w:jc w:val="center"/>
              <w:rPr>
                <w:rFonts w:ascii="Arial" w:eastAsiaTheme="minorHAnsi" w:hAnsi="Arial"/>
                <w:sz w:val="20"/>
                <w:szCs w:val="20"/>
              </w:rPr>
            </w:pPr>
            <w:r w:rsidRPr="00B321B2">
              <w:rPr>
                <w:rFonts w:ascii="Arial" w:eastAsiaTheme="minorHAnsi" w:hAnsi="Arial"/>
                <w:sz w:val="20"/>
                <w:szCs w:val="20"/>
              </w:rPr>
              <w:t>Short term</w:t>
            </w:r>
          </w:p>
        </w:tc>
      </w:tr>
      <w:tr w:rsidR="00D046AB" w:rsidRPr="00D046AB" w14:paraId="745EE844" w14:textId="77777777" w:rsidTr="009C6385">
        <w:tc>
          <w:tcPr>
            <w:tcW w:w="6232" w:type="dxa"/>
            <w:shd w:val="clear" w:color="auto" w:fill="F2F2F2" w:themeFill="background1" w:themeFillShade="F2"/>
          </w:tcPr>
          <w:p w14:paraId="14AE1B50" w14:textId="77777777" w:rsidR="00D046AB" w:rsidRPr="00B321B2" w:rsidRDefault="00D046AB" w:rsidP="00B321B2">
            <w:pPr>
              <w:spacing w:before="60" w:after="60"/>
              <w:rPr>
                <w:rFonts w:ascii="Arial" w:eastAsiaTheme="minorHAnsi" w:hAnsi="Arial"/>
                <w:sz w:val="20"/>
                <w:szCs w:val="20"/>
              </w:rPr>
            </w:pPr>
            <w:r w:rsidRPr="00B321B2">
              <w:rPr>
                <w:rFonts w:ascii="Arial" w:eastAsiaTheme="minorHAnsi" w:hAnsi="Arial"/>
                <w:sz w:val="20"/>
                <w:szCs w:val="20"/>
              </w:rPr>
              <w:t>Develop a digital platform between the NCC and referenced standards and develop a national dictionary of terminology</w:t>
            </w:r>
          </w:p>
        </w:tc>
        <w:tc>
          <w:tcPr>
            <w:tcW w:w="1843" w:type="dxa"/>
          </w:tcPr>
          <w:p w14:paraId="765A9411" w14:textId="77777777" w:rsidR="00D046AB" w:rsidRPr="00B321B2" w:rsidRDefault="00D046AB" w:rsidP="00B321B2">
            <w:pPr>
              <w:spacing w:before="60" w:after="60"/>
              <w:jc w:val="center"/>
              <w:rPr>
                <w:rFonts w:ascii="Arial" w:eastAsiaTheme="minorHAnsi" w:hAnsi="Arial"/>
                <w:sz w:val="20"/>
                <w:szCs w:val="20"/>
              </w:rPr>
            </w:pPr>
            <w:r w:rsidRPr="00B321B2">
              <w:rPr>
                <w:rFonts w:ascii="Arial" w:eastAsiaTheme="minorHAnsi" w:hAnsi="Arial"/>
                <w:sz w:val="20"/>
                <w:szCs w:val="20"/>
              </w:rPr>
              <w:t>22</w:t>
            </w:r>
          </w:p>
        </w:tc>
        <w:tc>
          <w:tcPr>
            <w:tcW w:w="1843" w:type="dxa"/>
          </w:tcPr>
          <w:p w14:paraId="0BEF3F5F" w14:textId="77777777" w:rsidR="00D046AB" w:rsidRPr="00B321B2" w:rsidRDefault="00D046AB" w:rsidP="00B321B2">
            <w:pPr>
              <w:spacing w:before="60" w:after="60"/>
              <w:jc w:val="center"/>
              <w:rPr>
                <w:rFonts w:ascii="Arial" w:eastAsiaTheme="minorHAnsi" w:hAnsi="Arial"/>
                <w:sz w:val="20"/>
                <w:szCs w:val="20"/>
              </w:rPr>
            </w:pPr>
            <w:r w:rsidRPr="00B321B2">
              <w:rPr>
                <w:rFonts w:ascii="Arial" w:eastAsiaTheme="minorHAnsi" w:hAnsi="Arial"/>
                <w:sz w:val="20"/>
                <w:szCs w:val="20"/>
              </w:rPr>
              <w:t>Medium term</w:t>
            </w:r>
          </w:p>
        </w:tc>
      </w:tr>
    </w:tbl>
    <w:p w14:paraId="6141CAD9" w14:textId="1BB930A9" w:rsidR="00277BE1" w:rsidRDefault="00277BE1" w:rsidP="009C6385">
      <w:pPr>
        <w:pStyle w:val="Heading3"/>
      </w:pPr>
      <w:bookmarkStart w:id="33" w:name="_Toc3988119"/>
      <w:r>
        <w:t>Next steps</w:t>
      </w:r>
      <w:bookmarkEnd w:id="33"/>
    </w:p>
    <w:p w14:paraId="211F314B" w14:textId="00D48166" w:rsidR="00B17189" w:rsidRPr="002E65AB" w:rsidRDefault="00277BE1" w:rsidP="002E65AB">
      <w:pPr>
        <w:numPr>
          <w:ilvl w:val="0"/>
          <w:numId w:val="7"/>
        </w:numPr>
        <w:spacing w:before="120" w:after="120"/>
        <w:ind w:left="426" w:hanging="426"/>
        <w:rPr>
          <w:rFonts w:ascii="Arial" w:eastAsiaTheme="minorHAnsi" w:hAnsi="Arial"/>
        </w:rPr>
      </w:pPr>
      <w:r w:rsidRPr="002E65AB">
        <w:rPr>
          <w:rFonts w:ascii="Arial" w:eastAsiaTheme="minorHAnsi" w:hAnsi="Arial"/>
        </w:rPr>
        <w:t>Finalise the scope of the enhanced education and awareness program for ABCB and BMF endorsement. Pending this endorsement, commence a development and implementation program from 2019</w:t>
      </w:r>
      <w:r w:rsidR="00B17189" w:rsidRPr="002E65AB">
        <w:rPr>
          <w:rFonts w:ascii="Arial" w:eastAsiaTheme="minorHAnsi" w:hAnsi="Arial"/>
        </w:rPr>
        <w:t>–</w:t>
      </w:r>
      <w:r w:rsidRPr="002E65AB">
        <w:rPr>
          <w:rFonts w:ascii="Arial" w:eastAsiaTheme="minorHAnsi" w:hAnsi="Arial"/>
        </w:rPr>
        <w:t>20.</w:t>
      </w:r>
    </w:p>
    <w:p w14:paraId="3091EEBB" w14:textId="77777777" w:rsidR="00B17189" w:rsidRPr="002E65AB" w:rsidRDefault="00277BE1" w:rsidP="002E65AB">
      <w:pPr>
        <w:numPr>
          <w:ilvl w:val="0"/>
          <w:numId w:val="7"/>
        </w:numPr>
        <w:spacing w:before="120" w:after="120"/>
        <w:ind w:left="426" w:hanging="426"/>
        <w:rPr>
          <w:rFonts w:ascii="Arial" w:eastAsiaTheme="minorHAnsi" w:hAnsi="Arial"/>
        </w:rPr>
      </w:pPr>
      <w:r w:rsidRPr="002E65AB">
        <w:rPr>
          <w:rFonts w:ascii="Arial" w:eastAsiaTheme="minorHAnsi" w:hAnsi="Arial"/>
        </w:rPr>
        <w:t>Review IFEG and develop draft Code provisions for consultations, and consider for inclusion in NCC 2022.</w:t>
      </w:r>
    </w:p>
    <w:p w14:paraId="41CEC385" w14:textId="69804E0E" w:rsidR="00277BE1" w:rsidRPr="002E65AB" w:rsidRDefault="00277BE1" w:rsidP="002E65AB">
      <w:pPr>
        <w:numPr>
          <w:ilvl w:val="0"/>
          <w:numId w:val="7"/>
        </w:numPr>
        <w:spacing w:before="120" w:after="120"/>
        <w:ind w:left="426" w:hanging="426"/>
        <w:rPr>
          <w:rFonts w:ascii="Arial" w:eastAsiaTheme="minorHAnsi" w:hAnsi="Arial"/>
        </w:rPr>
      </w:pPr>
      <w:r w:rsidRPr="002E65AB">
        <w:rPr>
          <w:rFonts w:ascii="Arial" w:eastAsiaTheme="minorHAnsi" w:hAnsi="Arial"/>
        </w:rPr>
        <w:t xml:space="preserve">Produce State 1 consolidation and consistency of terms and definitions for consultation, and consider for inclusion in NCC 2022; and commence analysis and dialogue with states and territories on Stage 2 consolidation and consistency of terms and definitions. </w:t>
      </w:r>
    </w:p>
    <w:sectPr w:rsidR="00277BE1" w:rsidRPr="002E65AB" w:rsidSect="00CB20D6">
      <w:pgSz w:w="11907" w:h="16839" w:code="9"/>
      <w:pgMar w:top="1418" w:right="1276" w:bottom="1276" w:left="1134" w:header="70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49C48E" w14:textId="77777777" w:rsidR="009C6385" w:rsidRDefault="009C6385" w:rsidP="00706679">
      <w:pPr>
        <w:spacing w:after="0" w:line="240" w:lineRule="auto"/>
      </w:pPr>
      <w:r>
        <w:separator/>
      </w:r>
    </w:p>
  </w:endnote>
  <w:endnote w:type="continuationSeparator" w:id="0">
    <w:p w14:paraId="3C49C48F" w14:textId="77777777" w:rsidR="009C6385" w:rsidRDefault="009C6385" w:rsidP="00706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Narrow Light">
    <w:altName w:val="Tahoma"/>
    <w:panose1 w:val="00000000000000000000"/>
    <w:charset w:val="00"/>
    <w:family w:val="swiss"/>
    <w:notTrueType/>
    <w:pitch w:val="default"/>
    <w:sig w:usb0="00000003" w:usb1="00000000" w:usb2="00000000" w:usb3="00000000" w:csb0="00000001" w:csb1="00000000"/>
  </w:font>
  <w:font w:name="Gotham Narrow Book">
    <w:altName w:val="Gotham Narrow Book"/>
    <w:panose1 w:val="00000000000000000000"/>
    <w:charset w:val="00"/>
    <w:family w:val="swiss"/>
    <w:notTrueType/>
    <w:pitch w:val="default"/>
    <w:sig w:usb0="00000003" w:usb1="00000000" w:usb2="00000000" w:usb3="00000000" w:csb0="00000001" w:csb1="00000000"/>
  </w:font>
  <w:font w:name="Gotham Light">
    <w:altName w:val="Calibri"/>
    <w:panose1 w:val="00000000000000000000"/>
    <w:charset w:val="00"/>
    <w:family w:val="swiss"/>
    <w:notTrueType/>
    <w:pitch w:val="default"/>
    <w:sig w:usb0="00000003" w:usb1="00000000" w:usb2="00000000" w:usb3="00000000" w:csb0="00000001" w:csb1="00000000"/>
  </w:font>
  <w:font w:name="MetaNormalLF-Roman">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9C492" w14:textId="2045AAF6" w:rsidR="009C6385" w:rsidRPr="007B5515" w:rsidRDefault="009C6385" w:rsidP="007B5515">
    <w:pPr>
      <w:pStyle w:val="Footer"/>
      <w:pBdr>
        <w:top w:val="single" w:sz="4" w:space="1" w:color="D9D9D9" w:themeColor="background1" w:themeShade="D9"/>
      </w:pBdr>
      <w:jc w:val="right"/>
    </w:pPr>
    <w:r>
      <w:t xml:space="preserve">Page </w:t>
    </w:r>
    <w:sdt>
      <w:sdtPr>
        <w:id w:val="-1323349144"/>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3554E3">
          <w:rPr>
            <w:noProof/>
          </w:rPr>
          <w:t>2</w:t>
        </w:r>
        <w:r>
          <w:rPr>
            <w:noProof/>
          </w:rPr>
          <w:fldChar w:fldCharType="end"/>
        </w:r>
        <w: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49C48C" w14:textId="77777777" w:rsidR="009C6385" w:rsidRDefault="009C6385" w:rsidP="00706679">
      <w:pPr>
        <w:spacing w:after="0" w:line="240" w:lineRule="auto"/>
      </w:pPr>
      <w:r>
        <w:separator/>
      </w:r>
    </w:p>
  </w:footnote>
  <w:footnote w:type="continuationSeparator" w:id="0">
    <w:p w14:paraId="3C49C48D" w14:textId="77777777" w:rsidR="009C6385" w:rsidRDefault="009C6385" w:rsidP="00706679">
      <w:pPr>
        <w:spacing w:after="0" w:line="240" w:lineRule="auto"/>
      </w:pPr>
      <w:r>
        <w:continuationSeparator/>
      </w:r>
    </w:p>
  </w:footnote>
  <w:footnote w:id="1">
    <w:p w14:paraId="0F74195F" w14:textId="77777777" w:rsidR="009C6385" w:rsidRPr="005F5FE0" w:rsidRDefault="009C6385">
      <w:pPr>
        <w:pStyle w:val="FootnoteText"/>
        <w:rPr>
          <w:lang w:val="en-US"/>
        </w:rPr>
      </w:pPr>
      <w:r>
        <w:rPr>
          <w:rStyle w:val="FootnoteReference"/>
        </w:rPr>
        <w:footnoteRef/>
      </w:r>
      <w:r>
        <w:t xml:space="preserve"> </w:t>
      </w:r>
      <w:r>
        <w:rPr>
          <w:lang w:val="en-US"/>
        </w:rPr>
        <w:t xml:space="preserve">SOG </w:t>
      </w:r>
      <w:hyperlink r:id="rId1" w:history="1">
        <w:r w:rsidRPr="005F5FE0">
          <w:rPr>
            <w:rStyle w:val="Hyperlink"/>
            <w:i/>
            <w:lang w:val="en-US"/>
          </w:rPr>
          <w:t>Strategies to address risks related to non-conforming building products: implementation plan</w:t>
        </w:r>
      </w:hyperlink>
      <w:r>
        <w:rPr>
          <w:lang w:val="en-US"/>
        </w:rPr>
        <w:t xml:space="preserve">. </w:t>
      </w:r>
    </w:p>
  </w:footnote>
  <w:footnote w:id="2">
    <w:p w14:paraId="48D5DFA3" w14:textId="77777777" w:rsidR="009C6385" w:rsidRDefault="009C6385" w:rsidP="007B5515">
      <w:pPr>
        <w:pStyle w:val="FootnoteText"/>
      </w:pPr>
      <w:r>
        <w:rPr>
          <w:rStyle w:val="FootnoteReference"/>
        </w:rPr>
        <w:footnoteRef/>
      </w:r>
      <w:r>
        <w:t xml:space="preserve"> </w:t>
      </w:r>
      <w:r>
        <w:rPr>
          <w:rFonts w:cstheme="minorHAnsi"/>
        </w:rPr>
        <w:t xml:space="preserve">The NSW Government has released its own </w:t>
      </w:r>
      <w:hyperlink r:id="rId2" w:history="1">
        <w:r w:rsidRPr="008148FC">
          <w:rPr>
            <w:rStyle w:val="Hyperlink"/>
            <w:rFonts w:cstheme="minorHAnsi"/>
          </w:rPr>
          <w:t>response</w:t>
        </w:r>
      </w:hyperlink>
      <w:r>
        <w:rPr>
          <w:rFonts w:cstheme="minorHAnsi"/>
        </w:rPr>
        <w:t xml:space="preserve"> to the report which is available on the Fair Trading website.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9C490" w14:textId="6856E613" w:rsidR="009C6385" w:rsidRPr="007B5515" w:rsidRDefault="009C6385" w:rsidP="00DA6A8F">
    <w:pPr>
      <w:pStyle w:val="Footer"/>
      <w:jc w:val="right"/>
      <w:rPr>
        <w:rFonts w:asciiTheme="majorHAnsi" w:hAnsiTheme="majorHAnsi" w:cstheme="majorHAnsi"/>
        <w:i/>
        <w:color w:val="323E4F" w:themeColor="text2" w:themeShade="BF"/>
        <w:sz w:val="28"/>
        <w:szCs w:val="28"/>
      </w:rPr>
    </w:pPr>
    <w:r w:rsidRPr="007B5515">
      <w:rPr>
        <w:rFonts w:asciiTheme="majorHAnsi" w:hAnsiTheme="majorHAnsi" w:cstheme="majorHAnsi"/>
        <w:i/>
        <w:color w:val="323E4F" w:themeColor="text2" w:themeShade="BF"/>
        <w:sz w:val="28"/>
        <w:szCs w:val="28"/>
      </w:rPr>
      <w:t>Building Confidence Report Implementation Plan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9C494" w14:textId="77777777" w:rsidR="009C6385" w:rsidRDefault="009C63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91829E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59C780B"/>
    <w:multiLevelType w:val="hybridMultilevel"/>
    <w:tmpl w:val="14AC4C8C"/>
    <w:lvl w:ilvl="0" w:tplc="0C090001">
      <w:start w:val="1"/>
      <w:numFmt w:val="bullet"/>
      <w:lvlText w:val=""/>
      <w:lvlJc w:val="left"/>
      <w:pPr>
        <w:ind w:left="-1065" w:hanging="360"/>
      </w:pPr>
      <w:rPr>
        <w:rFonts w:ascii="Symbol" w:hAnsi="Symbol" w:hint="default"/>
      </w:rPr>
    </w:lvl>
    <w:lvl w:ilvl="1" w:tplc="0C090003" w:tentative="1">
      <w:start w:val="1"/>
      <w:numFmt w:val="bullet"/>
      <w:lvlText w:val="o"/>
      <w:lvlJc w:val="left"/>
      <w:pPr>
        <w:ind w:left="-345" w:hanging="360"/>
      </w:pPr>
      <w:rPr>
        <w:rFonts w:ascii="Courier New" w:hAnsi="Courier New" w:cs="Courier New" w:hint="default"/>
      </w:rPr>
    </w:lvl>
    <w:lvl w:ilvl="2" w:tplc="0C090005" w:tentative="1">
      <w:start w:val="1"/>
      <w:numFmt w:val="bullet"/>
      <w:lvlText w:val=""/>
      <w:lvlJc w:val="left"/>
      <w:pPr>
        <w:ind w:left="375" w:hanging="360"/>
      </w:pPr>
      <w:rPr>
        <w:rFonts w:ascii="Wingdings" w:hAnsi="Wingdings" w:hint="default"/>
      </w:rPr>
    </w:lvl>
    <w:lvl w:ilvl="3" w:tplc="0C090001" w:tentative="1">
      <w:start w:val="1"/>
      <w:numFmt w:val="bullet"/>
      <w:lvlText w:val=""/>
      <w:lvlJc w:val="left"/>
      <w:pPr>
        <w:ind w:left="1095" w:hanging="360"/>
      </w:pPr>
      <w:rPr>
        <w:rFonts w:ascii="Symbol" w:hAnsi="Symbol" w:hint="default"/>
      </w:rPr>
    </w:lvl>
    <w:lvl w:ilvl="4" w:tplc="0C090003" w:tentative="1">
      <w:start w:val="1"/>
      <w:numFmt w:val="bullet"/>
      <w:lvlText w:val="o"/>
      <w:lvlJc w:val="left"/>
      <w:pPr>
        <w:ind w:left="1815" w:hanging="360"/>
      </w:pPr>
      <w:rPr>
        <w:rFonts w:ascii="Courier New" w:hAnsi="Courier New" w:cs="Courier New" w:hint="default"/>
      </w:rPr>
    </w:lvl>
    <w:lvl w:ilvl="5" w:tplc="0C090005" w:tentative="1">
      <w:start w:val="1"/>
      <w:numFmt w:val="bullet"/>
      <w:lvlText w:val=""/>
      <w:lvlJc w:val="left"/>
      <w:pPr>
        <w:ind w:left="2535" w:hanging="360"/>
      </w:pPr>
      <w:rPr>
        <w:rFonts w:ascii="Wingdings" w:hAnsi="Wingdings" w:hint="default"/>
      </w:rPr>
    </w:lvl>
    <w:lvl w:ilvl="6" w:tplc="0C090001" w:tentative="1">
      <w:start w:val="1"/>
      <w:numFmt w:val="bullet"/>
      <w:lvlText w:val=""/>
      <w:lvlJc w:val="left"/>
      <w:pPr>
        <w:ind w:left="3255" w:hanging="360"/>
      </w:pPr>
      <w:rPr>
        <w:rFonts w:ascii="Symbol" w:hAnsi="Symbol" w:hint="default"/>
      </w:rPr>
    </w:lvl>
    <w:lvl w:ilvl="7" w:tplc="0C090003" w:tentative="1">
      <w:start w:val="1"/>
      <w:numFmt w:val="bullet"/>
      <w:lvlText w:val="o"/>
      <w:lvlJc w:val="left"/>
      <w:pPr>
        <w:ind w:left="3975" w:hanging="360"/>
      </w:pPr>
      <w:rPr>
        <w:rFonts w:ascii="Courier New" w:hAnsi="Courier New" w:cs="Courier New" w:hint="default"/>
      </w:rPr>
    </w:lvl>
    <w:lvl w:ilvl="8" w:tplc="0C090005" w:tentative="1">
      <w:start w:val="1"/>
      <w:numFmt w:val="bullet"/>
      <w:lvlText w:val=""/>
      <w:lvlJc w:val="left"/>
      <w:pPr>
        <w:ind w:left="4695" w:hanging="360"/>
      </w:pPr>
      <w:rPr>
        <w:rFonts w:ascii="Wingdings" w:hAnsi="Wingdings" w:hint="default"/>
      </w:rPr>
    </w:lvl>
  </w:abstractNum>
  <w:abstractNum w:abstractNumId="2" w15:restartNumberingAfterBreak="0">
    <w:nsid w:val="25AC7D56"/>
    <w:multiLevelType w:val="hybridMultilevel"/>
    <w:tmpl w:val="20B2D22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95F5ED2"/>
    <w:multiLevelType w:val="hybridMultilevel"/>
    <w:tmpl w:val="B5CCCD10"/>
    <w:lvl w:ilvl="0" w:tplc="5B0442EC">
      <w:start w:val="1"/>
      <w:numFmt w:val="decimal"/>
      <w:lvlText w:val="%1."/>
      <w:lvlJc w:val="left"/>
      <w:pPr>
        <w:ind w:left="360" w:hanging="360"/>
      </w:pPr>
      <w:rPr>
        <w:rFonts w:hint="default"/>
      </w:rPr>
    </w:lvl>
    <w:lvl w:ilvl="1" w:tplc="0C090019" w:tentative="1">
      <w:start w:val="1"/>
      <w:numFmt w:val="lowerLetter"/>
      <w:lvlText w:val="%2."/>
      <w:lvlJc w:val="left"/>
      <w:pPr>
        <w:ind w:left="1105" w:hanging="360"/>
      </w:pPr>
    </w:lvl>
    <w:lvl w:ilvl="2" w:tplc="0C09001B" w:tentative="1">
      <w:start w:val="1"/>
      <w:numFmt w:val="lowerRoman"/>
      <w:lvlText w:val="%3."/>
      <w:lvlJc w:val="right"/>
      <w:pPr>
        <w:ind w:left="1825" w:hanging="180"/>
      </w:pPr>
    </w:lvl>
    <w:lvl w:ilvl="3" w:tplc="0C09000F" w:tentative="1">
      <w:start w:val="1"/>
      <w:numFmt w:val="decimal"/>
      <w:lvlText w:val="%4."/>
      <w:lvlJc w:val="left"/>
      <w:pPr>
        <w:ind w:left="2545" w:hanging="360"/>
      </w:pPr>
    </w:lvl>
    <w:lvl w:ilvl="4" w:tplc="0C090019" w:tentative="1">
      <w:start w:val="1"/>
      <w:numFmt w:val="lowerLetter"/>
      <w:lvlText w:val="%5."/>
      <w:lvlJc w:val="left"/>
      <w:pPr>
        <w:ind w:left="3265" w:hanging="360"/>
      </w:pPr>
    </w:lvl>
    <w:lvl w:ilvl="5" w:tplc="0C09001B" w:tentative="1">
      <w:start w:val="1"/>
      <w:numFmt w:val="lowerRoman"/>
      <w:lvlText w:val="%6."/>
      <w:lvlJc w:val="right"/>
      <w:pPr>
        <w:ind w:left="3985" w:hanging="180"/>
      </w:pPr>
    </w:lvl>
    <w:lvl w:ilvl="6" w:tplc="0C09000F" w:tentative="1">
      <w:start w:val="1"/>
      <w:numFmt w:val="decimal"/>
      <w:lvlText w:val="%7."/>
      <w:lvlJc w:val="left"/>
      <w:pPr>
        <w:ind w:left="4705" w:hanging="360"/>
      </w:pPr>
    </w:lvl>
    <w:lvl w:ilvl="7" w:tplc="0C090019" w:tentative="1">
      <w:start w:val="1"/>
      <w:numFmt w:val="lowerLetter"/>
      <w:lvlText w:val="%8."/>
      <w:lvlJc w:val="left"/>
      <w:pPr>
        <w:ind w:left="5425" w:hanging="360"/>
      </w:pPr>
    </w:lvl>
    <w:lvl w:ilvl="8" w:tplc="0C09001B" w:tentative="1">
      <w:start w:val="1"/>
      <w:numFmt w:val="lowerRoman"/>
      <w:lvlText w:val="%9."/>
      <w:lvlJc w:val="right"/>
      <w:pPr>
        <w:ind w:left="6145" w:hanging="180"/>
      </w:pPr>
    </w:lvl>
  </w:abstractNum>
  <w:abstractNum w:abstractNumId="4" w15:restartNumberingAfterBreak="0">
    <w:nsid w:val="2B576D4E"/>
    <w:multiLevelType w:val="hybridMultilevel"/>
    <w:tmpl w:val="563E0706"/>
    <w:lvl w:ilvl="0" w:tplc="CA4AFDBE">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EBC1054"/>
    <w:multiLevelType w:val="hybridMultilevel"/>
    <w:tmpl w:val="67AA7ECA"/>
    <w:lvl w:ilvl="0" w:tplc="91EA219A">
      <w:start w:val="1"/>
      <w:numFmt w:val="bullet"/>
      <w:lvlText w:val=""/>
      <w:lvlJc w:val="left"/>
      <w:pPr>
        <w:ind w:left="720" w:hanging="360"/>
      </w:pPr>
      <w:rPr>
        <w:rFonts w:ascii="Wingdings" w:hAnsi="Wingdings" w:hint="default"/>
        <w:b/>
        <w:color w:val="70AD47" w:themeColor="accent6"/>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437421"/>
    <w:multiLevelType w:val="hybridMultilevel"/>
    <w:tmpl w:val="D6669D3E"/>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7" w15:restartNumberingAfterBreak="0">
    <w:nsid w:val="36D130F2"/>
    <w:multiLevelType w:val="multilevel"/>
    <w:tmpl w:val="E6A4C532"/>
    <w:lvl w:ilvl="0">
      <w:start w:val="1"/>
      <w:numFmt w:val="bullet"/>
      <w:lvlText w:val=""/>
      <w:lvlJc w:val="left"/>
      <w:pPr>
        <w:tabs>
          <w:tab w:val="num" w:pos="1260"/>
        </w:tabs>
        <w:ind w:left="1260" w:hanging="360"/>
      </w:pPr>
      <w:rPr>
        <w:rFonts w:ascii="Symbol" w:hAnsi="Symbol" w:hint="default"/>
        <w:sz w:val="20"/>
      </w:rPr>
    </w:lvl>
    <w:lvl w:ilvl="1" w:tentative="1">
      <w:start w:val="1"/>
      <w:numFmt w:val="bullet"/>
      <w:lvlText w:val=""/>
      <w:lvlJc w:val="left"/>
      <w:pPr>
        <w:tabs>
          <w:tab w:val="num" w:pos="1980"/>
        </w:tabs>
        <w:ind w:left="1980" w:hanging="360"/>
      </w:pPr>
      <w:rPr>
        <w:rFonts w:ascii="Wingdings" w:hAnsi="Wingdings" w:hint="default"/>
        <w:sz w:val="20"/>
      </w:rPr>
    </w:lvl>
    <w:lvl w:ilvl="2" w:tentative="1">
      <w:start w:val="1"/>
      <w:numFmt w:val="bullet"/>
      <w:lvlText w:val=""/>
      <w:lvlJc w:val="left"/>
      <w:pPr>
        <w:tabs>
          <w:tab w:val="num" w:pos="2700"/>
        </w:tabs>
        <w:ind w:left="2700" w:hanging="360"/>
      </w:pPr>
      <w:rPr>
        <w:rFonts w:ascii="Wingdings" w:hAnsi="Wingdings" w:hint="default"/>
        <w:sz w:val="20"/>
      </w:rPr>
    </w:lvl>
    <w:lvl w:ilvl="3" w:tentative="1">
      <w:start w:val="1"/>
      <w:numFmt w:val="bullet"/>
      <w:lvlText w:val=""/>
      <w:lvlJc w:val="left"/>
      <w:pPr>
        <w:tabs>
          <w:tab w:val="num" w:pos="3420"/>
        </w:tabs>
        <w:ind w:left="3420" w:hanging="360"/>
      </w:pPr>
      <w:rPr>
        <w:rFonts w:ascii="Wingdings" w:hAnsi="Wingdings" w:hint="default"/>
        <w:sz w:val="20"/>
      </w:rPr>
    </w:lvl>
    <w:lvl w:ilvl="4" w:tentative="1">
      <w:start w:val="1"/>
      <w:numFmt w:val="bullet"/>
      <w:lvlText w:val=""/>
      <w:lvlJc w:val="left"/>
      <w:pPr>
        <w:tabs>
          <w:tab w:val="num" w:pos="4140"/>
        </w:tabs>
        <w:ind w:left="4140" w:hanging="360"/>
      </w:pPr>
      <w:rPr>
        <w:rFonts w:ascii="Wingdings" w:hAnsi="Wingdings" w:hint="default"/>
        <w:sz w:val="20"/>
      </w:rPr>
    </w:lvl>
    <w:lvl w:ilvl="5" w:tentative="1">
      <w:start w:val="1"/>
      <w:numFmt w:val="bullet"/>
      <w:lvlText w:val=""/>
      <w:lvlJc w:val="left"/>
      <w:pPr>
        <w:tabs>
          <w:tab w:val="num" w:pos="4860"/>
        </w:tabs>
        <w:ind w:left="4860" w:hanging="360"/>
      </w:pPr>
      <w:rPr>
        <w:rFonts w:ascii="Wingdings" w:hAnsi="Wingdings" w:hint="default"/>
        <w:sz w:val="20"/>
      </w:rPr>
    </w:lvl>
    <w:lvl w:ilvl="6" w:tentative="1">
      <w:start w:val="1"/>
      <w:numFmt w:val="bullet"/>
      <w:lvlText w:val=""/>
      <w:lvlJc w:val="left"/>
      <w:pPr>
        <w:tabs>
          <w:tab w:val="num" w:pos="5580"/>
        </w:tabs>
        <w:ind w:left="5580" w:hanging="360"/>
      </w:pPr>
      <w:rPr>
        <w:rFonts w:ascii="Wingdings" w:hAnsi="Wingdings" w:hint="default"/>
        <w:sz w:val="20"/>
      </w:rPr>
    </w:lvl>
    <w:lvl w:ilvl="7" w:tentative="1">
      <w:start w:val="1"/>
      <w:numFmt w:val="bullet"/>
      <w:lvlText w:val=""/>
      <w:lvlJc w:val="left"/>
      <w:pPr>
        <w:tabs>
          <w:tab w:val="num" w:pos="6300"/>
        </w:tabs>
        <w:ind w:left="6300" w:hanging="360"/>
      </w:pPr>
      <w:rPr>
        <w:rFonts w:ascii="Wingdings" w:hAnsi="Wingdings" w:hint="default"/>
        <w:sz w:val="20"/>
      </w:rPr>
    </w:lvl>
    <w:lvl w:ilvl="8" w:tentative="1">
      <w:start w:val="1"/>
      <w:numFmt w:val="bullet"/>
      <w:lvlText w:val=""/>
      <w:lvlJc w:val="left"/>
      <w:pPr>
        <w:tabs>
          <w:tab w:val="num" w:pos="7020"/>
        </w:tabs>
        <w:ind w:left="7020" w:hanging="360"/>
      </w:pPr>
      <w:rPr>
        <w:rFonts w:ascii="Wingdings" w:hAnsi="Wingdings" w:hint="default"/>
        <w:sz w:val="20"/>
      </w:rPr>
    </w:lvl>
  </w:abstractNum>
  <w:abstractNum w:abstractNumId="8" w15:restartNumberingAfterBreak="0">
    <w:nsid w:val="37E87267"/>
    <w:multiLevelType w:val="hybridMultilevel"/>
    <w:tmpl w:val="76A4F1DC"/>
    <w:lvl w:ilvl="0" w:tplc="CFA8D82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E932CE"/>
    <w:multiLevelType w:val="hybridMultilevel"/>
    <w:tmpl w:val="761A5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FB2FB1"/>
    <w:multiLevelType w:val="hybridMultilevel"/>
    <w:tmpl w:val="984896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AD429F5"/>
    <w:multiLevelType w:val="hybridMultilevel"/>
    <w:tmpl w:val="CC92B550"/>
    <w:lvl w:ilvl="0" w:tplc="5B0442EC">
      <w:start w:val="1"/>
      <w:numFmt w:val="decimal"/>
      <w:lvlText w:val="%1."/>
      <w:lvlJc w:val="left"/>
      <w:pPr>
        <w:ind w:left="38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BA01DBE"/>
    <w:multiLevelType w:val="hybridMultilevel"/>
    <w:tmpl w:val="639CADAA"/>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EDE048C"/>
    <w:multiLevelType w:val="hybridMultilevel"/>
    <w:tmpl w:val="5DF616C6"/>
    <w:lvl w:ilvl="0" w:tplc="21E8437E">
      <w:start w:val="1"/>
      <w:numFmt w:val="bullet"/>
      <w:lvlText w:val="-"/>
      <w:lvlJc w:val="left"/>
      <w:pPr>
        <w:ind w:left="1105" w:hanging="360"/>
      </w:pPr>
      <w:rPr>
        <w:rFonts w:ascii="Courier New" w:hAnsi="Courier New" w:hint="default"/>
        <w:color w:val="4472C4" w:themeColor="accent1"/>
      </w:rPr>
    </w:lvl>
    <w:lvl w:ilvl="1" w:tplc="0C090003" w:tentative="1">
      <w:start w:val="1"/>
      <w:numFmt w:val="bullet"/>
      <w:lvlText w:val="o"/>
      <w:lvlJc w:val="left"/>
      <w:pPr>
        <w:ind w:left="1825" w:hanging="360"/>
      </w:pPr>
      <w:rPr>
        <w:rFonts w:ascii="Courier New" w:hAnsi="Courier New" w:cs="Courier New" w:hint="default"/>
      </w:rPr>
    </w:lvl>
    <w:lvl w:ilvl="2" w:tplc="0C090005" w:tentative="1">
      <w:start w:val="1"/>
      <w:numFmt w:val="bullet"/>
      <w:lvlText w:val=""/>
      <w:lvlJc w:val="left"/>
      <w:pPr>
        <w:ind w:left="2545" w:hanging="360"/>
      </w:pPr>
      <w:rPr>
        <w:rFonts w:ascii="Wingdings" w:hAnsi="Wingdings" w:hint="default"/>
      </w:rPr>
    </w:lvl>
    <w:lvl w:ilvl="3" w:tplc="0C090001" w:tentative="1">
      <w:start w:val="1"/>
      <w:numFmt w:val="bullet"/>
      <w:lvlText w:val=""/>
      <w:lvlJc w:val="left"/>
      <w:pPr>
        <w:ind w:left="3265" w:hanging="360"/>
      </w:pPr>
      <w:rPr>
        <w:rFonts w:ascii="Symbol" w:hAnsi="Symbol" w:hint="default"/>
      </w:rPr>
    </w:lvl>
    <w:lvl w:ilvl="4" w:tplc="0C090003" w:tentative="1">
      <w:start w:val="1"/>
      <w:numFmt w:val="bullet"/>
      <w:lvlText w:val="o"/>
      <w:lvlJc w:val="left"/>
      <w:pPr>
        <w:ind w:left="3985" w:hanging="360"/>
      </w:pPr>
      <w:rPr>
        <w:rFonts w:ascii="Courier New" w:hAnsi="Courier New" w:cs="Courier New" w:hint="default"/>
      </w:rPr>
    </w:lvl>
    <w:lvl w:ilvl="5" w:tplc="0C090005" w:tentative="1">
      <w:start w:val="1"/>
      <w:numFmt w:val="bullet"/>
      <w:lvlText w:val=""/>
      <w:lvlJc w:val="left"/>
      <w:pPr>
        <w:ind w:left="4705" w:hanging="360"/>
      </w:pPr>
      <w:rPr>
        <w:rFonts w:ascii="Wingdings" w:hAnsi="Wingdings" w:hint="default"/>
      </w:rPr>
    </w:lvl>
    <w:lvl w:ilvl="6" w:tplc="0C090001" w:tentative="1">
      <w:start w:val="1"/>
      <w:numFmt w:val="bullet"/>
      <w:lvlText w:val=""/>
      <w:lvlJc w:val="left"/>
      <w:pPr>
        <w:ind w:left="5425" w:hanging="360"/>
      </w:pPr>
      <w:rPr>
        <w:rFonts w:ascii="Symbol" w:hAnsi="Symbol" w:hint="default"/>
      </w:rPr>
    </w:lvl>
    <w:lvl w:ilvl="7" w:tplc="0C090003" w:tentative="1">
      <w:start w:val="1"/>
      <w:numFmt w:val="bullet"/>
      <w:lvlText w:val="o"/>
      <w:lvlJc w:val="left"/>
      <w:pPr>
        <w:ind w:left="6145" w:hanging="360"/>
      </w:pPr>
      <w:rPr>
        <w:rFonts w:ascii="Courier New" w:hAnsi="Courier New" w:cs="Courier New" w:hint="default"/>
      </w:rPr>
    </w:lvl>
    <w:lvl w:ilvl="8" w:tplc="0C090005" w:tentative="1">
      <w:start w:val="1"/>
      <w:numFmt w:val="bullet"/>
      <w:lvlText w:val=""/>
      <w:lvlJc w:val="left"/>
      <w:pPr>
        <w:ind w:left="6865" w:hanging="360"/>
      </w:pPr>
      <w:rPr>
        <w:rFonts w:ascii="Wingdings" w:hAnsi="Wingdings" w:hint="default"/>
      </w:rPr>
    </w:lvl>
  </w:abstractNum>
  <w:abstractNum w:abstractNumId="14" w15:restartNumberingAfterBreak="0">
    <w:nsid w:val="3F9739DF"/>
    <w:multiLevelType w:val="hybridMultilevel"/>
    <w:tmpl w:val="2A2C5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5E6CB0"/>
    <w:multiLevelType w:val="hybridMultilevel"/>
    <w:tmpl w:val="B02CFF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3B4114F"/>
    <w:multiLevelType w:val="hybridMultilevel"/>
    <w:tmpl w:val="6B54D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4B40D1"/>
    <w:multiLevelType w:val="hybridMultilevel"/>
    <w:tmpl w:val="3CEEC8AA"/>
    <w:lvl w:ilvl="0" w:tplc="5B0442EC">
      <w:start w:val="1"/>
      <w:numFmt w:val="decimal"/>
      <w:lvlText w:val="%1."/>
      <w:lvlJc w:val="left"/>
      <w:pPr>
        <w:ind w:left="360" w:hanging="360"/>
      </w:pPr>
      <w:rPr>
        <w:rFonts w:hint="default"/>
      </w:rPr>
    </w:lvl>
    <w:lvl w:ilvl="1" w:tplc="0C090019" w:tentative="1">
      <w:start w:val="1"/>
      <w:numFmt w:val="lowerLetter"/>
      <w:lvlText w:val="%2."/>
      <w:lvlJc w:val="left"/>
      <w:pPr>
        <w:ind w:left="1415" w:hanging="360"/>
      </w:pPr>
    </w:lvl>
    <w:lvl w:ilvl="2" w:tplc="0C09001B" w:tentative="1">
      <w:start w:val="1"/>
      <w:numFmt w:val="lowerRoman"/>
      <w:lvlText w:val="%3."/>
      <w:lvlJc w:val="right"/>
      <w:pPr>
        <w:ind w:left="2135" w:hanging="180"/>
      </w:pPr>
    </w:lvl>
    <w:lvl w:ilvl="3" w:tplc="0C09000F" w:tentative="1">
      <w:start w:val="1"/>
      <w:numFmt w:val="decimal"/>
      <w:lvlText w:val="%4."/>
      <w:lvlJc w:val="left"/>
      <w:pPr>
        <w:ind w:left="2855" w:hanging="360"/>
      </w:pPr>
    </w:lvl>
    <w:lvl w:ilvl="4" w:tplc="0C090019" w:tentative="1">
      <w:start w:val="1"/>
      <w:numFmt w:val="lowerLetter"/>
      <w:lvlText w:val="%5."/>
      <w:lvlJc w:val="left"/>
      <w:pPr>
        <w:ind w:left="3575" w:hanging="360"/>
      </w:pPr>
    </w:lvl>
    <w:lvl w:ilvl="5" w:tplc="0C09001B" w:tentative="1">
      <w:start w:val="1"/>
      <w:numFmt w:val="lowerRoman"/>
      <w:lvlText w:val="%6."/>
      <w:lvlJc w:val="right"/>
      <w:pPr>
        <w:ind w:left="4295" w:hanging="180"/>
      </w:pPr>
    </w:lvl>
    <w:lvl w:ilvl="6" w:tplc="0C09000F" w:tentative="1">
      <w:start w:val="1"/>
      <w:numFmt w:val="decimal"/>
      <w:lvlText w:val="%7."/>
      <w:lvlJc w:val="left"/>
      <w:pPr>
        <w:ind w:left="5015" w:hanging="360"/>
      </w:pPr>
    </w:lvl>
    <w:lvl w:ilvl="7" w:tplc="0C090019" w:tentative="1">
      <w:start w:val="1"/>
      <w:numFmt w:val="lowerLetter"/>
      <w:lvlText w:val="%8."/>
      <w:lvlJc w:val="left"/>
      <w:pPr>
        <w:ind w:left="5735" w:hanging="360"/>
      </w:pPr>
    </w:lvl>
    <w:lvl w:ilvl="8" w:tplc="0C09001B" w:tentative="1">
      <w:start w:val="1"/>
      <w:numFmt w:val="lowerRoman"/>
      <w:lvlText w:val="%9."/>
      <w:lvlJc w:val="right"/>
      <w:pPr>
        <w:ind w:left="6455" w:hanging="180"/>
      </w:pPr>
    </w:lvl>
  </w:abstractNum>
  <w:abstractNum w:abstractNumId="18" w15:restartNumberingAfterBreak="0">
    <w:nsid w:val="46E1560A"/>
    <w:multiLevelType w:val="hybridMultilevel"/>
    <w:tmpl w:val="EB1C45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77A4984"/>
    <w:multiLevelType w:val="hybridMultilevel"/>
    <w:tmpl w:val="360CB3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9295C9B"/>
    <w:multiLevelType w:val="hybridMultilevel"/>
    <w:tmpl w:val="CE7C1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21" w15:restartNumberingAfterBreak="0">
    <w:nsid w:val="50494092"/>
    <w:multiLevelType w:val="hybridMultilevel"/>
    <w:tmpl w:val="E1621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03279A"/>
    <w:multiLevelType w:val="multilevel"/>
    <w:tmpl w:val="0318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3647DD"/>
    <w:multiLevelType w:val="hybridMultilevel"/>
    <w:tmpl w:val="4D1EE4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6485040"/>
    <w:multiLevelType w:val="hybridMultilevel"/>
    <w:tmpl w:val="F9C0DC4A"/>
    <w:lvl w:ilvl="0" w:tplc="21E8437E">
      <w:start w:val="1"/>
      <w:numFmt w:val="bullet"/>
      <w:lvlText w:val="-"/>
      <w:lvlJc w:val="left"/>
      <w:pPr>
        <w:ind w:left="1105" w:hanging="360"/>
      </w:pPr>
      <w:rPr>
        <w:rFonts w:ascii="Courier New" w:hAnsi="Courier New" w:hint="default"/>
        <w:color w:val="4472C4" w:themeColor="accent1"/>
      </w:rPr>
    </w:lvl>
    <w:lvl w:ilvl="1" w:tplc="0C090003" w:tentative="1">
      <w:start w:val="1"/>
      <w:numFmt w:val="bullet"/>
      <w:lvlText w:val="o"/>
      <w:lvlJc w:val="left"/>
      <w:pPr>
        <w:ind w:left="1825" w:hanging="360"/>
      </w:pPr>
      <w:rPr>
        <w:rFonts w:ascii="Courier New" w:hAnsi="Courier New" w:cs="Courier New" w:hint="default"/>
      </w:rPr>
    </w:lvl>
    <w:lvl w:ilvl="2" w:tplc="0C090005" w:tentative="1">
      <w:start w:val="1"/>
      <w:numFmt w:val="bullet"/>
      <w:lvlText w:val=""/>
      <w:lvlJc w:val="left"/>
      <w:pPr>
        <w:ind w:left="2545" w:hanging="360"/>
      </w:pPr>
      <w:rPr>
        <w:rFonts w:ascii="Wingdings" w:hAnsi="Wingdings" w:hint="default"/>
      </w:rPr>
    </w:lvl>
    <w:lvl w:ilvl="3" w:tplc="0C090001" w:tentative="1">
      <w:start w:val="1"/>
      <w:numFmt w:val="bullet"/>
      <w:lvlText w:val=""/>
      <w:lvlJc w:val="left"/>
      <w:pPr>
        <w:ind w:left="3265" w:hanging="360"/>
      </w:pPr>
      <w:rPr>
        <w:rFonts w:ascii="Symbol" w:hAnsi="Symbol" w:hint="default"/>
      </w:rPr>
    </w:lvl>
    <w:lvl w:ilvl="4" w:tplc="0C090003" w:tentative="1">
      <w:start w:val="1"/>
      <w:numFmt w:val="bullet"/>
      <w:lvlText w:val="o"/>
      <w:lvlJc w:val="left"/>
      <w:pPr>
        <w:ind w:left="3985" w:hanging="360"/>
      </w:pPr>
      <w:rPr>
        <w:rFonts w:ascii="Courier New" w:hAnsi="Courier New" w:cs="Courier New" w:hint="default"/>
      </w:rPr>
    </w:lvl>
    <w:lvl w:ilvl="5" w:tplc="0C090005" w:tentative="1">
      <w:start w:val="1"/>
      <w:numFmt w:val="bullet"/>
      <w:lvlText w:val=""/>
      <w:lvlJc w:val="left"/>
      <w:pPr>
        <w:ind w:left="4705" w:hanging="360"/>
      </w:pPr>
      <w:rPr>
        <w:rFonts w:ascii="Wingdings" w:hAnsi="Wingdings" w:hint="default"/>
      </w:rPr>
    </w:lvl>
    <w:lvl w:ilvl="6" w:tplc="0C090001" w:tentative="1">
      <w:start w:val="1"/>
      <w:numFmt w:val="bullet"/>
      <w:lvlText w:val=""/>
      <w:lvlJc w:val="left"/>
      <w:pPr>
        <w:ind w:left="5425" w:hanging="360"/>
      </w:pPr>
      <w:rPr>
        <w:rFonts w:ascii="Symbol" w:hAnsi="Symbol" w:hint="default"/>
      </w:rPr>
    </w:lvl>
    <w:lvl w:ilvl="7" w:tplc="0C090003" w:tentative="1">
      <w:start w:val="1"/>
      <w:numFmt w:val="bullet"/>
      <w:lvlText w:val="o"/>
      <w:lvlJc w:val="left"/>
      <w:pPr>
        <w:ind w:left="6145" w:hanging="360"/>
      </w:pPr>
      <w:rPr>
        <w:rFonts w:ascii="Courier New" w:hAnsi="Courier New" w:cs="Courier New" w:hint="default"/>
      </w:rPr>
    </w:lvl>
    <w:lvl w:ilvl="8" w:tplc="0C090005" w:tentative="1">
      <w:start w:val="1"/>
      <w:numFmt w:val="bullet"/>
      <w:lvlText w:val=""/>
      <w:lvlJc w:val="left"/>
      <w:pPr>
        <w:ind w:left="6865" w:hanging="360"/>
      </w:pPr>
      <w:rPr>
        <w:rFonts w:ascii="Wingdings" w:hAnsi="Wingdings" w:hint="default"/>
      </w:rPr>
    </w:lvl>
  </w:abstractNum>
  <w:abstractNum w:abstractNumId="25" w15:restartNumberingAfterBreak="0">
    <w:nsid w:val="56EF4ACD"/>
    <w:multiLevelType w:val="hybridMultilevel"/>
    <w:tmpl w:val="B19A1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BB76DA"/>
    <w:multiLevelType w:val="hybridMultilevel"/>
    <w:tmpl w:val="BB789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BE6C61"/>
    <w:multiLevelType w:val="hybridMultilevel"/>
    <w:tmpl w:val="40626874"/>
    <w:lvl w:ilvl="0" w:tplc="0C090001">
      <w:start w:val="1"/>
      <w:numFmt w:val="bullet"/>
      <w:lvlText w:val=""/>
      <w:lvlJc w:val="left"/>
      <w:pPr>
        <w:ind w:left="1105" w:hanging="360"/>
      </w:pPr>
      <w:rPr>
        <w:rFonts w:ascii="Symbol" w:hAnsi="Symbol" w:hint="default"/>
      </w:rPr>
    </w:lvl>
    <w:lvl w:ilvl="1" w:tplc="0C090003" w:tentative="1">
      <w:start w:val="1"/>
      <w:numFmt w:val="bullet"/>
      <w:lvlText w:val="o"/>
      <w:lvlJc w:val="left"/>
      <w:pPr>
        <w:ind w:left="1825" w:hanging="360"/>
      </w:pPr>
      <w:rPr>
        <w:rFonts w:ascii="Courier New" w:hAnsi="Courier New" w:cs="Courier New" w:hint="default"/>
      </w:rPr>
    </w:lvl>
    <w:lvl w:ilvl="2" w:tplc="0C090005" w:tentative="1">
      <w:start w:val="1"/>
      <w:numFmt w:val="bullet"/>
      <w:lvlText w:val=""/>
      <w:lvlJc w:val="left"/>
      <w:pPr>
        <w:ind w:left="2545" w:hanging="360"/>
      </w:pPr>
      <w:rPr>
        <w:rFonts w:ascii="Wingdings" w:hAnsi="Wingdings" w:hint="default"/>
      </w:rPr>
    </w:lvl>
    <w:lvl w:ilvl="3" w:tplc="0C090001" w:tentative="1">
      <w:start w:val="1"/>
      <w:numFmt w:val="bullet"/>
      <w:lvlText w:val=""/>
      <w:lvlJc w:val="left"/>
      <w:pPr>
        <w:ind w:left="3265" w:hanging="360"/>
      </w:pPr>
      <w:rPr>
        <w:rFonts w:ascii="Symbol" w:hAnsi="Symbol" w:hint="default"/>
      </w:rPr>
    </w:lvl>
    <w:lvl w:ilvl="4" w:tplc="0C090003" w:tentative="1">
      <w:start w:val="1"/>
      <w:numFmt w:val="bullet"/>
      <w:lvlText w:val="o"/>
      <w:lvlJc w:val="left"/>
      <w:pPr>
        <w:ind w:left="3985" w:hanging="360"/>
      </w:pPr>
      <w:rPr>
        <w:rFonts w:ascii="Courier New" w:hAnsi="Courier New" w:cs="Courier New" w:hint="default"/>
      </w:rPr>
    </w:lvl>
    <w:lvl w:ilvl="5" w:tplc="0C090005" w:tentative="1">
      <w:start w:val="1"/>
      <w:numFmt w:val="bullet"/>
      <w:lvlText w:val=""/>
      <w:lvlJc w:val="left"/>
      <w:pPr>
        <w:ind w:left="4705" w:hanging="360"/>
      </w:pPr>
      <w:rPr>
        <w:rFonts w:ascii="Wingdings" w:hAnsi="Wingdings" w:hint="default"/>
      </w:rPr>
    </w:lvl>
    <w:lvl w:ilvl="6" w:tplc="0C090001" w:tentative="1">
      <w:start w:val="1"/>
      <w:numFmt w:val="bullet"/>
      <w:lvlText w:val=""/>
      <w:lvlJc w:val="left"/>
      <w:pPr>
        <w:ind w:left="5425" w:hanging="360"/>
      </w:pPr>
      <w:rPr>
        <w:rFonts w:ascii="Symbol" w:hAnsi="Symbol" w:hint="default"/>
      </w:rPr>
    </w:lvl>
    <w:lvl w:ilvl="7" w:tplc="0C090003" w:tentative="1">
      <w:start w:val="1"/>
      <w:numFmt w:val="bullet"/>
      <w:lvlText w:val="o"/>
      <w:lvlJc w:val="left"/>
      <w:pPr>
        <w:ind w:left="6145" w:hanging="360"/>
      </w:pPr>
      <w:rPr>
        <w:rFonts w:ascii="Courier New" w:hAnsi="Courier New" w:cs="Courier New" w:hint="default"/>
      </w:rPr>
    </w:lvl>
    <w:lvl w:ilvl="8" w:tplc="0C090005" w:tentative="1">
      <w:start w:val="1"/>
      <w:numFmt w:val="bullet"/>
      <w:lvlText w:val=""/>
      <w:lvlJc w:val="left"/>
      <w:pPr>
        <w:ind w:left="6865" w:hanging="360"/>
      </w:pPr>
      <w:rPr>
        <w:rFonts w:ascii="Wingdings" w:hAnsi="Wingdings" w:hint="default"/>
      </w:rPr>
    </w:lvl>
  </w:abstractNum>
  <w:abstractNum w:abstractNumId="28" w15:restartNumberingAfterBreak="0">
    <w:nsid w:val="6A580D69"/>
    <w:multiLevelType w:val="hybridMultilevel"/>
    <w:tmpl w:val="73B68A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FDC120B"/>
    <w:multiLevelType w:val="hybridMultilevel"/>
    <w:tmpl w:val="A0E62904"/>
    <w:lvl w:ilvl="0" w:tplc="CA4AFDB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695" w:hanging="360"/>
      </w:pPr>
      <w:rPr>
        <w:rFonts w:ascii="Courier New" w:hAnsi="Courier New" w:cs="Courier New" w:hint="default"/>
      </w:rPr>
    </w:lvl>
    <w:lvl w:ilvl="2" w:tplc="0C090005" w:tentative="1">
      <w:start w:val="1"/>
      <w:numFmt w:val="bullet"/>
      <w:lvlText w:val=""/>
      <w:lvlJc w:val="left"/>
      <w:pPr>
        <w:ind w:left="1415" w:hanging="360"/>
      </w:pPr>
      <w:rPr>
        <w:rFonts w:ascii="Wingdings" w:hAnsi="Wingdings" w:hint="default"/>
      </w:rPr>
    </w:lvl>
    <w:lvl w:ilvl="3" w:tplc="0C090001" w:tentative="1">
      <w:start w:val="1"/>
      <w:numFmt w:val="bullet"/>
      <w:lvlText w:val=""/>
      <w:lvlJc w:val="left"/>
      <w:pPr>
        <w:ind w:left="2135" w:hanging="360"/>
      </w:pPr>
      <w:rPr>
        <w:rFonts w:ascii="Symbol" w:hAnsi="Symbol" w:hint="default"/>
      </w:rPr>
    </w:lvl>
    <w:lvl w:ilvl="4" w:tplc="0C090003" w:tentative="1">
      <w:start w:val="1"/>
      <w:numFmt w:val="bullet"/>
      <w:lvlText w:val="o"/>
      <w:lvlJc w:val="left"/>
      <w:pPr>
        <w:ind w:left="2855" w:hanging="360"/>
      </w:pPr>
      <w:rPr>
        <w:rFonts w:ascii="Courier New" w:hAnsi="Courier New" w:cs="Courier New" w:hint="default"/>
      </w:rPr>
    </w:lvl>
    <w:lvl w:ilvl="5" w:tplc="0C090005" w:tentative="1">
      <w:start w:val="1"/>
      <w:numFmt w:val="bullet"/>
      <w:lvlText w:val=""/>
      <w:lvlJc w:val="left"/>
      <w:pPr>
        <w:ind w:left="3575" w:hanging="360"/>
      </w:pPr>
      <w:rPr>
        <w:rFonts w:ascii="Wingdings" w:hAnsi="Wingdings" w:hint="default"/>
      </w:rPr>
    </w:lvl>
    <w:lvl w:ilvl="6" w:tplc="0C090001" w:tentative="1">
      <w:start w:val="1"/>
      <w:numFmt w:val="bullet"/>
      <w:lvlText w:val=""/>
      <w:lvlJc w:val="left"/>
      <w:pPr>
        <w:ind w:left="4295" w:hanging="360"/>
      </w:pPr>
      <w:rPr>
        <w:rFonts w:ascii="Symbol" w:hAnsi="Symbol" w:hint="default"/>
      </w:rPr>
    </w:lvl>
    <w:lvl w:ilvl="7" w:tplc="0C090003" w:tentative="1">
      <w:start w:val="1"/>
      <w:numFmt w:val="bullet"/>
      <w:lvlText w:val="o"/>
      <w:lvlJc w:val="left"/>
      <w:pPr>
        <w:ind w:left="5015" w:hanging="360"/>
      </w:pPr>
      <w:rPr>
        <w:rFonts w:ascii="Courier New" w:hAnsi="Courier New" w:cs="Courier New" w:hint="default"/>
      </w:rPr>
    </w:lvl>
    <w:lvl w:ilvl="8" w:tplc="0C090005" w:tentative="1">
      <w:start w:val="1"/>
      <w:numFmt w:val="bullet"/>
      <w:lvlText w:val=""/>
      <w:lvlJc w:val="left"/>
      <w:pPr>
        <w:ind w:left="5735" w:hanging="360"/>
      </w:pPr>
      <w:rPr>
        <w:rFonts w:ascii="Wingdings" w:hAnsi="Wingdings" w:hint="default"/>
      </w:rPr>
    </w:lvl>
  </w:abstractNum>
  <w:abstractNum w:abstractNumId="30" w15:restartNumberingAfterBreak="0">
    <w:nsid w:val="72BF634D"/>
    <w:multiLevelType w:val="hybridMultilevel"/>
    <w:tmpl w:val="B1A80F22"/>
    <w:lvl w:ilvl="0" w:tplc="CFA8D82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D755A6"/>
    <w:multiLevelType w:val="hybridMultilevel"/>
    <w:tmpl w:val="F162FFDA"/>
    <w:lvl w:ilvl="0" w:tplc="0C090001">
      <w:start w:val="1"/>
      <w:numFmt w:val="bullet"/>
      <w:lvlText w:val=""/>
      <w:lvlJc w:val="left"/>
      <w:pPr>
        <w:ind w:left="385" w:hanging="360"/>
      </w:pPr>
      <w:rPr>
        <w:rFonts w:ascii="Symbol" w:hAnsi="Symbol" w:hint="default"/>
      </w:rPr>
    </w:lvl>
    <w:lvl w:ilvl="1" w:tplc="0C090003" w:tentative="1">
      <w:start w:val="1"/>
      <w:numFmt w:val="bullet"/>
      <w:lvlText w:val="o"/>
      <w:lvlJc w:val="left"/>
      <w:pPr>
        <w:ind w:left="1105" w:hanging="360"/>
      </w:pPr>
      <w:rPr>
        <w:rFonts w:ascii="Courier New" w:hAnsi="Courier New" w:cs="Courier New" w:hint="default"/>
      </w:rPr>
    </w:lvl>
    <w:lvl w:ilvl="2" w:tplc="0C090005" w:tentative="1">
      <w:start w:val="1"/>
      <w:numFmt w:val="bullet"/>
      <w:lvlText w:val=""/>
      <w:lvlJc w:val="left"/>
      <w:pPr>
        <w:ind w:left="1825" w:hanging="360"/>
      </w:pPr>
      <w:rPr>
        <w:rFonts w:ascii="Wingdings" w:hAnsi="Wingdings" w:hint="default"/>
      </w:rPr>
    </w:lvl>
    <w:lvl w:ilvl="3" w:tplc="0C090001" w:tentative="1">
      <w:start w:val="1"/>
      <w:numFmt w:val="bullet"/>
      <w:lvlText w:val=""/>
      <w:lvlJc w:val="left"/>
      <w:pPr>
        <w:ind w:left="2545" w:hanging="360"/>
      </w:pPr>
      <w:rPr>
        <w:rFonts w:ascii="Symbol" w:hAnsi="Symbol" w:hint="default"/>
      </w:rPr>
    </w:lvl>
    <w:lvl w:ilvl="4" w:tplc="0C090003" w:tentative="1">
      <w:start w:val="1"/>
      <w:numFmt w:val="bullet"/>
      <w:lvlText w:val="o"/>
      <w:lvlJc w:val="left"/>
      <w:pPr>
        <w:ind w:left="3265" w:hanging="360"/>
      </w:pPr>
      <w:rPr>
        <w:rFonts w:ascii="Courier New" w:hAnsi="Courier New" w:cs="Courier New" w:hint="default"/>
      </w:rPr>
    </w:lvl>
    <w:lvl w:ilvl="5" w:tplc="0C090005" w:tentative="1">
      <w:start w:val="1"/>
      <w:numFmt w:val="bullet"/>
      <w:lvlText w:val=""/>
      <w:lvlJc w:val="left"/>
      <w:pPr>
        <w:ind w:left="3985" w:hanging="360"/>
      </w:pPr>
      <w:rPr>
        <w:rFonts w:ascii="Wingdings" w:hAnsi="Wingdings" w:hint="default"/>
      </w:rPr>
    </w:lvl>
    <w:lvl w:ilvl="6" w:tplc="0C090001" w:tentative="1">
      <w:start w:val="1"/>
      <w:numFmt w:val="bullet"/>
      <w:lvlText w:val=""/>
      <w:lvlJc w:val="left"/>
      <w:pPr>
        <w:ind w:left="4705" w:hanging="360"/>
      </w:pPr>
      <w:rPr>
        <w:rFonts w:ascii="Symbol" w:hAnsi="Symbol" w:hint="default"/>
      </w:rPr>
    </w:lvl>
    <w:lvl w:ilvl="7" w:tplc="0C090003" w:tentative="1">
      <w:start w:val="1"/>
      <w:numFmt w:val="bullet"/>
      <w:lvlText w:val="o"/>
      <w:lvlJc w:val="left"/>
      <w:pPr>
        <w:ind w:left="5425" w:hanging="360"/>
      </w:pPr>
      <w:rPr>
        <w:rFonts w:ascii="Courier New" w:hAnsi="Courier New" w:cs="Courier New" w:hint="default"/>
      </w:rPr>
    </w:lvl>
    <w:lvl w:ilvl="8" w:tplc="0C090005" w:tentative="1">
      <w:start w:val="1"/>
      <w:numFmt w:val="bullet"/>
      <w:lvlText w:val=""/>
      <w:lvlJc w:val="left"/>
      <w:pPr>
        <w:ind w:left="6145" w:hanging="360"/>
      </w:pPr>
      <w:rPr>
        <w:rFonts w:ascii="Wingdings" w:hAnsi="Wingdings" w:hint="default"/>
      </w:rPr>
    </w:lvl>
  </w:abstractNum>
  <w:abstractNum w:abstractNumId="32" w15:restartNumberingAfterBreak="0">
    <w:nsid w:val="776A720B"/>
    <w:multiLevelType w:val="hybridMultilevel"/>
    <w:tmpl w:val="0318E86C"/>
    <w:lvl w:ilvl="0" w:tplc="7C2E62D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A684B8C"/>
    <w:multiLevelType w:val="hybridMultilevel"/>
    <w:tmpl w:val="E41CC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764D8A"/>
    <w:multiLevelType w:val="hybridMultilevel"/>
    <w:tmpl w:val="E7AC4C22"/>
    <w:lvl w:ilvl="0" w:tplc="0C090001">
      <w:start w:val="1"/>
      <w:numFmt w:val="bullet"/>
      <w:lvlText w:val=""/>
      <w:lvlJc w:val="left"/>
      <w:pPr>
        <w:ind w:left="1105" w:hanging="360"/>
      </w:pPr>
      <w:rPr>
        <w:rFonts w:ascii="Symbol" w:hAnsi="Symbol" w:hint="default"/>
      </w:rPr>
    </w:lvl>
    <w:lvl w:ilvl="1" w:tplc="0C090003" w:tentative="1">
      <w:start w:val="1"/>
      <w:numFmt w:val="bullet"/>
      <w:lvlText w:val="o"/>
      <w:lvlJc w:val="left"/>
      <w:pPr>
        <w:ind w:left="1825" w:hanging="360"/>
      </w:pPr>
      <w:rPr>
        <w:rFonts w:ascii="Courier New" w:hAnsi="Courier New" w:cs="Courier New" w:hint="default"/>
      </w:rPr>
    </w:lvl>
    <w:lvl w:ilvl="2" w:tplc="0C090005" w:tentative="1">
      <w:start w:val="1"/>
      <w:numFmt w:val="bullet"/>
      <w:lvlText w:val=""/>
      <w:lvlJc w:val="left"/>
      <w:pPr>
        <w:ind w:left="2545" w:hanging="360"/>
      </w:pPr>
      <w:rPr>
        <w:rFonts w:ascii="Wingdings" w:hAnsi="Wingdings" w:hint="default"/>
      </w:rPr>
    </w:lvl>
    <w:lvl w:ilvl="3" w:tplc="0C090001" w:tentative="1">
      <w:start w:val="1"/>
      <w:numFmt w:val="bullet"/>
      <w:lvlText w:val=""/>
      <w:lvlJc w:val="left"/>
      <w:pPr>
        <w:ind w:left="3265" w:hanging="360"/>
      </w:pPr>
      <w:rPr>
        <w:rFonts w:ascii="Symbol" w:hAnsi="Symbol" w:hint="default"/>
      </w:rPr>
    </w:lvl>
    <w:lvl w:ilvl="4" w:tplc="0C090003" w:tentative="1">
      <w:start w:val="1"/>
      <w:numFmt w:val="bullet"/>
      <w:lvlText w:val="o"/>
      <w:lvlJc w:val="left"/>
      <w:pPr>
        <w:ind w:left="3985" w:hanging="360"/>
      </w:pPr>
      <w:rPr>
        <w:rFonts w:ascii="Courier New" w:hAnsi="Courier New" w:cs="Courier New" w:hint="default"/>
      </w:rPr>
    </w:lvl>
    <w:lvl w:ilvl="5" w:tplc="0C090005" w:tentative="1">
      <w:start w:val="1"/>
      <w:numFmt w:val="bullet"/>
      <w:lvlText w:val=""/>
      <w:lvlJc w:val="left"/>
      <w:pPr>
        <w:ind w:left="4705" w:hanging="360"/>
      </w:pPr>
      <w:rPr>
        <w:rFonts w:ascii="Wingdings" w:hAnsi="Wingdings" w:hint="default"/>
      </w:rPr>
    </w:lvl>
    <w:lvl w:ilvl="6" w:tplc="0C090001" w:tentative="1">
      <w:start w:val="1"/>
      <w:numFmt w:val="bullet"/>
      <w:lvlText w:val=""/>
      <w:lvlJc w:val="left"/>
      <w:pPr>
        <w:ind w:left="5425" w:hanging="360"/>
      </w:pPr>
      <w:rPr>
        <w:rFonts w:ascii="Symbol" w:hAnsi="Symbol" w:hint="default"/>
      </w:rPr>
    </w:lvl>
    <w:lvl w:ilvl="7" w:tplc="0C090003" w:tentative="1">
      <w:start w:val="1"/>
      <w:numFmt w:val="bullet"/>
      <w:lvlText w:val="o"/>
      <w:lvlJc w:val="left"/>
      <w:pPr>
        <w:ind w:left="6145" w:hanging="360"/>
      </w:pPr>
      <w:rPr>
        <w:rFonts w:ascii="Courier New" w:hAnsi="Courier New" w:cs="Courier New" w:hint="default"/>
      </w:rPr>
    </w:lvl>
    <w:lvl w:ilvl="8" w:tplc="0C090005" w:tentative="1">
      <w:start w:val="1"/>
      <w:numFmt w:val="bullet"/>
      <w:lvlText w:val=""/>
      <w:lvlJc w:val="left"/>
      <w:pPr>
        <w:ind w:left="6865" w:hanging="360"/>
      </w:pPr>
      <w:rPr>
        <w:rFonts w:ascii="Wingdings" w:hAnsi="Wingdings" w:hint="default"/>
      </w:rPr>
    </w:lvl>
  </w:abstractNum>
  <w:num w:numId="1">
    <w:abstractNumId w:val="20"/>
  </w:num>
  <w:num w:numId="2">
    <w:abstractNumId w:val="6"/>
  </w:num>
  <w:num w:numId="3">
    <w:abstractNumId w:val="5"/>
  </w:num>
  <w:num w:numId="4">
    <w:abstractNumId w:val="3"/>
  </w:num>
  <w:num w:numId="5">
    <w:abstractNumId w:val="31"/>
  </w:num>
  <w:num w:numId="6">
    <w:abstractNumId w:val="18"/>
  </w:num>
  <w:num w:numId="7">
    <w:abstractNumId w:val="2"/>
  </w:num>
  <w:num w:numId="8">
    <w:abstractNumId w:val="7"/>
  </w:num>
  <w:num w:numId="9">
    <w:abstractNumId w:val="22"/>
  </w:num>
  <w:num w:numId="10">
    <w:abstractNumId w:val="33"/>
  </w:num>
  <w:num w:numId="11">
    <w:abstractNumId w:val="16"/>
  </w:num>
  <w:num w:numId="12">
    <w:abstractNumId w:val="32"/>
  </w:num>
  <w:num w:numId="13">
    <w:abstractNumId w:val="9"/>
  </w:num>
  <w:num w:numId="14">
    <w:abstractNumId w:val="21"/>
  </w:num>
  <w:num w:numId="15">
    <w:abstractNumId w:val="14"/>
  </w:num>
  <w:num w:numId="16">
    <w:abstractNumId w:val="26"/>
  </w:num>
  <w:num w:numId="17">
    <w:abstractNumId w:val="12"/>
  </w:num>
  <w:num w:numId="18">
    <w:abstractNumId w:val="0"/>
  </w:num>
  <w:num w:numId="19">
    <w:abstractNumId w:val="10"/>
  </w:num>
  <w:num w:numId="20">
    <w:abstractNumId w:val="23"/>
  </w:num>
  <w:num w:numId="21">
    <w:abstractNumId w:val="11"/>
  </w:num>
  <w:num w:numId="22">
    <w:abstractNumId w:val="17"/>
  </w:num>
  <w:num w:numId="23">
    <w:abstractNumId w:val="27"/>
  </w:num>
  <w:num w:numId="24">
    <w:abstractNumId w:val="34"/>
  </w:num>
  <w:num w:numId="25">
    <w:abstractNumId w:val="24"/>
  </w:num>
  <w:num w:numId="26">
    <w:abstractNumId w:val="13"/>
  </w:num>
  <w:num w:numId="27">
    <w:abstractNumId w:val="4"/>
  </w:num>
  <w:num w:numId="28">
    <w:abstractNumId w:val="29"/>
  </w:num>
  <w:num w:numId="29">
    <w:abstractNumId w:val="25"/>
  </w:num>
  <w:num w:numId="30">
    <w:abstractNumId w:val="30"/>
  </w:num>
  <w:num w:numId="31">
    <w:abstractNumId w:val="8"/>
  </w:num>
  <w:num w:numId="32">
    <w:abstractNumId w:val="15"/>
  </w:num>
  <w:num w:numId="33">
    <w:abstractNumId w:val="28"/>
  </w:num>
  <w:num w:numId="34">
    <w:abstractNumId w:val="1"/>
  </w:num>
  <w:num w:numId="35">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20"/>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91E"/>
    <w:rsid w:val="000008D6"/>
    <w:rsid w:val="0000095B"/>
    <w:rsid w:val="00000C01"/>
    <w:rsid w:val="00000D63"/>
    <w:rsid w:val="0000226A"/>
    <w:rsid w:val="00002C33"/>
    <w:rsid w:val="00002ED7"/>
    <w:rsid w:val="000034AC"/>
    <w:rsid w:val="0000472C"/>
    <w:rsid w:val="00004BC6"/>
    <w:rsid w:val="00006591"/>
    <w:rsid w:val="000065B4"/>
    <w:rsid w:val="00006C96"/>
    <w:rsid w:val="000070D9"/>
    <w:rsid w:val="00007206"/>
    <w:rsid w:val="00007A83"/>
    <w:rsid w:val="00010DA1"/>
    <w:rsid w:val="00010E25"/>
    <w:rsid w:val="00011082"/>
    <w:rsid w:val="000121E8"/>
    <w:rsid w:val="00012281"/>
    <w:rsid w:val="00012872"/>
    <w:rsid w:val="00012935"/>
    <w:rsid w:val="00013870"/>
    <w:rsid w:val="00013F4B"/>
    <w:rsid w:val="00015202"/>
    <w:rsid w:val="00015E08"/>
    <w:rsid w:val="00017128"/>
    <w:rsid w:val="000179CC"/>
    <w:rsid w:val="00017F46"/>
    <w:rsid w:val="0002009D"/>
    <w:rsid w:val="000216B7"/>
    <w:rsid w:val="00021B00"/>
    <w:rsid w:val="00021F44"/>
    <w:rsid w:val="00021F59"/>
    <w:rsid w:val="00023077"/>
    <w:rsid w:val="00023385"/>
    <w:rsid w:val="000236C6"/>
    <w:rsid w:val="00023D57"/>
    <w:rsid w:val="00024032"/>
    <w:rsid w:val="00024173"/>
    <w:rsid w:val="00024427"/>
    <w:rsid w:val="000245E5"/>
    <w:rsid w:val="0002645B"/>
    <w:rsid w:val="000268A1"/>
    <w:rsid w:val="0002698D"/>
    <w:rsid w:val="00026C6E"/>
    <w:rsid w:val="000271CE"/>
    <w:rsid w:val="000304DE"/>
    <w:rsid w:val="000314F3"/>
    <w:rsid w:val="000322D7"/>
    <w:rsid w:val="000323AA"/>
    <w:rsid w:val="0003291D"/>
    <w:rsid w:val="00032988"/>
    <w:rsid w:val="00032B36"/>
    <w:rsid w:val="000330A8"/>
    <w:rsid w:val="00033D1E"/>
    <w:rsid w:val="00033F5B"/>
    <w:rsid w:val="00034A9A"/>
    <w:rsid w:val="00035610"/>
    <w:rsid w:val="00035CA2"/>
    <w:rsid w:val="000360FC"/>
    <w:rsid w:val="00036CDD"/>
    <w:rsid w:val="00037EDE"/>
    <w:rsid w:val="0004012B"/>
    <w:rsid w:val="00040263"/>
    <w:rsid w:val="00040605"/>
    <w:rsid w:val="000406FB"/>
    <w:rsid w:val="0004086E"/>
    <w:rsid w:val="00041E18"/>
    <w:rsid w:val="00042BA4"/>
    <w:rsid w:val="00043180"/>
    <w:rsid w:val="00043518"/>
    <w:rsid w:val="0004357E"/>
    <w:rsid w:val="000437BA"/>
    <w:rsid w:val="00043B84"/>
    <w:rsid w:val="000440FA"/>
    <w:rsid w:val="000445A8"/>
    <w:rsid w:val="0004473B"/>
    <w:rsid w:val="00045500"/>
    <w:rsid w:val="00050D67"/>
    <w:rsid w:val="00050EA1"/>
    <w:rsid w:val="000510B2"/>
    <w:rsid w:val="000517F8"/>
    <w:rsid w:val="00052ED6"/>
    <w:rsid w:val="000537F2"/>
    <w:rsid w:val="00053B1D"/>
    <w:rsid w:val="00054033"/>
    <w:rsid w:val="000546FD"/>
    <w:rsid w:val="00054886"/>
    <w:rsid w:val="00054E88"/>
    <w:rsid w:val="0005538D"/>
    <w:rsid w:val="000554C6"/>
    <w:rsid w:val="000560FB"/>
    <w:rsid w:val="00056FA0"/>
    <w:rsid w:val="0005799D"/>
    <w:rsid w:val="0006031A"/>
    <w:rsid w:val="000613A1"/>
    <w:rsid w:val="000616B7"/>
    <w:rsid w:val="00061D68"/>
    <w:rsid w:val="000622F4"/>
    <w:rsid w:val="000625FA"/>
    <w:rsid w:val="00062BEB"/>
    <w:rsid w:val="00062DDF"/>
    <w:rsid w:val="0006303B"/>
    <w:rsid w:val="00063E2A"/>
    <w:rsid w:val="00063EC4"/>
    <w:rsid w:val="00063FEE"/>
    <w:rsid w:val="000641AD"/>
    <w:rsid w:val="00064AA9"/>
    <w:rsid w:val="00064B25"/>
    <w:rsid w:val="00065475"/>
    <w:rsid w:val="0006583D"/>
    <w:rsid w:val="0006639E"/>
    <w:rsid w:val="00066BAA"/>
    <w:rsid w:val="00067E7B"/>
    <w:rsid w:val="000706FE"/>
    <w:rsid w:val="00070703"/>
    <w:rsid w:val="00070F62"/>
    <w:rsid w:val="0007102D"/>
    <w:rsid w:val="0007240A"/>
    <w:rsid w:val="000728A7"/>
    <w:rsid w:val="00072F32"/>
    <w:rsid w:val="0007341E"/>
    <w:rsid w:val="00074DE7"/>
    <w:rsid w:val="000756BE"/>
    <w:rsid w:val="000759F8"/>
    <w:rsid w:val="0007652D"/>
    <w:rsid w:val="000772E9"/>
    <w:rsid w:val="00081D2A"/>
    <w:rsid w:val="00081FAC"/>
    <w:rsid w:val="00082ED8"/>
    <w:rsid w:val="0008398E"/>
    <w:rsid w:val="00083E49"/>
    <w:rsid w:val="0008523E"/>
    <w:rsid w:val="000863A9"/>
    <w:rsid w:val="00086FFD"/>
    <w:rsid w:val="000875F7"/>
    <w:rsid w:val="00087660"/>
    <w:rsid w:val="00087860"/>
    <w:rsid w:val="00087A9A"/>
    <w:rsid w:val="00087F4C"/>
    <w:rsid w:val="00090192"/>
    <w:rsid w:val="00090FAA"/>
    <w:rsid w:val="00092FB2"/>
    <w:rsid w:val="000937F2"/>
    <w:rsid w:val="000939DB"/>
    <w:rsid w:val="00093A29"/>
    <w:rsid w:val="0009564B"/>
    <w:rsid w:val="000956E2"/>
    <w:rsid w:val="00095737"/>
    <w:rsid w:val="00095F7E"/>
    <w:rsid w:val="00096DEA"/>
    <w:rsid w:val="00097334"/>
    <w:rsid w:val="00097867"/>
    <w:rsid w:val="00097A76"/>
    <w:rsid w:val="000A03DF"/>
    <w:rsid w:val="000A1392"/>
    <w:rsid w:val="000A15EE"/>
    <w:rsid w:val="000A1685"/>
    <w:rsid w:val="000A2859"/>
    <w:rsid w:val="000A28C5"/>
    <w:rsid w:val="000A344D"/>
    <w:rsid w:val="000A3A2E"/>
    <w:rsid w:val="000A54F9"/>
    <w:rsid w:val="000A6FA6"/>
    <w:rsid w:val="000A6FD6"/>
    <w:rsid w:val="000A7C53"/>
    <w:rsid w:val="000B0276"/>
    <w:rsid w:val="000B0A27"/>
    <w:rsid w:val="000B0E1B"/>
    <w:rsid w:val="000B1587"/>
    <w:rsid w:val="000B1818"/>
    <w:rsid w:val="000B26E4"/>
    <w:rsid w:val="000B3394"/>
    <w:rsid w:val="000B4A4B"/>
    <w:rsid w:val="000B64CD"/>
    <w:rsid w:val="000B675D"/>
    <w:rsid w:val="000B6E23"/>
    <w:rsid w:val="000B7060"/>
    <w:rsid w:val="000C002C"/>
    <w:rsid w:val="000C0A9D"/>
    <w:rsid w:val="000C0FD1"/>
    <w:rsid w:val="000C114E"/>
    <w:rsid w:val="000C245C"/>
    <w:rsid w:val="000C2800"/>
    <w:rsid w:val="000C287E"/>
    <w:rsid w:val="000C2EB8"/>
    <w:rsid w:val="000C39F4"/>
    <w:rsid w:val="000C49E3"/>
    <w:rsid w:val="000C4CDC"/>
    <w:rsid w:val="000C55E9"/>
    <w:rsid w:val="000C68B7"/>
    <w:rsid w:val="000C6A3F"/>
    <w:rsid w:val="000C785A"/>
    <w:rsid w:val="000C7F6A"/>
    <w:rsid w:val="000D0FDC"/>
    <w:rsid w:val="000D141E"/>
    <w:rsid w:val="000D1751"/>
    <w:rsid w:val="000D1D0D"/>
    <w:rsid w:val="000D2A2A"/>
    <w:rsid w:val="000D376F"/>
    <w:rsid w:val="000D3A44"/>
    <w:rsid w:val="000D48AD"/>
    <w:rsid w:val="000D540E"/>
    <w:rsid w:val="000D5539"/>
    <w:rsid w:val="000D5FFE"/>
    <w:rsid w:val="000D6F9C"/>
    <w:rsid w:val="000D7A92"/>
    <w:rsid w:val="000D7D76"/>
    <w:rsid w:val="000D7EDB"/>
    <w:rsid w:val="000E102D"/>
    <w:rsid w:val="000E1ADB"/>
    <w:rsid w:val="000E1D67"/>
    <w:rsid w:val="000E20E2"/>
    <w:rsid w:val="000E2B6D"/>
    <w:rsid w:val="000E2D0F"/>
    <w:rsid w:val="000E2D2E"/>
    <w:rsid w:val="000E2DA3"/>
    <w:rsid w:val="000E4031"/>
    <w:rsid w:val="000E4757"/>
    <w:rsid w:val="000E4A61"/>
    <w:rsid w:val="000E54A4"/>
    <w:rsid w:val="000E54CC"/>
    <w:rsid w:val="000E619A"/>
    <w:rsid w:val="000E62EB"/>
    <w:rsid w:val="000E75E4"/>
    <w:rsid w:val="000E7B28"/>
    <w:rsid w:val="000F01E8"/>
    <w:rsid w:val="000F27A8"/>
    <w:rsid w:val="000F2E83"/>
    <w:rsid w:val="000F3002"/>
    <w:rsid w:val="000F30B8"/>
    <w:rsid w:val="000F321E"/>
    <w:rsid w:val="000F3593"/>
    <w:rsid w:val="000F3C3F"/>
    <w:rsid w:val="000F515E"/>
    <w:rsid w:val="000F577F"/>
    <w:rsid w:val="000F5909"/>
    <w:rsid w:val="000F66BF"/>
    <w:rsid w:val="000F6FBF"/>
    <w:rsid w:val="000F7161"/>
    <w:rsid w:val="000F7A63"/>
    <w:rsid w:val="000F7D24"/>
    <w:rsid w:val="00101BD7"/>
    <w:rsid w:val="001033A6"/>
    <w:rsid w:val="0010380A"/>
    <w:rsid w:val="00103BC4"/>
    <w:rsid w:val="00103DD3"/>
    <w:rsid w:val="001047A0"/>
    <w:rsid w:val="00104AB2"/>
    <w:rsid w:val="00105F82"/>
    <w:rsid w:val="00106D55"/>
    <w:rsid w:val="00107BB6"/>
    <w:rsid w:val="00107E35"/>
    <w:rsid w:val="00107E8C"/>
    <w:rsid w:val="0011191E"/>
    <w:rsid w:val="0011238C"/>
    <w:rsid w:val="00112406"/>
    <w:rsid w:val="00112456"/>
    <w:rsid w:val="00113992"/>
    <w:rsid w:val="00114BC7"/>
    <w:rsid w:val="00114D65"/>
    <w:rsid w:val="00114D92"/>
    <w:rsid w:val="00114DE4"/>
    <w:rsid w:val="00115273"/>
    <w:rsid w:val="001168FA"/>
    <w:rsid w:val="00117196"/>
    <w:rsid w:val="001179F8"/>
    <w:rsid w:val="0012050D"/>
    <w:rsid w:val="001206BB"/>
    <w:rsid w:val="00120C23"/>
    <w:rsid w:val="00121736"/>
    <w:rsid w:val="001218CD"/>
    <w:rsid w:val="00122BE8"/>
    <w:rsid w:val="00122E9B"/>
    <w:rsid w:val="0012335E"/>
    <w:rsid w:val="001234D1"/>
    <w:rsid w:val="001239DC"/>
    <w:rsid w:val="00123C81"/>
    <w:rsid w:val="001249B9"/>
    <w:rsid w:val="0012581B"/>
    <w:rsid w:val="00127064"/>
    <w:rsid w:val="001270B0"/>
    <w:rsid w:val="001273D7"/>
    <w:rsid w:val="00127A0E"/>
    <w:rsid w:val="00127C5D"/>
    <w:rsid w:val="00130222"/>
    <w:rsid w:val="00131005"/>
    <w:rsid w:val="0013211C"/>
    <w:rsid w:val="00132899"/>
    <w:rsid w:val="00132B03"/>
    <w:rsid w:val="001339CC"/>
    <w:rsid w:val="00133BAA"/>
    <w:rsid w:val="0013413C"/>
    <w:rsid w:val="00134406"/>
    <w:rsid w:val="0013472B"/>
    <w:rsid w:val="00135157"/>
    <w:rsid w:val="00135D48"/>
    <w:rsid w:val="0013663E"/>
    <w:rsid w:val="00136B98"/>
    <w:rsid w:val="00136DC0"/>
    <w:rsid w:val="00140351"/>
    <w:rsid w:val="001404BA"/>
    <w:rsid w:val="00140EC7"/>
    <w:rsid w:val="00141C8D"/>
    <w:rsid w:val="00141E9B"/>
    <w:rsid w:val="00143110"/>
    <w:rsid w:val="00144480"/>
    <w:rsid w:val="00144643"/>
    <w:rsid w:val="00144C95"/>
    <w:rsid w:val="001453F2"/>
    <w:rsid w:val="0014580F"/>
    <w:rsid w:val="0014598D"/>
    <w:rsid w:val="001463E6"/>
    <w:rsid w:val="00146A4F"/>
    <w:rsid w:val="00146DFB"/>
    <w:rsid w:val="00146E32"/>
    <w:rsid w:val="00147BEB"/>
    <w:rsid w:val="001505ED"/>
    <w:rsid w:val="0015064D"/>
    <w:rsid w:val="00150DA4"/>
    <w:rsid w:val="001511D7"/>
    <w:rsid w:val="00151FE9"/>
    <w:rsid w:val="0015341E"/>
    <w:rsid w:val="00154D57"/>
    <w:rsid w:val="00155796"/>
    <w:rsid w:val="00155B23"/>
    <w:rsid w:val="0015610A"/>
    <w:rsid w:val="001561AD"/>
    <w:rsid w:val="00156D9C"/>
    <w:rsid w:val="001577E0"/>
    <w:rsid w:val="00160051"/>
    <w:rsid w:val="00160324"/>
    <w:rsid w:val="00160F67"/>
    <w:rsid w:val="001614ED"/>
    <w:rsid w:val="00161921"/>
    <w:rsid w:val="001626A5"/>
    <w:rsid w:val="00162DE2"/>
    <w:rsid w:val="0016373B"/>
    <w:rsid w:val="00163E73"/>
    <w:rsid w:val="00164A8E"/>
    <w:rsid w:val="0016523E"/>
    <w:rsid w:val="0016535A"/>
    <w:rsid w:val="001655D5"/>
    <w:rsid w:val="001658E3"/>
    <w:rsid w:val="0016664A"/>
    <w:rsid w:val="00170993"/>
    <w:rsid w:val="00170F98"/>
    <w:rsid w:val="001716E2"/>
    <w:rsid w:val="00171F6C"/>
    <w:rsid w:val="001724EE"/>
    <w:rsid w:val="001737A2"/>
    <w:rsid w:val="00173926"/>
    <w:rsid w:val="00174B9D"/>
    <w:rsid w:val="00175139"/>
    <w:rsid w:val="001764DD"/>
    <w:rsid w:val="00177984"/>
    <w:rsid w:val="00180058"/>
    <w:rsid w:val="001802E9"/>
    <w:rsid w:val="001803D0"/>
    <w:rsid w:val="00180D54"/>
    <w:rsid w:val="00182D31"/>
    <w:rsid w:val="00183146"/>
    <w:rsid w:val="0018360F"/>
    <w:rsid w:val="00183878"/>
    <w:rsid w:val="0018469D"/>
    <w:rsid w:val="0018575A"/>
    <w:rsid w:val="001867E7"/>
    <w:rsid w:val="00187ACB"/>
    <w:rsid w:val="00190398"/>
    <w:rsid w:val="0019089D"/>
    <w:rsid w:val="00192B47"/>
    <w:rsid w:val="001942F2"/>
    <w:rsid w:val="0019477B"/>
    <w:rsid w:val="00195586"/>
    <w:rsid w:val="001958C4"/>
    <w:rsid w:val="00195AE1"/>
    <w:rsid w:val="00196203"/>
    <w:rsid w:val="001968B6"/>
    <w:rsid w:val="001971DC"/>
    <w:rsid w:val="00197362"/>
    <w:rsid w:val="00197F92"/>
    <w:rsid w:val="00197FB1"/>
    <w:rsid w:val="001A10D4"/>
    <w:rsid w:val="001A1E53"/>
    <w:rsid w:val="001A24DB"/>
    <w:rsid w:val="001A2D91"/>
    <w:rsid w:val="001A302D"/>
    <w:rsid w:val="001A32D7"/>
    <w:rsid w:val="001A3C25"/>
    <w:rsid w:val="001A3FD1"/>
    <w:rsid w:val="001A4FCA"/>
    <w:rsid w:val="001A503A"/>
    <w:rsid w:val="001A5B8D"/>
    <w:rsid w:val="001A5D6A"/>
    <w:rsid w:val="001A5EC0"/>
    <w:rsid w:val="001A5ECB"/>
    <w:rsid w:val="001A6130"/>
    <w:rsid w:val="001A730F"/>
    <w:rsid w:val="001A795C"/>
    <w:rsid w:val="001A7C20"/>
    <w:rsid w:val="001B0DE1"/>
    <w:rsid w:val="001B0F87"/>
    <w:rsid w:val="001B1618"/>
    <w:rsid w:val="001B1C56"/>
    <w:rsid w:val="001B230D"/>
    <w:rsid w:val="001B30F7"/>
    <w:rsid w:val="001B3569"/>
    <w:rsid w:val="001B390A"/>
    <w:rsid w:val="001B3FE5"/>
    <w:rsid w:val="001B4C88"/>
    <w:rsid w:val="001B554B"/>
    <w:rsid w:val="001B5B39"/>
    <w:rsid w:val="001B6381"/>
    <w:rsid w:val="001B6526"/>
    <w:rsid w:val="001B65B2"/>
    <w:rsid w:val="001B7923"/>
    <w:rsid w:val="001B7D99"/>
    <w:rsid w:val="001B7DD9"/>
    <w:rsid w:val="001C16F2"/>
    <w:rsid w:val="001C279C"/>
    <w:rsid w:val="001C39A1"/>
    <w:rsid w:val="001C3A97"/>
    <w:rsid w:val="001C3C65"/>
    <w:rsid w:val="001C40D6"/>
    <w:rsid w:val="001C4BFB"/>
    <w:rsid w:val="001C5D4E"/>
    <w:rsid w:val="001C602B"/>
    <w:rsid w:val="001C6A39"/>
    <w:rsid w:val="001C6EC3"/>
    <w:rsid w:val="001C7835"/>
    <w:rsid w:val="001C7908"/>
    <w:rsid w:val="001D099A"/>
    <w:rsid w:val="001D0BFE"/>
    <w:rsid w:val="001D16A9"/>
    <w:rsid w:val="001D22AA"/>
    <w:rsid w:val="001D22B9"/>
    <w:rsid w:val="001D22CD"/>
    <w:rsid w:val="001D263C"/>
    <w:rsid w:val="001D2A04"/>
    <w:rsid w:val="001D5BB6"/>
    <w:rsid w:val="001D66C5"/>
    <w:rsid w:val="001D6DF5"/>
    <w:rsid w:val="001D6FC6"/>
    <w:rsid w:val="001D732D"/>
    <w:rsid w:val="001D74A3"/>
    <w:rsid w:val="001E0C07"/>
    <w:rsid w:val="001E1135"/>
    <w:rsid w:val="001E21FF"/>
    <w:rsid w:val="001E2660"/>
    <w:rsid w:val="001E335C"/>
    <w:rsid w:val="001E3EAC"/>
    <w:rsid w:val="001E4159"/>
    <w:rsid w:val="001E419D"/>
    <w:rsid w:val="001E4577"/>
    <w:rsid w:val="001E4BEB"/>
    <w:rsid w:val="001E5CE6"/>
    <w:rsid w:val="001E6FB1"/>
    <w:rsid w:val="001F3639"/>
    <w:rsid w:val="001F4830"/>
    <w:rsid w:val="001F56F4"/>
    <w:rsid w:val="001F5C11"/>
    <w:rsid w:val="001F5DFE"/>
    <w:rsid w:val="001F5E7B"/>
    <w:rsid w:val="001F660C"/>
    <w:rsid w:val="001F6617"/>
    <w:rsid w:val="001F7321"/>
    <w:rsid w:val="001F7DAC"/>
    <w:rsid w:val="001F7DD6"/>
    <w:rsid w:val="00200328"/>
    <w:rsid w:val="002013C5"/>
    <w:rsid w:val="002019BC"/>
    <w:rsid w:val="0020300B"/>
    <w:rsid w:val="00203A37"/>
    <w:rsid w:val="00203C54"/>
    <w:rsid w:val="00204CD3"/>
    <w:rsid w:val="00204D42"/>
    <w:rsid w:val="00205443"/>
    <w:rsid w:val="00205804"/>
    <w:rsid w:val="00205EFF"/>
    <w:rsid w:val="00206002"/>
    <w:rsid w:val="00206B66"/>
    <w:rsid w:val="00206C02"/>
    <w:rsid w:val="0020782E"/>
    <w:rsid w:val="00210082"/>
    <w:rsid w:val="0021027C"/>
    <w:rsid w:val="002115E3"/>
    <w:rsid w:val="00211CF2"/>
    <w:rsid w:val="0021212F"/>
    <w:rsid w:val="002153AA"/>
    <w:rsid w:val="00215593"/>
    <w:rsid w:val="00215C43"/>
    <w:rsid w:val="002166EF"/>
    <w:rsid w:val="00216803"/>
    <w:rsid w:val="00216BB1"/>
    <w:rsid w:val="00216D95"/>
    <w:rsid w:val="002170B1"/>
    <w:rsid w:val="002177A8"/>
    <w:rsid w:val="00220BC0"/>
    <w:rsid w:val="00221CD0"/>
    <w:rsid w:val="00221D92"/>
    <w:rsid w:val="002229DB"/>
    <w:rsid w:val="00222F84"/>
    <w:rsid w:val="00223298"/>
    <w:rsid w:val="0022345A"/>
    <w:rsid w:val="002235AF"/>
    <w:rsid w:val="00223FB7"/>
    <w:rsid w:val="00224AEB"/>
    <w:rsid w:val="0022506E"/>
    <w:rsid w:val="00226DEA"/>
    <w:rsid w:val="00226F28"/>
    <w:rsid w:val="0023026D"/>
    <w:rsid w:val="00230509"/>
    <w:rsid w:val="00231424"/>
    <w:rsid w:val="00231DD7"/>
    <w:rsid w:val="00232159"/>
    <w:rsid w:val="002329C5"/>
    <w:rsid w:val="002337A8"/>
    <w:rsid w:val="00234A4D"/>
    <w:rsid w:val="002353BD"/>
    <w:rsid w:val="0023559D"/>
    <w:rsid w:val="00235C1F"/>
    <w:rsid w:val="00235D20"/>
    <w:rsid w:val="00235D5B"/>
    <w:rsid w:val="00235E54"/>
    <w:rsid w:val="00236124"/>
    <w:rsid w:val="0024036B"/>
    <w:rsid w:val="00241316"/>
    <w:rsid w:val="0024178C"/>
    <w:rsid w:val="0024180C"/>
    <w:rsid w:val="0024235F"/>
    <w:rsid w:val="00242980"/>
    <w:rsid w:val="00242B9A"/>
    <w:rsid w:val="00244143"/>
    <w:rsid w:val="00244A86"/>
    <w:rsid w:val="00244C34"/>
    <w:rsid w:val="00244FDC"/>
    <w:rsid w:val="00245F8D"/>
    <w:rsid w:val="00246261"/>
    <w:rsid w:val="0024628B"/>
    <w:rsid w:val="0024673D"/>
    <w:rsid w:val="002468DB"/>
    <w:rsid w:val="00246E3D"/>
    <w:rsid w:val="00252398"/>
    <w:rsid w:val="002524AC"/>
    <w:rsid w:val="00253279"/>
    <w:rsid w:val="0025371A"/>
    <w:rsid w:val="0025392A"/>
    <w:rsid w:val="00253A6C"/>
    <w:rsid w:val="00253ACF"/>
    <w:rsid w:val="002542CD"/>
    <w:rsid w:val="0025438A"/>
    <w:rsid w:val="00254BBD"/>
    <w:rsid w:val="00255365"/>
    <w:rsid w:val="00257290"/>
    <w:rsid w:val="002575C9"/>
    <w:rsid w:val="00257771"/>
    <w:rsid w:val="00260C5F"/>
    <w:rsid w:val="00261E16"/>
    <w:rsid w:val="00262999"/>
    <w:rsid w:val="00262B77"/>
    <w:rsid w:val="00262EB4"/>
    <w:rsid w:val="002641DD"/>
    <w:rsid w:val="00264B86"/>
    <w:rsid w:val="00264CE5"/>
    <w:rsid w:val="00265399"/>
    <w:rsid w:val="0026549D"/>
    <w:rsid w:val="00266436"/>
    <w:rsid w:val="00266DA3"/>
    <w:rsid w:val="002675F8"/>
    <w:rsid w:val="002701D3"/>
    <w:rsid w:val="00270B0E"/>
    <w:rsid w:val="002718F6"/>
    <w:rsid w:val="00273A13"/>
    <w:rsid w:val="002744FC"/>
    <w:rsid w:val="002746BA"/>
    <w:rsid w:val="002746EE"/>
    <w:rsid w:val="00275048"/>
    <w:rsid w:val="002752D0"/>
    <w:rsid w:val="002770FF"/>
    <w:rsid w:val="002773ED"/>
    <w:rsid w:val="00277B99"/>
    <w:rsid w:val="00277BE1"/>
    <w:rsid w:val="00280512"/>
    <w:rsid w:val="002807A9"/>
    <w:rsid w:val="002818EF"/>
    <w:rsid w:val="00283069"/>
    <w:rsid w:val="00283316"/>
    <w:rsid w:val="00284163"/>
    <w:rsid w:val="00284286"/>
    <w:rsid w:val="0028513D"/>
    <w:rsid w:val="002857E2"/>
    <w:rsid w:val="00285997"/>
    <w:rsid w:val="002865BC"/>
    <w:rsid w:val="00286DE4"/>
    <w:rsid w:val="002872E8"/>
    <w:rsid w:val="002904B6"/>
    <w:rsid w:val="00291138"/>
    <w:rsid w:val="00292B90"/>
    <w:rsid w:val="00293727"/>
    <w:rsid w:val="00293A24"/>
    <w:rsid w:val="00293C7B"/>
    <w:rsid w:val="00293CE3"/>
    <w:rsid w:val="00294065"/>
    <w:rsid w:val="00294101"/>
    <w:rsid w:val="00294394"/>
    <w:rsid w:val="002948F0"/>
    <w:rsid w:val="00295716"/>
    <w:rsid w:val="002957CA"/>
    <w:rsid w:val="00295A55"/>
    <w:rsid w:val="00295B0F"/>
    <w:rsid w:val="0029717D"/>
    <w:rsid w:val="00297227"/>
    <w:rsid w:val="00297A4F"/>
    <w:rsid w:val="002A09C1"/>
    <w:rsid w:val="002A2C70"/>
    <w:rsid w:val="002A2E8C"/>
    <w:rsid w:val="002A3F40"/>
    <w:rsid w:val="002A404D"/>
    <w:rsid w:val="002A5203"/>
    <w:rsid w:val="002A559E"/>
    <w:rsid w:val="002A58C7"/>
    <w:rsid w:val="002A59EB"/>
    <w:rsid w:val="002A5DFC"/>
    <w:rsid w:val="002A643B"/>
    <w:rsid w:val="002A6961"/>
    <w:rsid w:val="002A6F39"/>
    <w:rsid w:val="002A798A"/>
    <w:rsid w:val="002B04CE"/>
    <w:rsid w:val="002B1421"/>
    <w:rsid w:val="002B1E09"/>
    <w:rsid w:val="002B215C"/>
    <w:rsid w:val="002B23AD"/>
    <w:rsid w:val="002B2555"/>
    <w:rsid w:val="002B2A91"/>
    <w:rsid w:val="002B5664"/>
    <w:rsid w:val="002B5B52"/>
    <w:rsid w:val="002B5BB0"/>
    <w:rsid w:val="002B6176"/>
    <w:rsid w:val="002B7211"/>
    <w:rsid w:val="002B773A"/>
    <w:rsid w:val="002C022A"/>
    <w:rsid w:val="002C04EB"/>
    <w:rsid w:val="002C0D8B"/>
    <w:rsid w:val="002C31C6"/>
    <w:rsid w:val="002C41BB"/>
    <w:rsid w:val="002C4382"/>
    <w:rsid w:val="002C4A00"/>
    <w:rsid w:val="002C4F08"/>
    <w:rsid w:val="002C5DCC"/>
    <w:rsid w:val="002C6A02"/>
    <w:rsid w:val="002C7560"/>
    <w:rsid w:val="002D19C7"/>
    <w:rsid w:val="002D32B0"/>
    <w:rsid w:val="002D3A5F"/>
    <w:rsid w:val="002D6A31"/>
    <w:rsid w:val="002D6F35"/>
    <w:rsid w:val="002D6FEC"/>
    <w:rsid w:val="002D70E9"/>
    <w:rsid w:val="002D7EC0"/>
    <w:rsid w:val="002E042C"/>
    <w:rsid w:val="002E0E1C"/>
    <w:rsid w:val="002E0EA4"/>
    <w:rsid w:val="002E1F00"/>
    <w:rsid w:val="002E2A48"/>
    <w:rsid w:val="002E2A87"/>
    <w:rsid w:val="002E2DE3"/>
    <w:rsid w:val="002E3075"/>
    <w:rsid w:val="002E3DD0"/>
    <w:rsid w:val="002E4805"/>
    <w:rsid w:val="002E4872"/>
    <w:rsid w:val="002E5946"/>
    <w:rsid w:val="002E5D1E"/>
    <w:rsid w:val="002E65AB"/>
    <w:rsid w:val="002E65D4"/>
    <w:rsid w:val="002E6BCB"/>
    <w:rsid w:val="002F0459"/>
    <w:rsid w:val="002F083A"/>
    <w:rsid w:val="002F1507"/>
    <w:rsid w:val="002F21DE"/>
    <w:rsid w:val="002F24FA"/>
    <w:rsid w:val="002F25C1"/>
    <w:rsid w:val="002F2887"/>
    <w:rsid w:val="002F4343"/>
    <w:rsid w:val="002F4A55"/>
    <w:rsid w:val="002F54F5"/>
    <w:rsid w:val="002F586C"/>
    <w:rsid w:val="002F5940"/>
    <w:rsid w:val="002F5F7C"/>
    <w:rsid w:val="002F6349"/>
    <w:rsid w:val="002F6CA6"/>
    <w:rsid w:val="00300429"/>
    <w:rsid w:val="0030226D"/>
    <w:rsid w:val="00302661"/>
    <w:rsid w:val="00302A56"/>
    <w:rsid w:val="00303D7F"/>
    <w:rsid w:val="00304C5E"/>
    <w:rsid w:val="00304E5A"/>
    <w:rsid w:val="00305893"/>
    <w:rsid w:val="003066F3"/>
    <w:rsid w:val="00306877"/>
    <w:rsid w:val="00306F64"/>
    <w:rsid w:val="00307256"/>
    <w:rsid w:val="00307391"/>
    <w:rsid w:val="00307A1F"/>
    <w:rsid w:val="00307FC8"/>
    <w:rsid w:val="0031014D"/>
    <w:rsid w:val="00310921"/>
    <w:rsid w:val="003110C7"/>
    <w:rsid w:val="00311143"/>
    <w:rsid w:val="0031160F"/>
    <w:rsid w:val="00311708"/>
    <w:rsid w:val="00311940"/>
    <w:rsid w:val="00312128"/>
    <w:rsid w:val="003121D4"/>
    <w:rsid w:val="0031335F"/>
    <w:rsid w:val="00314052"/>
    <w:rsid w:val="0031423C"/>
    <w:rsid w:val="00314ED1"/>
    <w:rsid w:val="0031581B"/>
    <w:rsid w:val="00315B68"/>
    <w:rsid w:val="0031624C"/>
    <w:rsid w:val="00316630"/>
    <w:rsid w:val="003167B9"/>
    <w:rsid w:val="0031690D"/>
    <w:rsid w:val="003213A2"/>
    <w:rsid w:val="0032157A"/>
    <w:rsid w:val="00321A52"/>
    <w:rsid w:val="0032359D"/>
    <w:rsid w:val="003235F9"/>
    <w:rsid w:val="00323927"/>
    <w:rsid w:val="0032397D"/>
    <w:rsid w:val="00324269"/>
    <w:rsid w:val="003243EA"/>
    <w:rsid w:val="00324594"/>
    <w:rsid w:val="00325E89"/>
    <w:rsid w:val="00326620"/>
    <w:rsid w:val="003275E0"/>
    <w:rsid w:val="00330AE8"/>
    <w:rsid w:val="0033117A"/>
    <w:rsid w:val="00331952"/>
    <w:rsid w:val="0033203A"/>
    <w:rsid w:val="0033342F"/>
    <w:rsid w:val="0033376B"/>
    <w:rsid w:val="003344FF"/>
    <w:rsid w:val="0033456F"/>
    <w:rsid w:val="00334E64"/>
    <w:rsid w:val="00335B6B"/>
    <w:rsid w:val="003362A6"/>
    <w:rsid w:val="003366A9"/>
    <w:rsid w:val="00336812"/>
    <w:rsid w:val="00337A9A"/>
    <w:rsid w:val="00337F9C"/>
    <w:rsid w:val="00340287"/>
    <w:rsid w:val="00340AAF"/>
    <w:rsid w:val="0034190C"/>
    <w:rsid w:val="003419E9"/>
    <w:rsid w:val="00341C4A"/>
    <w:rsid w:val="00341C9B"/>
    <w:rsid w:val="00341D6A"/>
    <w:rsid w:val="00342184"/>
    <w:rsid w:val="00342A15"/>
    <w:rsid w:val="00343E0F"/>
    <w:rsid w:val="00343EC0"/>
    <w:rsid w:val="00344A31"/>
    <w:rsid w:val="00344C4A"/>
    <w:rsid w:val="003455D1"/>
    <w:rsid w:val="00345786"/>
    <w:rsid w:val="003458D4"/>
    <w:rsid w:val="0034590A"/>
    <w:rsid w:val="00345EEA"/>
    <w:rsid w:val="003463BA"/>
    <w:rsid w:val="00346A99"/>
    <w:rsid w:val="00347564"/>
    <w:rsid w:val="0034779A"/>
    <w:rsid w:val="003501AD"/>
    <w:rsid w:val="00350D64"/>
    <w:rsid w:val="00351907"/>
    <w:rsid w:val="00352617"/>
    <w:rsid w:val="0035294F"/>
    <w:rsid w:val="00352DBA"/>
    <w:rsid w:val="00352E18"/>
    <w:rsid w:val="003530C0"/>
    <w:rsid w:val="00353289"/>
    <w:rsid w:val="00354C8F"/>
    <w:rsid w:val="003554E3"/>
    <w:rsid w:val="00355F3A"/>
    <w:rsid w:val="00356D33"/>
    <w:rsid w:val="00357C4B"/>
    <w:rsid w:val="00357EA5"/>
    <w:rsid w:val="00360080"/>
    <w:rsid w:val="003600B9"/>
    <w:rsid w:val="003601DB"/>
    <w:rsid w:val="00361B69"/>
    <w:rsid w:val="00361CCA"/>
    <w:rsid w:val="00362DA5"/>
    <w:rsid w:val="0036644C"/>
    <w:rsid w:val="00366471"/>
    <w:rsid w:val="00366511"/>
    <w:rsid w:val="00366C5F"/>
    <w:rsid w:val="00366F26"/>
    <w:rsid w:val="0036750A"/>
    <w:rsid w:val="0036751D"/>
    <w:rsid w:val="003709D1"/>
    <w:rsid w:val="00370B01"/>
    <w:rsid w:val="003719CC"/>
    <w:rsid w:val="00371E90"/>
    <w:rsid w:val="00372B0E"/>
    <w:rsid w:val="003734E6"/>
    <w:rsid w:val="0037387C"/>
    <w:rsid w:val="00374303"/>
    <w:rsid w:val="0037473F"/>
    <w:rsid w:val="00374AD5"/>
    <w:rsid w:val="00374BA7"/>
    <w:rsid w:val="00374F6C"/>
    <w:rsid w:val="00375B5E"/>
    <w:rsid w:val="00376C86"/>
    <w:rsid w:val="00377E0B"/>
    <w:rsid w:val="00381590"/>
    <w:rsid w:val="00381C5F"/>
    <w:rsid w:val="0038209F"/>
    <w:rsid w:val="00382B37"/>
    <w:rsid w:val="003836A3"/>
    <w:rsid w:val="00383931"/>
    <w:rsid w:val="00383CF0"/>
    <w:rsid w:val="00386E86"/>
    <w:rsid w:val="003875CC"/>
    <w:rsid w:val="00387FFC"/>
    <w:rsid w:val="0039010E"/>
    <w:rsid w:val="00390E78"/>
    <w:rsid w:val="00390EE2"/>
    <w:rsid w:val="00391751"/>
    <w:rsid w:val="00393688"/>
    <w:rsid w:val="003941B6"/>
    <w:rsid w:val="00395871"/>
    <w:rsid w:val="00395F42"/>
    <w:rsid w:val="00396098"/>
    <w:rsid w:val="00397591"/>
    <w:rsid w:val="003A0ABB"/>
    <w:rsid w:val="003A32D8"/>
    <w:rsid w:val="003A352E"/>
    <w:rsid w:val="003A3878"/>
    <w:rsid w:val="003A5F07"/>
    <w:rsid w:val="003A6923"/>
    <w:rsid w:val="003A6D9F"/>
    <w:rsid w:val="003A746C"/>
    <w:rsid w:val="003A7C3C"/>
    <w:rsid w:val="003A7E7D"/>
    <w:rsid w:val="003A7EEE"/>
    <w:rsid w:val="003B08BF"/>
    <w:rsid w:val="003B1301"/>
    <w:rsid w:val="003B1A18"/>
    <w:rsid w:val="003B2646"/>
    <w:rsid w:val="003B33EB"/>
    <w:rsid w:val="003B3603"/>
    <w:rsid w:val="003B3E5D"/>
    <w:rsid w:val="003B62BC"/>
    <w:rsid w:val="003B7BFE"/>
    <w:rsid w:val="003C0D73"/>
    <w:rsid w:val="003C15C1"/>
    <w:rsid w:val="003C1F06"/>
    <w:rsid w:val="003C2063"/>
    <w:rsid w:val="003C31E6"/>
    <w:rsid w:val="003C323C"/>
    <w:rsid w:val="003C3E8F"/>
    <w:rsid w:val="003C4220"/>
    <w:rsid w:val="003C45CF"/>
    <w:rsid w:val="003C4E67"/>
    <w:rsid w:val="003C5658"/>
    <w:rsid w:val="003C596E"/>
    <w:rsid w:val="003C63B2"/>
    <w:rsid w:val="003C6F13"/>
    <w:rsid w:val="003C6F78"/>
    <w:rsid w:val="003C739D"/>
    <w:rsid w:val="003C757A"/>
    <w:rsid w:val="003C7BED"/>
    <w:rsid w:val="003D03E3"/>
    <w:rsid w:val="003D09C2"/>
    <w:rsid w:val="003D1077"/>
    <w:rsid w:val="003D2F61"/>
    <w:rsid w:val="003D3A85"/>
    <w:rsid w:val="003D3E59"/>
    <w:rsid w:val="003D3F57"/>
    <w:rsid w:val="003D4E1C"/>
    <w:rsid w:val="003D61A6"/>
    <w:rsid w:val="003D6851"/>
    <w:rsid w:val="003D7191"/>
    <w:rsid w:val="003D7B76"/>
    <w:rsid w:val="003D7C60"/>
    <w:rsid w:val="003D7F19"/>
    <w:rsid w:val="003E030E"/>
    <w:rsid w:val="003E0677"/>
    <w:rsid w:val="003E097A"/>
    <w:rsid w:val="003E1B14"/>
    <w:rsid w:val="003E2174"/>
    <w:rsid w:val="003E2D8C"/>
    <w:rsid w:val="003E39A1"/>
    <w:rsid w:val="003E4BE4"/>
    <w:rsid w:val="003E5760"/>
    <w:rsid w:val="003E666D"/>
    <w:rsid w:val="003E73C0"/>
    <w:rsid w:val="003F05C4"/>
    <w:rsid w:val="003F06DE"/>
    <w:rsid w:val="003F114C"/>
    <w:rsid w:val="003F139B"/>
    <w:rsid w:val="003F2C31"/>
    <w:rsid w:val="003F3A3B"/>
    <w:rsid w:val="003F4273"/>
    <w:rsid w:val="003F427F"/>
    <w:rsid w:val="003F4B53"/>
    <w:rsid w:val="003F4F19"/>
    <w:rsid w:val="003F4F6A"/>
    <w:rsid w:val="003F51A6"/>
    <w:rsid w:val="003F76F2"/>
    <w:rsid w:val="004014A2"/>
    <w:rsid w:val="0040241D"/>
    <w:rsid w:val="00402ADD"/>
    <w:rsid w:val="00402E0D"/>
    <w:rsid w:val="004032D3"/>
    <w:rsid w:val="00403668"/>
    <w:rsid w:val="004036E7"/>
    <w:rsid w:val="00403F6F"/>
    <w:rsid w:val="00404099"/>
    <w:rsid w:val="0040459F"/>
    <w:rsid w:val="00404C0C"/>
    <w:rsid w:val="00405298"/>
    <w:rsid w:val="00405B72"/>
    <w:rsid w:val="00405C31"/>
    <w:rsid w:val="0040633A"/>
    <w:rsid w:val="00406403"/>
    <w:rsid w:val="004068CA"/>
    <w:rsid w:val="00406980"/>
    <w:rsid w:val="004069C9"/>
    <w:rsid w:val="00407590"/>
    <w:rsid w:val="00407B1E"/>
    <w:rsid w:val="00410005"/>
    <w:rsid w:val="004104A1"/>
    <w:rsid w:val="004108E1"/>
    <w:rsid w:val="00410A9A"/>
    <w:rsid w:val="00410ABF"/>
    <w:rsid w:val="0041143D"/>
    <w:rsid w:val="004117B6"/>
    <w:rsid w:val="00411E20"/>
    <w:rsid w:val="00411F98"/>
    <w:rsid w:val="00412AFE"/>
    <w:rsid w:val="00414CA5"/>
    <w:rsid w:val="00414FEF"/>
    <w:rsid w:val="00415E6B"/>
    <w:rsid w:val="00416ABA"/>
    <w:rsid w:val="00416D9D"/>
    <w:rsid w:val="00417481"/>
    <w:rsid w:val="00420975"/>
    <w:rsid w:val="00420C86"/>
    <w:rsid w:val="0042138F"/>
    <w:rsid w:val="004213B4"/>
    <w:rsid w:val="00421679"/>
    <w:rsid w:val="004216CA"/>
    <w:rsid w:val="00422824"/>
    <w:rsid w:val="004231AD"/>
    <w:rsid w:val="00423A02"/>
    <w:rsid w:val="00424350"/>
    <w:rsid w:val="004245F0"/>
    <w:rsid w:val="00424BB3"/>
    <w:rsid w:val="0042683C"/>
    <w:rsid w:val="00427271"/>
    <w:rsid w:val="00430FBC"/>
    <w:rsid w:val="0043135F"/>
    <w:rsid w:val="00431B24"/>
    <w:rsid w:val="0043224F"/>
    <w:rsid w:val="004325A7"/>
    <w:rsid w:val="00432A9D"/>
    <w:rsid w:val="00432CD3"/>
    <w:rsid w:val="004347FF"/>
    <w:rsid w:val="00434DAF"/>
    <w:rsid w:val="00434F74"/>
    <w:rsid w:val="004352AE"/>
    <w:rsid w:val="004353E7"/>
    <w:rsid w:val="00435CE6"/>
    <w:rsid w:val="00435D52"/>
    <w:rsid w:val="00435DC5"/>
    <w:rsid w:val="004365CF"/>
    <w:rsid w:val="00436BD6"/>
    <w:rsid w:val="00436E7F"/>
    <w:rsid w:val="00436FBE"/>
    <w:rsid w:val="004404A2"/>
    <w:rsid w:val="00440BC3"/>
    <w:rsid w:val="00440DBF"/>
    <w:rsid w:val="00441096"/>
    <w:rsid w:val="0044151D"/>
    <w:rsid w:val="0044187F"/>
    <w:rsid w:val="00441AF4"/>
    <w:rsid w:val="00442155"/>
    <w:rsid w:val="0044223A"/>
    <w:rsid w:val="0044292B"/>
    <w:rsid w:val="004429D0"/>
    <w:rsid w:val="004432F9"/>
    <w:rsid w:val="00443466"/>
    <w:rsid w:val="0044498A"/>
    <w:rsid w:val="00444E33"/>
    <w:rsid w:val="00445296"/>
    <w:rsid w:val="0044544E"/>
    <w:rsid w:val="00446983"/>
    <w:rsid w:val="00446DB3"/>
    <w:rsid w:val="00446E79"/>
    <w:rsid w:val="00447DB5"/>
    <w:rsid w:val="00447FB1"/>
    <w:rsid w:val="004509F3"/>
    <w:rsid w:val="00451B7B"/>
    <w:rsid w:val="0045273F"/>
    <w:rsid w:val="00452C2C"/>
    <w:rsid w:val="004536EA"/>
    <w:rsid w:val="0045463B"/>
    <w:rsid w:val="00455C60"/>
    <w:rsid w:val="00456000"/>
    <w:rsid w:val="004560B2"/>
    <w:rsid w:val="004568BF"/>
    <w:rsid w:val="00456F64"/>
    <w:rsid w:val="004608AB"/>
    <w:rsid w:val="00461A2E"/>
    <w:rsid w:val="0046246F"/>
    <w:rsid w:val="004636FB"/>
    <w:rsid w:val="004637A6"/>
    <w:rsid w:val="00463AA9"/>
    <w:rsid w:val="00464EFD"/>
    <w:rsid w:val="00465E41"/>
    <w:rsid w:val="00466661"/>
    <w:rsid w:val="0046695F"/>
    <w:rsid w:val="00467874"/>
    <w:rsid w:val="00467DA8"/>
    <w:rsid w:val="00471549"/>
    <w:rsid w:val="0047226A"/>
    <w:rsid w:val="00473659"/>
    <w:rsid w:val="0047385F"/>
    <w:rsid w:val="00473B3B"/>
    <w:rsid w:val="004745DF"/>
    <w:rsid w:val="0047557F"/>
    <w:rsid w:val="00475B52"/>
    <w:rsid w:val="00476049"/>
    <w:rsid w:val="00476F54"/>
    <w:rsid w:val="00476FA6"/>
    <w:rsid w:val="00477066"/>
    <w:rsid w:val="00477D22"/>
    <w:rsid w:val="00477E73"/>
    <w:rsid w:val="0048037F"/>
    <w:rsid w:val="00480583"/>
    <w:rsid w:val="0048065E"/>
    <w:rsid w:val="00480E53"/>
    <w:rsid w:val="00481DE8"/>
    <w:rsid w:val="00481E71"/>
    <w:rsid w:val="004823B1"/>
    <w:rsid w:val="00482C05"/>
    <w:rsid w:val="00482EF5"/>
    <w:rsid w:val="00483048"/>
    <w:rsid w:val="00484266"/>
    <w:rsid w:val="004844B4"/>
    <w:rsid w:val="00484892"/>
    <w:rsid w:val="00484BBF"/>
    <w:rsid w:val="00485248"/>
    <w:rsid w:val="004853E8"/>
    <w:rsid w:val="00485FF7"/>
    <w:rsid w:val="004865E2"/>
    <w:rsid w:val="00486F5C"/>
    <w:rsid w:val="004873BC"/>
    <w:rsid w:val="00487E99"/>
    <w:rsid w:val="00490984"/>
    <w:rsid w:val="00490C1D"/>
    <w:rsid w:val="00490D09"/>
    <w:rsid w:val="00491373"/>
    <w:rsid w:val="004913A7"/>
    <w:rsid w:val="00491484"/>
    <w:rsid w:val="00493CBF"/>
    <w:rsid w:val="0049420D"/>
    <w:rsid w:val="004957BB"/>
    <w:rsid w:val="00495C21"/>
    <w:rsid w:val="00495F1E"/>
    <w:rsid w:val="00496025"/>
    <w:rsid w:val="004961A1"/>
    <w:rsid w:val="004975AD"/>
    <w:rsid w:val="00497B54"/>
    <w:rsid w:val="004A0576"/>
    <w:rsid w:val="004A07E4"/>
    <w:rsid w:val="004A0ED9"/>
    <w:rsid w:val="004A1309"/>
    <w:rsid w:val="004A180B"/>
    <w:rsid w:val="004A2471"/>
    <w:rsid w:val="004A2ACC"/>
    <w:rsid w:val="004A3D58"/>
    <w:rsid w:val="004A4076"/>
    <w:rsid w:val="004A4142"/>
    <w:rsid w:val="004A41EF"/>
    <w:rsid w:val="004A47ED"/>
    <w:rsid w:val="004A48E1"/>
    <w:rsid w:val="004A4DD3"/>
    <w:rsid w:val="004A4F9D"/>
    <w:rsid w:val="004A514E"/>
    <w:rsid w:val="004A5331"/>
    <w:rsid w:val="004A5FA6"/>
    <w:rsid w:val="004A63A8"/>
    <w:rsid w:val="004A6928"/>
    <w:rsid w:val="004A6A56"/>
    <w:rsid w:val="004A70C0"/>
    <w:rsid w:val="004A764D"/>
    <w:rsid w:val="004A7C43"/>
    <w:rsid w:val="004B04EF"/>
    <w:rsid w:val="004B08CF"/>
    <w:rsid w:val="004B09BF"/>
    <w:rsid w:val="004B101D"/>
    <w:rsid w:val="004B183A"/>
    <w:rsid w:val="004B1C33"/>
    <w:rsid w:val="004B1FCE"/>
    <w:rsid w:val="004B2723"/>
    <w:rsid w:val="004B4165"/>
    <w:rsid w:val="004B42A1"/>
    <w:rsid w:val="004B46CF"/>
    <w:rsid w:val="004B506B"/>
    <w:rsid w:val="004B548F"/>
    <w:rsid w:val="004B573A"/>
    <w:rsid w:val="004B57AF"/>
    <w:rsid w:val="004B5862"/>
    <w:rsid w:val="004B5930"/>
    <w:rsid w:val="004B5C3C"/>
    <w:rsid w:val="004B61B2"/>
    <w:rsid w:val="004B67E1"/>
    <w:rsid w:val="004B7A96"/>
    <w:rsid w:val="004B7AC0"/>
    <w:rsid w:val="004C00D6"/>
    <w:rsid w:val="004C0DF3"/>
    <w:rsid w:val="004C0DFB"/>
    <w:rsid w:val="004C24D1"/>
    <w:rsid w:val="004C339A"/>
    <w:rsid w:val="004C400F"/>
    <w:rsid w:val="004C45F5"/>
    <w:rsid w:val="004C4C88"/>
    <w:rsid w:val="004C540A"/>
    <w:rsid w:val="004C6585"/>
    <w:rsid w:val="004C6D78"/>
    <w:rsid w:val="004C7724"/>
    <w:rsid w:val="004C7B9C"/>
    <w:rsid w:val="004C7DAE"/>
    <w:rsid w:val="004D2F0E"/>
    <w:rsid w:val="004D310F"/>
    <w:rsid w:val="004D5167"/>
    <w:rsid w:val="004D6DC9"/>
    <w:rsid w:val="004D6FC3"/>
    <w:rsid w:val="004D7354"/>
    <w:rsid w:val="004D78B9"/>
    <w:rsid w:val="004E0F81"/>
    <w:rsid w:val="004E1511"/>
    <w:rsid w:val="004E163B"/>
    <w:rsid w:val="004E1CE4"/>
    <w:rsid w:val="004E249B"/>
    <w:rsid w:val="004E25F1"/>
    <w:rsid w:val="004E2DFE"/>
    <w:rsid w:val="004E2E79"/>
    <w:rsid w:val="004E426D"/>
    <w:rsid w:val="004E4AAB"/>
    <w:rsid w:val="004E51F1"/>
    <w:rsid w:val="004E6585"/>
    <w:rsid w:val="004E796C"/>
    <w:rsid w:val="004E7BB4"/>
    <w:rsid w:val="004F065E"/>
    <w:rsid w:val="004F134B"/>
    <w:rsid w:val="004F1363"/>
    <w:rsid w:val="004F1696"/>
    <w:rsid w:val="004F1DBD"/>
    <w:rsid w:val="004F2756"/>
    <w:rsid w:val="004F526C"/>
    <w:rsid w:val="004F57FE"/>
    <w:rsid w:val="004F5B12"/>
    <w:rsid w:val="004F5E60"/>
    <w:rsid w:val="004F620D"/>
    <w:rsid w:val="004F68C4"/>
    <w:rsid w:val="004F6BC4"/>
    <w:rsid w:val="004F6FCE"/>
    <w:rsid w:val="004F7443"/>
    <w:rsid w:val="004F7C37"/>
    <w:rsid w:val="00500BED"/>
    <w:rsid w:val="00501982"/>
    <w:rsid w:val="005025F4"/>
    <w:rsid w:val="00502811"/>
    <w:rsid w:val="00502900"/>
    <w:rsid w:val="0050475F"/>
    <w:rsid w:val="005049FA"/>
    <w:rsid w:val="00504EFD"/>
    <w:rsid w:val="00505320"/>
    <w:rsid w:val="0050550D"/>
    <w:rsid w:val="005055A2"/>
    <w:rsid w:val="00505879"/>
    <w:rsid w:val="00505A7F"/>
    <w:rsid w:val="005074FD"/>
    <w:rsid w:val="005076A9"/>
    <w:rsid w:val="00510428"/>
    <w:rsid w:val="00510922"/>
    <w:rsid w:val="00510F74"/>
    <w:rsid w:val="005114DF"/>
    <w:rsid w:val="005116F3"/>
    <w:rsid w:val="00512E62"/>
    <w:rsid w:val="00512EB9"/>
    <w:rsid w:val="00513273"/>
    <w:rsid w:val="0051472D"/>
    <w:rsid w:val="00514DC2"/>
    <w:rsid w:val="00515EF4"/>
    <w:rsid w:val="005173E8"/>
    <w:rsid w:val="00517ABF"/>
    <w:rsid w:val="00521F15"/>
    <w:rsid w:val="0052240D"/>
    <w:rsid w:val="00522D98"/>
    <w:rsid w:val="0052449B"/>
    <w:rsid w:val="0052460F"/>
    <w:rsid w:val="00524FBA"/>
    <w:rsid w:val="005263FC"/>
    <w:rsid w:val="005278A5"/>
    <w:rsid w:val="005278AB"/>
    <w:rsid w:val="00527ACC"/>
    <w:rsid w:val="00527AFF"/>
    <w:rsid w:val="00531648"/>
    <w:rsid w:val="00532117"/>
    <w:rsid w:val="005327B8"/>
    <w:rsid w:val="00533086"/>
    <w:rsid w:val="0053318C"/>
    <w:rsid w:val="0053345B"/>
    <w:rsid w:val="00533ABB"/>
    <w:rsid w:val="00533D2A"/>
    <w:rsid w:val="00535A6C"/>
    <w:rsid w:val="00536362"/>
    <w:rsid w:val="005365DF"/>
    <w:rsid w:val="00536D2F"/>
    <w:rsid w:val="0053753F"/>
    <w:rsid w:val="00537DB7"/>
    <w:rsid w:val="00543B18"/>
    <w:rsid w:val="00546037"/>
    <w:rsid w:val="00546150"/>
    <w:rsid w:val="0054627B"/>
    <w:rsid w:val="005467D5"/>
    <w:rsid w:val="00546862"/>
    <w:rsid w:val="00551190"/>
    <w:rsid w:val="005512F3"/>
    <w:rsid w:val="00551BFF"/>
    <w:rsid w:val="00551E97"/>
    <w:rsid w:val="00553B22"/>
    <w:rsid w:val="00553C09"/>
    <w:rsid w:val="0055456F"/>
    <w:rsid w:val="005546E5"/>
    <w:rsid w:val="005547AE"/>
    <w:rsid w:val="00554849"/>
    <w:rsid w:val="00554C22"/>
    <w:rsid w:val="00554ECC"/>
    <w:rsid w:val="005553C7"/>
    <w:rsid w:val="005563F9"/>
    <w:rsid w:val="0055766C"/>
    <w:rsid w:val="00560BC1"/>
    <w:rsid w:val="0056138F"/>
    <w:rsid w:val="005622B4"/>
    <w:rsid w:val="00562DA6"/>
    <w:rsid w:val="00563A21"/>
    <w:rsid w:val="005659E3"/>
    <w:rsid w:val="00565AE8"/>
    <w:rsid w:val="00566376"/>
    <w:rsid w:val="00566772"/>
    <w:rsid w:val="00566DD9"/>
    <w:rsid w:val="00566F29"/>
    <w:rsid w:val="0056715B"/>
    <w:rsid w:val="00570CDF"/>
    <w:rsid w:val="005713B9"/>
    <w:rsid w:val="0057218F"/>
    <w:rsid w:val="005725A2"/>
    <w:rsid w:val="00572D76"/>
    <w:rsid w:val="005733CC"/>
    <w:rsid w:val="005735CC"/>
    <w:rsid w:val="00574E1F"/>
    <w:rsid w:val="0057637B"/>
    <w:rsid w:val="00576DBD"/>
    <w:rsid w:val="00577178"/>
    <w:rsid w:val="00580B82"/>
    <w:rsid w:val="00580C77"/>
    <w:rsid w:val="00580EB4"/>
    <w:rsid w:val="0058109A"/>
    <w:rsid w:val="00581636"/>
    <w:rsid w:val="00582697"/>
    <w:rsid w:val="005826DE"/>
    <w:rsid w:val="00584629"/>
    <w:rsid w:val="00585428"/>
    <w:rsid w:val="00585D91"/>
    <w:rsid w:val="00586689"/>
    <w:rsid w:val="0058670D"/>
    <w:rsid w:val="0058698D"/>
    <w:rsid w:val="00586D34"/>
    <w:rsid w:val="005871DB"/>
    <w:rsid w:val="00587654"/>
    <w:rsid w:val="005876D1"/>
    <w:rsid w:val="00587D87"/>
    <w:rsid w:val="00590043"/>
    <w:rsid w:val="005902DE"/>
    <w:rsid w:val="00590679"/>
    <w:rsid w:val="005906D0"/>
    <w:rsid w:val="00590C70"/>
    <w:rsid w:val="00591655"/>
    <w:rsid w:val="005919D1"/>
    <w:rsid w:val="00591FCE"/>
    <w:rsid w:val="005921CF"/>
    <w:rsid w:val="00592865"/>
    <w:rsid w:val="00593591"/>
    <w:rsid w:val="005957FB"/>
    <w:rsid w:val="00596332"/>
    <w:rsid w:val="0059797C"/>
    <w:rsid w:val="00597B9D"/>
    <w:rsid w:val="00597DD3"/>
    <w:rsid w:val="005A0211"/>
    <w:rsid w:val="005A036D"/>
    <w:rsid w:val="005A062F"/>
    <w:rsid w:val="005A077B"/>
    <w:rsid w:val="005A0FB3"/>
    <w:rsid w:val="005A14CE"/>
    <w:rsid w:val="005A154E"/>
    <w:rsid w:val="005A1B95"/>
    <w:rsid w:val="005A2303"/>
    <w:rsid w:val="005A2C8C"/>
    <w:rsid w:val="005A38CB"/>
    <w:rsid w:val="005A3B1A"/>
    <w:rsid w:val="005A3C47"/>
    <w:rsid w:val="005A6EBE"/>
    <w:rsid w:val="005A7363"/>
    <w:rsid w:val="005A7385"/>
    <w:rsid w:val="005A7CF3"/>
    <w:rsid w:val="005B00FD"/>
    <w:rsid w:val="005B0930"/>
    <w:rsid w:val="005B1009"/>
    <w:rsid w:val="005B1194"/>
    <w:rsid w:val="005B1BED"/>
    <w:rsid w:val="005B1D4B"/>
    <w:rsid w:val="005B21EA"/>
    <w:rsid w:val="005B29C4"/>
    <w:rsid w:val="005B35D5"/>
    <w:rsid w:val="005B38AF"/>
    <w:rsid w:val="005B3E54"/>
    <w:rsid w:val="005B4B0D"/>
    <w:rsid w:val="005B52A6"/>
    <w:rsid w:val="005B5E68"/>
    <w:rsid w:val="005B6988"/>
    <w:rsid w:val="005B708E"/>
    <w:rsid w:val="005C0516"/>
    <w:rsid w:val="005C0724"/>
    <w:rsid w:val="005C08BE"/>
    <w:rsid w:val="005C0A14"/>
    <w:rsid w:val="005C0E9C"/>
    <w:rsid w:val="005C0F6D"/>
    <w:rsid w:val="005C127F"/>
    <w:rsid w:val="005C15C8"/>
    <w:rsid w:val="005C1668"/>
    <w:rsid w:val="005C1A8E"/>
    <w:rsid w:val="005C1D6B"/>
    <w:rsid w:val="005C2CD7"/>
    <w:rsid w:val="005C3D04"/>
    <w:rsid w:val="005C4B2F"/>
    <w:rsid w:val="005C4F0F"/>
    <w:rsid w:val="005C4FAD"/>
    <w:rsid w:val="005C74D7"/>
    <w:rsid w:val="005C76FE"/>
    <w:rsid w:val="005C784E"/>
    <w:rsid w:val="005C7A68"/>
    <w:rsid w:val="005C7ECE"/>
    <w:rsid w:val="005D00BD"/>
    <w:rsid w:val="005D13E8"/>
    <w:rsid w:val="005D156D"/>
    <w:rsid w:val="005D1C37"/>
    <w:rsid w:val="005D3D30"/>
    <w:rsid w:val="005D4A0E"/>
    <w:rsid w:val="005D4A0F"/>
    <w:rsid w:val="005D4BFE"/>
    <w:rsid w:val="005D4C0B"/>
    <w:rsid w:val="005D4E8E"/>
    <w:rsid w:val="005D5B5C"/>
    <w:rsid w:val="005D6316"/>
    <w:rsid w:val="005D7613"/>
    <w:rsid w:val="005D763B"/>
    <w:rsid w:val="005E08FF"/>
    <w:rsid w:val="005E1F66"/>
    <w:rsid w:val="005E1FB1"/>
    <w:rsid w:val="005E2905"/>
    <w:rsid w:val="005E2959"/>
    <w:rsid w:val="005E2C20"/>
    <w:rsid w:val="005E2E77"/>
    <w:rsid w:val="005E358A"/>
    <w:rsid w:val="005E430C"/>
    <w:rsid w:val="005E4F52"/>
    <w:rsid w:val="005E5430"/>
    <w:rsid w:val="005E5DF5"/>
    <w:rsid w:val="005E653A"/>
    <w:rsid w:val="005E6662"/>
    <w:rsid w:val="005E6E27"/>
    <w:rsid w:val="005E7BCB"/>
    <w:rsid w:val="005E7ED3"/>
    <w:rsid w:val="005F0845"/>
    <w:rsid w:val="005F1383"/>
    <w:rsid w:val="005F15E0"/>
    <w:rsid w:val="005F16E7"/>
    <w:rsid w:val="005F1717"/>
    <w:rsid w:val="005F322F"/>
    <w:rsid w:val="005F3CF4"/>
    <w:rsid w:val="005F488A"/>
    <w:rsid w:val="005F4DDB"/>
    <w:rsid w:val="005F5517"/>
    <w:rsid w:val="005F5864"/>
    <w:rsid w:val="005F5C73"/>
    <w:rsid w:val="005F6B7B"/>
    <w:rsid w:val="005F7132"/>
    <w:rsid w:val="005F7C0D"/>
    <w:rsid w:val="0060014F"/>
    <w:rsid w:val="00600940"/>
    <w:rsid w:val="00600BCC"/>
    <w:rsid w:val="00600EF9"/>
    <w:rsid w:val="0060128E"/>
    <w:rsid w:val="006018DB"/>
    <w:rsid w:val="0060249C"/>
    <w:rsid w:val="0060260E"/>
    <w:rsid w:val="00603EB4"/>
    <w:rsid w:val="00603EF8"/>
    <w:rsid w:val="00603F30"/>
    <w:rsid w:val="00604258"/>
    <w:rsid w:val="00605113"/>
    <w:rsid w:val="00605904"/>
    <w:rsid w:val="006064ED"/>
    <w:rsid w:val="00607530"/>
    <w:rsid w:val="006103F9"/>
    <w:rsid w:val="0061059A"/>
    <w:rsid w:val="006105BF"/>
    <w:rsid w:val="00610FF8"/>
    <w:rsid w:val="00611B38"/>
    <w:rsid w:val="00611EB1"/>
    <w:rsid w:val="00612A82"/>
    <w:rsid w:val="00612F0F"/>
    <w:rsid w:val="0061303F"/>
    <w:rsid w:val="00613722"/>
    <w:rsid w:val="00615C73"/>
    <w:rsid w:val="0061639C"/>
    <w:rsid w:val="0061715A"/>
    <w:rsid w:val="00620C28"/>
    <w:rsid w:val="00620EE7"/>
    <w:rsid w:val="00621291"/>
    <w:rsid w:val="006214C4"/>
    <w:rsid w:val="006216B3"/>
    <w:rsid w:val="006219A1"/>
    <w:rsid w:val="00621B2E"/>
    <w:rsid w:val="00622014"/>
    <w:rsid w:val="0062224E"/>
    <w:rsid w:val="00622EDA"/>
    <w:rsid w:val="00623504"/>
    <w:rsid w:val="00623AA6"/>
    <w:rsid w:val="006255EE"/>
    <w:rsid w:val="00625AD8"/>
    <w:rsid w:val="00625D94"/>
    <w:rsid w:val="00626D99"/>
    <w:rsid w:val="00630A9F"/>
    <w:rsid w:val="006329CA"/>
    <w:rsid w:val="00632F63"/>
    <w:rsid w:val="00633181"/>
    <w:rsid w:val="006336AC"/>
    <w:rsid w:val="00633B03"/>
    <w:rsid w:val="0063432F"/>
    <w:rsid w:val="00634D0D"/>
    <w:rsid w:val="00635656"/>
    <w:rsid w:val="00635910"/>
    <w:rsid w:val="00636518"/>
    <w:rsid w:val="00636C27"/>
    <w:rsid w:val="0064028D"/>
    <w:rsid w:val="00640385"/>
    <w:rsid w:val="00640510"/>
    <w:rsid w:val="00641CC7"/>
    <w:rsid w:val="006442BA"/>
    <w:rsid w:val="006446AB"/>
    <w:rsid w:val="00644DFA"/>
    <w:rsid w:val="00645317"/>
    <w:rsid w:val="00645718"/>
    <w:rsid w:val="00646DD5"/>
    <w:rsid w:val="006500ED"/>
    <w:rsid w:val="0065012E"/>
    <w:rsid w:val="00652E03"/>
    <w:rsid w:val="00652F7A"/>
    <w:rsid w:val="006541E9"/>
    <w:rsid w:val="00654BCD"/>
    <w:rsid w:val="00654F69"/>
    <w:rsid w:val="00655C29"/>
    <w:rsid w:val="0065681E"/>
    <w:rsid w:val="00656C77"/>
    <w:rsid w:val="00656D44"/>
    <w:rsid w:val="0065743E"/>
    <w:rsid w:val="00657657"/>
    <w:rsid w:val="0066030E"/>
    <w:rsid w:val="0066049C"/>
    <w:rsid w:val="00660566"/>
    <w:rsid w:val="006609FA"/>
    <w:rsid w:val="006613DE"/>
    <w:rsid w:val="00663092"/>
    <w:rsid w:val="006636AC"/>
    <w:rsid w:val="00663BFF"/>
    <w:rsid w:val="00663E70"/>
    <w:rsid w:val="00663F3A"/>
    <w:rsid w:val="006640F7"/>
    <w:rsid w:val="0066458F"/>
    <w:rsid w:val="006649E2"/>
    <w:rsid w:val="00664B2A"/>
    <w:rsid w:val="00664C7C"/>
    <w:rsid w:val="00666BC0"/>
    <w:rsid w:val="00670885"/>
    <w:rsid w:val="00670A3A"/>
    <w:rsid w:val="006714CD"/>
    <w:rsid w:val="00674255"/>
    <w:rsid w:val="00674A8F"/>
    <w:rsid w:val="00674D90"/>
    <w:rsid w:val="006751FB"/>
    <w:rsid w:val="006752CA"/>
    <w:rsid w:val="00675C39"/>
    <w:rsid w:val="00677014"/>
    <w:rsid w:val="00677323"/>
    <w:rsid w:val="0067797E"/>
    <w:rsid w:val="00677CB3"/>
    <w:rsid w:val="006812AD"/>
    <w:rsid w:val="00681501"/>
    <w:rsid w:val="00681919"/>
    <w:rsid w:val="00682071"/>
    <w:rsid w:val="006833FC"/>
    <w:rsid w:val="00684819"/>
    <w:rsid w:val="00684BED"/>
    <w:rsid w:val="0068635E"/>
    <w:rsid w:val="00687588"/>
    <w:rsid w:val="006909AA"/>
    <w:rsid w:val="0069123D"/>
    <w:rsid w:val="00691377"/>
    <w:rsid w:val="00691FA0"/>
    <w:rsid w:val="0069212B"/>
    <w:rsid w:val="00692E6D"/>
    <w:rsid w:val="00693071"/>
    <w:rsid w:val="00693F34"/>
    <w:rsid w:val="00694373"/>
    <w:rsid w:val="006943AB"/>
    <w:rsid w:val="00694E35"/>
    <w:rsid w:val="00695030"/>
    <w:rsid w:val="006957E3"/>
    <w:rsid w:val="00695935"/>
    <w:rsid w:val="00695CE6"/>
    <w:rsid w:val="00696076"/>
    <w:rsid w:val="0069658C"/>
    <w:rsid w:val="00696A06"/>
    <w:rsid w:val="00697720"/>
    <w:rsid w:val="006A018C"/>
    <w:rsid w:val="006A0BE6"/>
    <w:rsid w:val="006A0E3D"/>
    <w:rsid w:val="006A115F"/>
    <w:rsid w:val="006A145A"/>
    <w:rsid w:val="006A148F"/>
    <w:rsid w:val="006A2BAE"/>
    <w:rsid w:val="006A2F00"/>
    <w:rsid w:val="006A42B3"/>
    <w:rsid w:val="006A43BA"/>
    <w:rsid w:val="006A45AB"/>
    <w:rsid w:val="006A485D"/>
    <w:rsid w:val="006A4980"/>
    <w:rsid w:val="006A4C5A"/>
    <w:rsid w:val="006A508C"/>
    <w:rsid w:val="006A53CE"/>
    <w:rsid w:val="006A5D5A"/>
    <w:rsid w:val="006A6812"/>
    <w:rsid w:val="006A6D0A"/>
    <w:rsid w:val="006B0817"/>
    <w:rsid w:val="006B08E1"/>
    <w:rsid w:val="006B0AE3"/>
    <w:rsid w:val="006B2654"/>
    <w:rsid w:val="006B2676"/>
    <w:rsid w:val="006B2C48"/>
    <w:rsid w:val="006B2E0A"/>
    <w:rsid w:val="006B39FD"/>
    <w:rsid w:val="006B3C69"/>
    <w:rsid w:val="006B48AF"/>
    <w:rsid w:val="006B50E2"/>
    <w:rsid w:val="006B674A"/>
    <w:rsid w:val="006B7762"/>
    <w:rsid w:val="006C03DD"/>
    <w:rsid w:val="006C0DFF"/>
    <w:rsid w:val="006C13E6"/>
    <w:rsid w:val="006C1992"/>
    <w:rsid w:val="006C19F2"/>
    <w:rsid w:val="006C24B1"/>
    <w:rsid w:val="006C24F1"/>
    <w:rsid w:val="006C349A"/>
    <w:rsid w:val="006C3EDC"/>
    <w:rsid w:val="006C406E"/>
    <w:rsid w:val="006C42E2"/>
    <w:rsid w:val="006C54F6"/>
    <w:rsid w:val="006C59F9"/>
    <w:rsid w:val="006C5B91"/>
    <w:rsid w:val="006C5C9C"/>
    <w:rsid w:val="006C5CF1"/>
    <w:rsid w:val="006C7642"/>
    <w:rsid w:val="006C7C64"/>
    <w:rsid w:val="006C7CF2"/>
    <w:rsid w:val="006D09DA"/>
    <w:rsid w:val="006D0ED0"/>
    <w:rsid w:val="006D23A0"/>
    <w:rsid w:val="006D2C86"/>
    <w:rsid w:val="006D2D10"/>
    <w:rsid w:val="006D2D2C"/>
    <w:rsid w:val="006D3C9E"/>
    <w:rsid w:val="006D4104"/>
    <w:rsid w:val="006D4276"/>
    <w:rsid w:val="006D4B24"/>
    <w:rsid w:val="006D5121"/>
    <w:rsid w:val="006D56FE"/>
    <w:rsid w:val="006D5BD2"/>
    <w:rsid w:val="006D691A"/>
    <w:rsid w:val="006D6C8C"/>
    <w:rsid w:val="006D6E30"/>
    <w:rsid w:val="006E04D8"/>
    <w:rsid w:val="006E0DAD"/>
    <w:rsid w:val="006E2143"/>
    <w:rsid w:val="006E23E6"/>
    <w:rsid w:val="006E2AF5"/>
    <w:rsid w:val="006E2BD4"/>
    <w:rsid w:val="006E35D5"/>
    <w:rsid w:val="006E3BDE"/>
    <w:rsid w:val="006E3D01"/>
    <w:rsid w:val="006E3F1E"/>
    <w:rsid w:val="006E62BD"/>
    <w:rsid w:val="006E63C3"/>
    <w:rsid w:val="006E66F1"/>
    <w:rsid w:val="006E6E9F"/>
    <w:rsid w:val="006E6FBB"/>
    <w:rsid w:val="006F021C"/>
    <w:rsid w:val="006F0866"/>
    <w:rsid w:val="006F0A73"/>
    <w:rsid w:val="006F1671"/>
    <w:rsid w:val="006F1795"/>
    <w:rsid w:val="006F1D1C"/>
    <w:rsid w:val="006F23E5"/>
    <w:rsid w:val="006F28B4"/>
    <w:rsid w:val="006F364F"/>
    <w:rsid w:val="006F4794"/>
    <w:rsid w:val="006F562D"/>
    <w:rsid w:val="006F57A6"/>
    <w:rsid w:val="006F5F38"/>
    <w:rsid w:val="006F655A"/>
    <w:rsid w:val="006F686A"/>
    <w:rsid w:val="006F68BC"/>
    <w:rsid w:val="006F711A"/>
    <w:rsid w:val="007003FD"/>
    <w:rsid w:val="007011AC"/>
    <w:rsid w:val="007012DC"/>
    <w:rsid w:val="0070226A"/>
    <w:rsid w:val="00704A52"/>
    <w:rsid w:val="00705814"/>
    <w:rsid w:val="00706452"/>
    <w:rsid w:val="00706679"/>
    <w:rsid w:val="007069E3"/>
    <w:rsid w:val="00706A73"/>
    <w:rsid w:val="00707424"/>
    <w:rsid w:val="00710374"/>
    <w:rsid w:val="007109B8"/>
    <w:rsid w:val="00711060"/>
    <w:rsid w:val="007131E4"/>
    <w:rsid w:val="007131EA"/>
    <w:rsid w:val="007139F3"/>
    <w:rsid w:val="00713B06"/>
    <w:rsid w:val="00714639"/>
    <w:rsid w:val="0071638D"/>
    <w:rsid w:val="00716AF6"/>
    <w:rsid w:val="00716B85"/>
    <w:rsid w:val="00716DB2"/>
    <w:rsid w:val="00717D46"/>
    <w:rsid w:val="007205A7"/>
    <w:rsid w:val="00720F51"/>
    <w:rsid w:val="00721136"/>
    <w:rsid w:val="00721A72"/>
    <w:rsid w:val="007233E3"/>
    <w:rsid w:val="00723D40"/>
    <w:rsid w:val="007272B3"/>
    <w:rsid w:val="0072759D"/>
    <w:rsid w:val="007300E0"/>
    <w:rsid w:val="00730DF3"/>
    <w:rsid w:val="00731046"/>
    <w:rsid w:val="00731263"/>
    <w:rsid w:val="00731859"/>
    <w:rsid w:val="007323D2"/>
    <w:rsid w:val="007324C6"/>
    <w:rsid w:val="00732D6A"/>
    <w:rsid w:val="00733100"/>
    <w:rsid w:val="00733D3A"/>
    <w:rsid w:val="00733F8D"/>
    <w:rsid w:val="00734031"/>
    <w:rsid w:val="007340E4"/>
    <w:rsid w:val="0073494A"/>
    <w:rsid w:val="00735309"/>
    <w:rsid w:val="0073612F"/>
    <w:rsid w:val="00736323"/>
    <w:rsid w:val="00736CEB"/>
    <w:rsid w:val="00737351"/>
    <w:rsid w:val="007374A8"/>
    <w:rsid w:val="00737E45"/>
    <w:rsid w:val="00740832"/>
    <w:rsid w:val="00740F9D"/>
    <w:rsid w:val="007422D3"/>
    <w:rsid w:val="00742301"/>
    <w:rsid w:val="00743180"/>
    <w:rsid w:val="00743379"/>
    <w:rsid w:val="00743F59"/>
    <w:rsid w:val="00744410"/>
    <w:rsid w:val="00744547"/>
    <w:rsid w:val="00744C5E"/>
    <w:rsid w:val="00744D51"/>
    <w:rsid w:val="007454B4"/>
    <w:rsid w:val="00750076"/>
    <w:rsid w:val="00750216"/>
    <w:rsid w:val="00750750"/>
    <w:rsid w:val="00751EC7"/>
    <w:rsid w:val="00752278"/>
    <w:rsid w:val="00752F1B"/>
    <w:rsid w:val="007531CE"/>
    <w:rsid w:val="00753CC6"/>
    <w:rsid w:val="00754DDA"/>
    <w:rsid w:val="007564E0"/>
    <w:rsid w:val="0075735F"/>
    <w:rsid w:val="007578C0"/>
    <w:rsid w:val="00760117"/>
    <w:rsid w:val="007603A7"/>
    <w:rsid w:val="00760586"/>
    <w:rsid w:val="00760F39"/>
    <w:rsid w:val="007612B9"/>
    <w:rsid w:val="007628CF"/>
    <w:rsid w:val="00762913"/>
    <w:rsid w:val="007632BE"/>
    <w:rsid w:val="00763B7D"/>
    <w:rsid w:val="0076440A"/>
    <w:rsid w:val="0076606D"/>
    <w:rsid w:val="00766CFF"/>
    <w:rsid w:val="0076756D"/>
    <w:rsid w:val="00770150"/>
    <w:rsid w:val="00770B5F"/>
    <w:rsid w:val="0077144F"/>
    <w:rsid w:val="007715B5"/>
    <w:rsid w:val="007718D9"/>
    <w:rsid w:val="00771DB1"/>
    <w:rsid w:val="007725DB"/>
    <w:rsid w:val="00772E90"/>
    <w:rsid w:val="007733F1"/>
    <w:rsid w:val="0077743B"/>
    <w:rsid w:val="0077767E"/>
    <w:rsid w:val="007776F8"/>
    <w:rsid w:val="0077789B"/>
    <w:rsid w:val="0078277C"/>
    <w:rsid w:val="00783787"/>
    <w:rsid w:val="00783794"/>
    <w:rsid w:val="00783D49"/>
    <w:rsid w:val="007842F9"/>
    <w:rsid w:val="0078446C"/>
    <w:rsid w:val="007853EE"/>
    <w:rsid w:val="007855B6"/>
    <w:rsid w:val="00786028"/>
    <w:rsid w:val="00786938"/>
    <w:rsid w:val="0078724B"/>
    <w:rsid w:val="007875C3"/>
    <w:rsid w:val="00790D5E"/>
    <w:rsid w:val="00792704"/>
    <w:rsid w:val="00793D0D"/>
    <w:rsid w:val="0079471B"/>
    <w:rsid w:val="0079530C"/>
    <w:rsid w:val="00795318"/>
    <w:rsid w:val="007953E7"/>
    <w:rsid w:val="00795567"/>
    <w:rsid w:val="007957B7"/>
    <w:rsid w:val="007958A3"/>
    <w:rsid w:val="0079631F"/>
    <w:rsid w:val="0079690A"/>
    <w:rsid w:val="00797BBF"/>
    <w:rsid w:val="00797CF5"/>
    <w:rsid w:val="007A0E90"/>
    <w:rsid w:val="007A1410"/>
    <w:rsid w:val="007A1503"/>
    <w:rsid w:val="007A1533"/>
    <w:rsid w:val="007A16BE"/>
    <w:rsid w:val="007A1DD6"/>
    <w:rsid w:val="007A290B"/>
    <w:rsid w:val="007A30B8"/>
    <w:rsid w:val="007A327A"/>
    <w:rsid w:val="007A3934"/>
    <w:rsid w:val="007A44D9"/>
    <w:rsid w:val="007A462E"/>
    <w:rsid w:val="007A5E5D"/>
    <w:rsid w:val="007A6E54"/>
    <w:rsid w:val="007B1A54"/>
    <w:rsid w:val="007B30F5"/>
    <w:rsid w:val="007B3414"/>
    <w:rsid w:val="007B36D1"/>
    <w:rsid w:val="007B41C9"/>
    <w:rsid w:val="007B4205"/>
    <w:rsid w:val="007B46F4"/>
    <w:rsid w:val="007B47B1"/>
    <w:rsid w:val="007B4BCC"/>
    <w:rsid w:val="007B5515"/>
    <w:rsid w:val="007B555E"/>
    <w:rsid w:val="007B5695"/>
    <w:rsid w:val="007B6868"/>
    <w:rsid w:val="007B6F54"/>
    <w:rsid w:val="007B7665"/>
    <w:rsid w:val="007B79AE"/>
    <w:rsid w:val="007B7D9D"/>
    <w:rsid w:val="007C018B"/>
    <w:rsid w:val="007C048E"/>
    <w:rsid w:val="007C2B0C"/>
    <w:rsid w:val="007C2C4C"/>
    <w:rsid w:val="007C3263"/>
    <w:rsid w:val="007C3A0E"/>
    <w:rsid w:val="007C40CB"/>
    <w:rsid w:val="007C522B"/>
    <w:rsid w:val="007D0809"/>
    <w:rsid w:val="007D09B2"/>
    <w:rsid w:val="007D0A8A"/>
    <w:rsid w:val="007D10E9"/>
    <w:rsid w:val="007D11FB"/>
    <w:rsid w:val="007D1219"/>
    <w:rsid w:val="007D1E82"/>
    <w:rsid w:val="007D2064"/>
    <w:rsid w:val="007D2178"/>
    <w:rsid w:val="007D2CC6"/>
    <w:rsid w:val="007D2DF1"/>
    <w:rsid w:val="007D3751"/>
    <w:rsid w:val="007D3F7E"/>
    <w:rsid w:val="007D41A3"/>
    <w:rsid w:val="007D4665"/>
    <w:rsid w:val="007D48E4"/>
    <w:rsid w:val="007D4B70"/>
    <w:rsid w:val="007D4C7D"/>
    <w:rsid w:val="007D50A9"/>
    <w:rsid w:val="007D5812"/>
    <w:rsid w:val="007D5AC8"/>
    <w:rsid w:val="007D5BD2"/>
    <w:rsid w:val="007D6829"/>
    <w:rsid w:val="007D7BCE"/>
    <w:rsid w:val="007E17C6"/>
    <w:rsid w:val="007E184B"/>
    <w:rsid w:val="007E22CE"/>
    <w:rsid w:val="007E2E2C"/>
    <w:rsid w:val="007E4CE2"/>
    <w:rsid w:val="007E4DF5"/>
    <w:rsid w:val="007E5374"/>
    <w:rsid w:val="007E5AB5"/>
    <w:rsid w:val="007E7095"/>
    <w:rsid w:val="007F01EF"/>
    <w:rsid w:val="007F06E0"/>
    <w:rsid w:val="007F0C90"/>
    <w:rsid w:val="007F287C"/>
    <w:rsid w:val="007F2AEB"/>
    <w:rsid w:val="007F34EF"/>
    <w:rsid w:val="007F3AF4"/>
    <w:rsid w:val="007F47B5"/>
    <w:rsid w:val="007F47EF"/>
    <w:rsid w:val="007F4983"/>
    <w:rsid w:val="007F537B"/>
    <w:rsid w:val="007F5AB1"/>
    <w:rsid w:val="007F6BE3"/>
    <w:rsid w:val="007F72D8"/>
    <w:rsid w:val="00800851"/>
    <w:rsid w:val="00801714"/>
    <w:rsid w:val="008018B0"/>
    <w:rsid w:val="008019C0"/>
    <w:rsid w:val="00801B22"/>
    <w:rsid w:val="0080225B"/>
    <w:rsid w:val="00802409"/>
    <w:rsid w:val="00802F9E"/>
    <w:rsid w:val="00803061"/>
    <w:rsid w:val="008030F7"/>
    <w:rsid w:val="0080480D"/>
    <w:rsid w:val="00805327"/>
    <w:rsid w:val="00805D8F"/>
    <w:rsid w:val="00806AD6"/>
    <w:rsid w:val="00807199"/>
    <w:rsid w:val="00807204"/>
    <w:rsid w:val="00807532"/>
    <w:rsid w:val="00807544"/>
    <w:rsid w:val="00807962"/>
    <w:rsid w:val="00807AF1"/>
    <w:rsid w:val="00807B64"/>
    <w:rsid w:val="0081143F"/>
    <w:rsid w:val="00811F94"/>
    <w:rsid w:val="0081204F"/>
    <w:rsid w:val="00812085"/>
    <w:rsid w:val="00812BDF"/>
    <w:rsid w:val="00813737"/>
    <w:rsid w:val="00813775"/>
    <w:rsid w:val="00813885"/>
    <w:rsid w:val="00813D37"/>
    <w:rsid w:val="00814047"/>
    <w:rsid w:val="00814616"/>
    <w:rsid w:val="00814B30"/>
    <w:rsid w:val="00814C1A"/>
    <w:rsid w:val="00814D66"/>
    <w:rsid w:val="00814E0F"/>
    <w:rsid w:val="00815575"/>
    <w:rsid w:val="008167EB"/>
    <w:rsid w:val="00816A4E"/>
    <w:rsid w:val="00817901"/>
    <w:rsid w:val="008204DA"/>
    <w:rsid w:val="00820BE3"/>
    <w:rsid w:val="0082262A"/>
    <w:rsid w:val="00822652"/>
    <w:rsid w:val="00822C48"/>
    <w:rsid w:val="00823850"/>
    <w:rsid w:val="008258E6"/>
    <w:rsid w:val="008268B2"/>
    <w:rsid w:val="00826F2D"/>
    <w:rsid w:val="0083116A"/>
    <w:rsid w:val="008311FC"/>
    <w:rsid w:val="008315CC"/>
    <w:rsid w:val="0083190E"/>
    <w:rsid w:val="008325FE"/>
    <w:rsid w:val="008327B0"/>
    <w:rsid w:val="0083300B"/>
    <w:rsid w:val="0083331B"/>
    <w:rsid w:val="008337D9"/>
    <w:rsid w:val="00833DFA"/>
    <w:rsid w:val="00833F0F"/>
    <w:rsid w:val="00834A83"/>
    <w:rsid w:val="0083536B"/>
    <w:rsid w:val="00836574"/>
    <w:rsid w:val="0083688D"/>
    <w:rsid w:val="00836B8E"/>
    <w:rsid w:val="00837231"/>
    <w:rsid w:val="008409A9"/>
    <w:rsid w:val="00840A3D"/>
    <w:rsid w:val="00840DB7"/>
    <w:rsid w:val="00841D52"/>
    <w:rsid w:val="00841E5D"/>
    <w:rsid w:val="00842536"/>
    <w:rsid w:val="00842547"/>
    <w:rsid w:val="0084272A"/>
    <w:rsid w:val="00842FD2"/>
    <w:rsid w:val="008434A4"/>
    <w:rsid w:val="00843EA4"/>
    <w:rsid w:val="00844B96"/>
    <w:rsid w:val="008464DD"/>
    <w:rsid w:val="00850038"/>
    <w:rsid w:val="00850A82"/>
    <w:rsid w:val="00850F79"/>
    <w:rsid w:val="008518BB"/>
    <w:rsid w:val="008520D5"/>
    <w:rsid w:val="008524F7"/>
    <w:rsid w:val="008529CC"/>
    <w:rsid w:val="0085397A"/>
    <w:rsid w:val="00854B76"/>
    <w:rsid w:val="00854C7E"/>
    <w:rsid w:val="00855CA9"/>
    <w:rsid w:val="00855E98"/>
    <w:rsid w:val="0085688E"/>
    <w:rsid w:val="008576C9"/>
    <w:rsid w:val="0085782C"/>
    <w:rsid w:val="008603CA"/>
    <w:rsid w:val="008604D7"/>
    <w:rsid w:val="008604E7"/>
    <w:rsid w:val="00860F16"/>
    <w:rsid w:val="008612BD"/>
    <w:rsid w:val="008616F8"/>
    <w:rsid w:val="00862412"/>
    <w:rsid w:val="008638E1"/>
    <w:rsid w:val="00863F8E"/>
    <w:rsid w:val="00864936"/>
    <w:rsid w:val="00864B42"/>
    <w:rsid w:val="00864D83"/>
    <w:rsid w:val="008652D7"/>
    <w:rsid w:val="0086663E"/>
    <w:rsid w:val="008669E5"/>
    <w:rsid w:val="008670D7"/>
    <w:rsid w:val="00867CA3"/>
    <w:rsid w:val="00871775"/>
    <w:rsid w:val="00872262"/>
    <w:rsid w:val="008725E3"/>
    <w:rsid w:val="00872903"/>
    <w:rsid w:val="00872945"/>
    <w:rsid w:val="0087397F"/>
    <w:rsid w:val="00874FFB"/>
    <w:rsid w:val="008757A3"/>
    <w:rsid w:val="00875FEC"/>
    <w:rsid w:val="008765B0"/>
    <w:rsid w:val="00877257"/>
    <w:rsid w:val="0087789F"/>
    <w:rsid w:val="008778A8"/>
    <w:rsid w:val="0088005F"/>
    <w:rsid w:val="0088028A"/>
    <w:rsid w:val="00880851"/>
    <w:rsid w:val="00882986"/>
    <w:rsid w:val="00882A41"/>
    <w:rsid w:val="00885F23"/>
    <w:rsid w:val="008862D2"/>
    <w:rsid w:val="008871D1"/>
    <w:rsid w:val="00887DE1"/>
    <w:rsid w:val="008905A2"/>
    <w:rsid w:val="008905D7"/>
    <w:rsid w:val="00890664"/>
    <w:rsid w:val="0089073E"/>
    <w:rsid w:val="00890F7C"/>
    <w:rsid w:val="008912DD"/>
    <w:rsid w:val="00891E98"/>
    <w:rsid w:val="008920B9"/>
    <w:rsid w:val="00892ACF"/>
    <w:rsid w:val="00892FFF"/>
    <w:rsid w:val="00893169"/>
    <w:rsid w:val="008931F6"/>
    <w:rsid w:val="00893264"/>
    <w:rsid w:val="00893E31"/>
    <w:rsid w:val="0089407E"/>
    <w:rsid w:val="00894213"/>
    <w:rsid w:val="008948BC"/>
    <w:rsid w:val="0089491F"/>
    <w:rsid w:val="00896B63"/>
    <w:rsid w:val="008970F8"/>
    <w:rsid w:val="008975D7"/>
    <w:rsid w:val="008A0B1E"/>
    <w:rsid w:val="008A14EF"/>
    <w:rsid w:val="008A1DDB"/>
    <w:rsid w:val="008A21D1"/>
    <w:rsid w:val="008A233B"/>
    <w:rsid w:val="008A3A2D"/>
    <w:rsid w:val="008A3B62"/>
    <w:rsid w:val="008A42EC"/>
    <w:rsid w:val="008A5721"/>
    <w:rsid w:val="008A616A"/>
    <w:rsid w:val="008A6444"/>
    <w:rsid w:val="008A72C9"/>
    <w:rsid w:val="008A7C66"/>
    <w:rsid w:val="008B0609"/>
    <w:rsid w:val="008B0D89"/>
    <w:rsid w:val="008B0F26"/>
    <w:rsid w:val="008B1128"/>
    <w:rsid w:val="008B2F0E"/>
    <w:rsid w:val="008B36BE"/>
    <w:rsid w:val="008B3830"/>
    <w:rsid w:val="008B3C74"/>
    <w:rsid w:val="008B4ED2"/>
    <w:rsid w:val="008B61E9"/>
    <w:rsid w:val="008B6BB5"/>
    <w:rsid w:val="008B7DB7"/>
    <w:rsid w:val="008C1A15"/>
    <w:rsid w:val="008C276C"/>
    <w:rsid w:val="008C2D09"/>
    <w:rsid w:val="008C4939"/>
    <w:rsid w:val="008C57C8"/>
    <w:rsid w:val="008C6F6C"/>
    <w:rsid w:val="008C7051"/>
    <w:rsid w:val="008C747B"/>
    <w:rsid w:val="008D0121"/>
    <w:rsid w:val="008D0E8A"/>
    <w:rsid w:val="008D13BB"/>
    <w:rsid w:val="008D164F"/>
    <w:rsid w:val="008D180F"/>
    <w:rsid w:val="008D21FB"/>
    <w:rsid w:val="008D2A56"/>
    <w:rsid w:val="008D5303"/>
    <w:rsid w:val="008D5407"/>
    <w:rsid w:val="008D6091"/>
    <w:rsid w:val="008D6B54"/>
    <w:rsid w:val="008D77CE"/>
    <w:rsid w:val="008D79D3"/>
    <w:rsid w:val="008D79EA"/>
    <w:rsid w:val="008D7D88"/>
    <w:rsid w:val="008E1119"/>
    <w:rsid w:val="008E18A2"/>
    <w:rsid w:val="008E199A"/>
    <w:rsid w:val="008E1C28"/>
    <w:rsid w:val="008E2682"/>
    <w:rsid w:val="008E395E"/>
    <w:rsid w:val="008E56BF"/>
    <w:rsid w:val="008E5E96"/>
    <w:rsid w:val="008E6058"/>
    <w:rsid w:val="008E618B"/>
    <w:rsid w:val="008E7227"/>
    <w:rsid w:val="008F0029"/>
    <w:rsid w:val="008F0526"/>
    <w:rsid w:val="008F0B49"/>
    <w:rsid w:val="008F15D8"/>
    <w:rsid w:val="008F16B1"/>
    <w:rsid w:val="008F2F85"/>
    <w:rsid w:val="008F3DF2"/>
    <w:rsid w:val="008F42EB"/>
    <w:rsid w:val="008F4591"/>
    <w:rsid w:val="008F4BE2"/>
    <w:rsid w:val="008F5104"/>
    <w:rsid w:val="008F5D6A"/>
    <w:rsid w:val="008F5DCA"/>
    <w:rsid w:val="008F5F20"/>
    <w:rsid w:val="008F671F"/>
    <w:rsid w:val="008F689A"/>
    <w:rsid w:val="008F68CC"/>
    <w:rsid w:val="008F6C63"/>
    <w:rsid w:val="008F6DB2"/>
    <w:rsid w:val="008F7040"/>
    <w:rsid w:val="008F755A"/>
    <w:rsid w:val="0090079B"/>
    <w:rsid w:val="00900888"/>
    <w:rsid w:val="00900941"/>
    <w:rsid w:val="009010D1"/>
    <w:rsid w:val="00902A2D"/>
    <w:rsid w:val="00902B91"/>
    <w:rsid w:val="00902BE1"/>
    <w:rsid w:val="00902D15"/>
    <w:rsid w:val="00903774"/>
    <w:rsid w:val="00904268"/>
    <w:rsid w:val="00904CD3"/>
    <w:rsid w:val="00904EB5"/>
    <w:rsid w:val="00905DE2"/>
    <w:rsid w:val="0090684B"/>
    <w:rsid w:val="00907477"/>
    <w:rsid w:val="00907685"/>
    <w:rsid w:val="00907CCC"/>
    <w:rsid w:val="00907E1A"/>
    <w:rsid w:val="00911808"/>
    <w:rsid w:val="00911C61"/>
    <w:rsid w:val="00912514"/>
    <w:rsid w:val="00912598"/>
    <w:rsid w:val="00912703"/>
    <w:rsid w:val="009130A1"/>
    <w:rsid w:val="0091330F"/>
    <w:rsid w:val="00913C95"/>
    <w:rsid w:val="009142A4"/>
    <w:rsid w:val="0091451E"/>
    <w:rsid w:val="009149C8"/>
    <w:rsid w:val="00914EE3"/>
    <w:rsid w:val="009151B6"/>
    <w:rsid w:val="00916932"/>
    <w:rsid w:val="00917C67"/>
    <w:rsid w:val="00917F9C"/>
    <w:rsid w:val="00917FB7"/>
    <w:rsid w:val="00922285"/>
    <w:rsid w:val="009222AE"/>
    <w:rsid w:val="0092278B"/>
    <w:rsid w:val="00922FC9"/>
    <w:rsid w:val="009237A7"/>
    <w:rsid w:val="00923E74"/>
    <w:rsid w:val="009241C5"/>
    <w:rsid w:val="0092464F"/>
    <w:rsid w:val="0092481F"/>
    <w:rsid w:val="00925354"/>
    <w:rsid w:val="00926F5B"/>
    <w:rsid w:val="009278B5"/>
    <w:rsid w:val="00927B65"/>
    <w:rsid w:val="0093111F"/>
    <w:rsid w:val="009316A2"/>
    <w:rsid w:val="0093261A"/>
    <w:rsid w:val="00932642"/>
    <w:rsid w:val="00932ADC"/>
    <w:rsid w:val="009330A6"/>
    <w:rsid w:val="00933F49"/>
    <w:rsid w:val="009340A6"/>
    <w:rsid w:val="009343FA"/>
    <w:rsid w:val="00934B15"/>
    <w:rsid w:val="00934C9D"/>
    <w:rsid w:val="00935721"/>
    <w:rsid w:val="00935928"/>
    <w:rsid w:val="00935BB1"/>
    <w:rsid w:val="009361B8"/>
    <w:rsid w:val="009370EB"/>
    <w:rsid w:val="00937932"/>
    <w:rsid w:val="009400F5"/>
    <w:rsid w:val="009404B9"/>
    <w:rsid w:val="00940ABA"/>
    <w:rsid w:val="00940C36"/>
    <w:rsid w:val="00940CE5"/>
    <w:rsid w:val="00941257"/>
    <w:rsid w:val="00941CC3"/>
    <w:rsid w:val="00942C8F"/>
    <w:rsid w:val="0094368B"/>
    <w:rsid w:val="00943821"/>
    <w:rsid w:val="009445DF"/>
    <w:rsid w:val="00944A02"/>
    <w:rsid w:val="00945178"/>
    <w:rsid w:val="00945B5F"/>
    <w:rsid w:val="009477B7"/>
    <w:rsid w:val="00947CF1"/>
    <w:rsid w:val="0095003A"/>
    <w:rsid w:val="0095066C"/>
    <w:rsid w:val="0095209D"/>
    <w:rsid w:val="00952745"/>
    <w:rsid w:val="00952980"/>
    <w:rsid w:val="00952BCA"/>
    <w:rsid w:val="00953A48"/>
    <w:rsid w:val="00954C58"/>
    <w:rsid w:val="00956373"/>
    <w:rsid w:val="009567A6"/>
    <w:rsid w:val="00956DC6"/>
    <w:rsid w:val="0095708A"/>
    <w:rsid w:val="00957D11"/>
    <w:rsid w:val="009609F2"/>
    <w:rsid w:val="00960F06"/>
    <w:rsid w:val="00961CEA"/>
    <w:rsid w:val="009635B7"/>
    <w:rsid w:val="009641CD"/>
    <w:rsid w:val="00964278"/>
    <w:rsid w:val="00964A52"/>
    <w:rsid w:val="009650D5"/>
    <w:rsid w:val="00965988"/>
    <w:rsid w:val="00965CD1"/>
    <w:rsid w:val="00965D53"/>
    <w:rsid w:val="009662E0"/>
    <w:rsid w:val="009674C6"/>
    <w:rsid w:val="00967C5A"/>
    <w:rsid w:val="00970201"/>
    <w:rsid w:val="00970C91"/>
    <w:rsid w:val="00971352"/>
    <w:rsid w:val="00971AFA"/>
    <w:rsid w:val="00971EC4"/>
    <w:rsid w:val="009731C5"/>
    <w:rsid w:val="009733A2"/>
    <w:rsid w:val="009733BE"/>
    <w:rsid w:val="00973AE8"/>
    <w:rsid w:val="00974396"/>
    <w:rsid w:val="0097633C"/>
    <w:rsid w:val="0097687E"/>
    <w:rsid w:val="00976D91"/>
    <w:rsid w:val="009814AB"/>
    <w:rsid w:val="009825C3"/>
    <w:rsid w:val="0098464C"/>
    <w:rsid w:val="00985610"/>
    <w:rsid w:val="00987098"/>
    <w:rsid w:val="009879AD"/>
    <w:rsid w:val="00990A40"/>
    <w:rsid w:val="009916AF"/>
    <w:rsid w:val="00991D8D"/>
    <w:rsid w:val="0099212C"/>
    <w:rsid w:val="00993511"/>
    <w:rsid w:val="00993532"/>
    <w:rsid w:val="0099382B"/>
    <w:rsid w:val="009950D2"/>
    <w:rsid w:val="009951DA"/>
    <w:rsid w:val="0099524A"/>
    <w:rsid w:val="00996916"/>
    <w:rsid w:val="009977E0"/>
    <w:rsid w:val="009978B6"/>
    <w:rsid w:val="009A0568"/>
    <w:rsid w:val="009A1CFD"/>
    <w:rsid w:val="009A1E87"/>
    <w:rsid w:val="009A2964"/>
    <w:rsid w:val="009A3C6C"/>
    <w:rsid w:val="009A43F9"/>
    <w:rsid w:val="009A571B"/>
    <w:rsid w:val="009A5B1D"/>
    <w:rsid w:val="009A6372"/>
    <w:rsid w:val="009A6BA5"/>
    <w:rsid w:val="009A6C08"/>
    <w:rsid w:val="009A6F54"/>
    <w:rsid w:val="009A71FE"/>
    <w:rsid w:val="009A788D"/>
    <w:rsid w:val="009B1E0F"/>
    <w:rsid w:val="009B25EB"/>
    <w:rsid w:val="009B2D3A"/>
    <w:rsid w:val="009B3F4F"/>
    <w:rsid w:val="009B3FD0"/>
    <w:rsid w:val="009B5878"/>
    <w:rsid w:val="009B5E28"/>
    <w:rsid w:val="009B610A"/>
    <w:rsid w:val="009B66ED"/>
    <w:rsid w:val="009B6DC3"/>
    <w:rsid w:val="009B7D8F"/>
    <w:rsid w:val="009C0A7B"/>
    <w:rsid w:val="009C0FE5"/>
    <w:rsid w:val="009C14EC"/>
    <w:rsid w:val="009C19F6"/>
    <w:rsid w:val="009C2390"/>
    <w:rsid w:val="009C3AE3"/>
    <w:rsid w:val="009C4495"/>
    <w:rsid w:val="009C4BC3"/>
    <w:rsid w:val="009C4EBC"/>
    <w:rsid w:val="009C5B05"/>
    <w:rsid w:val="009C601A"/>
    <w:rsid w:val="009C6385"/>
    <w:rsid w:val="009C6D79"/>
    <w:rsid w:val="009C6F04"/>
    <w:rsid w:val="009C79DC"/>
    <w:rsid w:val="009C7D36"/>
    <w:rsid w:val="009D00E5"/>
    <w:rsid w:val="009D096B"/>
    <w:rsid w:val="009D0CD1"/>
    <w:rsid w:val="009D19AD"/>
    <w:rsid w:val="009D3BF3"/>
    <w:rsid w:val="009D465F"/>
    <w:rsid w:val="009D4BBB"/>
    <w:rsid w:val="009D4F98"/>
    <w:rsid w:val="009D5A5A"/>
    <w:rsid w:val="009D64E2"/>
    <w:rsid w:val="009D6F67"/>
    <w:rsid w:val="009D724E"/>
    <w:rsid w:val="009D7DA3"/>
    <w:rsid w:val="009E01EE"/>
    <w:rsid w:val="009E0845"/>
    <w:rsid w:val="009E0C44"/>
    <w:rsid w:val="009E1902"/>
    <w:rsid w:val="009E1955"/>
    <w:rsid w:val="009E1FA4"/>
    <w:rsid w:val="009E4117"/>
    <w:rsid w:val="009E580B"/>
    <w:rsid w:val="009E71DD"/>
    <w:rsid w:val="009E7EBE"/>
    <w:rsid w:val="009F0CB1"/>
    <w:rsid w:val="009F19BD"/>
    <w:rsid w:val="009F1D8D"/>
    <w:rsid w:val="009F1E26"/>
    <w:rsid w:val="009F37D9"/>
    <w:rsid w:val="009F4C58"/>
    <w:rsid w:val="009F549F"/>
    <w:rsid w:val="009F562A"/>
    <w:rsid w:val="009F56CB"/>
    <w:rsid w:val="009F677D"/>
    <w:rsid w:val="009F7113"/>
    <w:rsid w:val="009F75D2"/>
    <w:rsid w:val="009F7A2B"/>
    <w:rsid w:val="009F7FBD"/>
    <w:rsid w:val="00A00176"/>
    <w:rsid w:val="00A006E2"/>
    <w:rsid w:val="00A008D6"/>
    <w:rsid w:val="00A02285"/>
    <w:rsid w:val="00A03597"/>
    <w:rsid w:val="00A03FE6"/>
    <w:rsid w:val="00A0437E"/>
    <w:rsid w:val="00A04922"/>
    <w:rsid w:val="00A052E1"/>
    <w:rsid w:val="00A0586B"/>
    <w:rsid w:val="00A05C82"/>
    <w:rsid w:val="00A1066B"/>
    <w:rsid w:val="00A108E4"/>
    <w:rsid w:val="00A10DA7"/>
    <w:rsid w:val="00A124A0"/>
    <w:rsid w:val="00A12604"/>
    <w:rsid w:val="00A12EA0"/>
    <w:rsid w:val="00A12F01"/>
    <w:rsid w:val="00A130DA"/>
    <w:rsid w:val="00A13252"/>
    <w:rsid w:val="00A13428"/>
    <w:rsid w:val="00A13970"/>
    <w:rsid w:val="00A13ED6"/>
    <w:rsid w:val="00A14C90"/>
    <w:rsid w:val="00A165E3"/>
    <w:rsid w:val="00A179D8"/>
    <w:rsid w:val="00A202C8"/>
    <w:rsid w:val="00A204C2"/>
    <w:rsid w:val="00A21D59"/>
    <w:rsid w:val="00A22268"/>
    <w:rsid w:val="00A22D5F"/>
    <w:rsid w:val="00A237F4"/>
    <w:rsid w:val="00A23A86"/>
    <w:rsid w:val="00A253B1"/>
    <w:rsid w:val="00A263E7"/>
    <w:rsid w:val="00A26C6B"/>
    <w:rsid w:val="00A30015"/>
    <w:rsid w:val="00A30D32"/>
    <w:rsid w:val="00A30D5C"/>
    <w:rsid w:val="00A30E1E"/>
    <w:rsid w:val="00A31AE6"/>
    <w:rsid w:val="00A31B64"/>
    <w:rsid w:val="00A3207A"/>
    <w:rsid w:val="00A32F0F"/>
    <w:rsid w:val="00A33332"/>
    <w:rsid w:val="00A33C7A"/>
    <w:rsid w:val="00A33F0F"/>
    <w:rsid w:val="00A342BF"/>
    <w:rsid w:val="00A3499F"/>
    <w:rsid w:val="00A34A0C"/>
    <w:rsid w:val="00A35307"/>
    <w:rsid w:val="00A35B8D"/>
    <w:rsid w:val="00A35CE1"/>
    <w:rsid w:val="00A35FC1"/>
    <w:rsid w:val="00A3626B"/>
    <w:rsid w:val="00A366BF"/>
    <w:rsid w:val="00A369E5"/>
    <w:rsid w:val="00A37A30"/>
    <w:rsid w:val="00A37A67"/>
    <w:rsid w:val="00A4000D"/>
    <w:rsid w:val="00A4226C"/>
    <w:rsid w:val="00A424CF"/>
    <w:rsid w:val="00A42FB2"/>
    <w:rsid w:val="00A43298"/>
    <w:rsid w:val="00A435BF"/>
    <w:rsid w:val="00A453F4"/>
    <w:rsid w:val="00A4559A"/>
    <w:rsid w:val="00A462A2"/>
    <w:rsid w:val="00A474D6"/>
    <w:rsid w:val="00A523D2"/>
    <w:rsid w:val="00A52C08"/>
    <w:rsid w:val="00A5403A"/>
    <w:rsid w:val="00A54331"/>
    <w:rsid w:val="00A544B2"/>
    <w:rsid w:val="00A54E1C"/>
    <w:rsid w:val="00A552BE"/>
    <w:rsid w:val="00A55A00"/>
    <w:rsid w:val="00A5671A"/>
    <w:rsid w:val="00A572C8"/>
    <w:rsid w:val="00A575C2"/>
    <w:rsid w:val="00A57882"/>
    <w:rsid w:val="00A604EC"/>
    <w:rsid w:val="00A614C2"/>
    <w:rsid w:val="00A61DC4"/>
    <w:rsid w:val="00A62144"/>
    <w:rsid w:val="00A6224E"/>
    <w:rsid w:val="00A62276"/>
    <w:rsid w:val="00A62CB9"/>
    <w:rsid w:val="00A62F22"/>
    <w:rsid w:val="00A63C0D"/>
    <w:rsid w:val="00A63CC5"/>
    <w:rsid w:val="00A64E08"/>
    <w:rsid w:val="00A6503D"/>
    <w:rsid w:val="00A652D4"/>
    <w:rsid w:val="00A6555E"/>
    <w:rsid w:val="00A660CC"/>
    <w:rsid w:val="00A6610B"/>
    <w:rsid w:val="00A6619B"/>
    <w:rsid w:val="00A66876"/>
    <w:rsid w:val="00A66D91"/>
    <w:rsid w:val="00A66E25"/>
    <w:rsid w:val="00A67648"/>
    <w:rsid w:val="00A67B5D"/>
    <w:rsid w:val="00A71609"/>
    <w:rsid w:val="00A72EB0"/>
    <w:rsid w:val="00A734CF"/>
    <w:rsid w:val="00A739E1"/>
    <w:rsid w:val="00A74580"/>
    <w:rsid w:val="00A74F56"/>
    <w:rsid w:val="00A7623F"/>
    <w:rsid w:val="00A762EF"/>
    <w:rsid w:val="00A776AF"/>
    <w:rsid w:val="00A77BF6"/>
    <w:rsid w:val="00A77EFF"/>
    <w:rsid w:val="00A8080F"/>
    <w:rsid w:val="00A808F8"/>
    <w:rsid w:val="00A81097"/>
    <w:rsid w:val="00A819DF"/>
    <w:rsid w:val="00A824D5"/>
    <w:rsid w:val="00A8250E"/>
    <w:rsid w:val="00A82653"/>
    <w:rsid w:val="00A83203"/>
    <w:rsid w:val="00A838DA"/>
    <w:rsid w:val="00A83D38"/>
    <w:rsid w:val="00A84803"/>
    <w:rsid w:val="00A85669"/>
    <w:rsid w:val="00A8589D"/>
    <w:rsid w:val="00A864C7"/>
    <w:rsid w:val="00A867C5"/>
    <w:rsid w:val="00A87D84"/>
    <w:rsid w:val="00A90014"/>
    <w:rsid w:val="00A9012A"/>
    <w:rsid w:val="00A90858"/>
    <w:rsid w:val="00A934CA"/>
    <w:rsid w:val="00A94688"/>
    <w:rsid w:val="00A94996"/>
    <w:rsid w:val="00A9556D"/>
    <w:rsid w:val="00A959B2"/>
    <w:rsid w:val="00A96950"/>
    <w:rsid w:val="00A97ADE"/>
    <w:rsid w:val="00AA175F"/>
    <w:rsid w:val="00AA18CF"/>
    <w:rsid w:val="00AA18D9"/>
    <w:rsid w:val="00AA1D57"/>
    <w:rsid w:val="00AA21DD"/>
    <w:rsid w:val="00AA22BA"/>
    <w:rsid w:val="00AA296B"/>
    <w:rsid w:val="00AA2C06"/>
    <w:rsid w:val="00AA303E"/>
    <w:rsid w:val="00AA3949"/>
    <w:rsid w:val="00AA3992"/>
    <w:rsid w:val="00AA40D7"/>
    <w:rsid w:val="00AA4633"/>
    <w:rsid w:val="00AA4C9F"/>
    <w:rsid w:val="00AA4E97"/>
    <w:rsid w:val="00AA5501"/>
    <w:rsid w:val="00AA5D29"/>
    <w:rsid w:val="00AA6487"/>
    <w:rsid w:val="00AA7621"/>
    <w:rsid w:val="00AA77B6"/>
    <w:rsid w:val="00AA7CF8"/>
    <w:rsid w:val="00AB009C"/>
    <w:rsid w:val="00AB08E3"/>
    <w:rsid w:val="00AB1098"/>
    <w:rsid w:val="00AB19BF"/>
    <w:rsid w:val="00AB1C26"/>
    <w:rsid w:val="00AB391E"/>
    <w:rsid w:val="00AB3951"/>
    <w:rsid w:val="00AB398D"/>
    <w:rsid w:val="00AB41F3"/>
    <w:rsid w:val="00AB4C99"/>
    <w:rsid w:val="00AB642A"/>
    <w:rsid w:val="00AB6BB1"/>
    <w:rsid w:val="00AB6C87"/>
    <w:rsid w:val="00AB7494"/>
    <w:rsid w:val="00AB7514"/>
    <w:rsid w:val="00AC09E3"/>
    <w:rsid w:val="00AC0DF1"/>
    <w:rsid w:val="00AC1B85"/>
    <w:rsid w:val="00AC1F51"/>
    <w:rsid w:val="00AC2321"/>
    <w:rsid w:val="00AC3CAB"/>
    <w:rsid w:val="00AC4F0E"/>
    <w:rsid w:val="00AC65B5"/>
    <w:rsid w:val="00AC66AC"/>
    <w:rsid w:val="00AC6A13"/>
    <w:rsid w:val="00AD1037"/>
    <w:rsid w:val="00AD14B5"/>
    <w:rsid w:val="00AD18F1"/>
    <w:rsid w:val="00AD289E"/>
    <w:rsid w:val="00AD3465"/>
    <w:rsid w:val="00AD3732"/>
    <w:rsid w:val="00AD43B9"/>
    <w:rsid w:val="00AD57A4"/>
    <w:rsid w:val="00AD5B74"/>
    <w:rsid w:val="00AD5C49"/>
    <w:rsid w:val="00AD6852"/>
    <w:rsid w:val="00AD7676"/>
    <w:rsid w:val="00AD7CC0"/>
    <w:rsid w:val="00AE0F26"/>
    <w:rsid w:val="00AE1ABE"/>
    <w:rsid w:val="00AE3C4B"/>
    <w:rsid w:val="00AE3FE3"/>
    <w:rsid w:val="00AE3FF6"/>
    <w:rsid w:val="00AE54A5"/>
    <w:rsid w:val="00AE5C22"/>
    <w:rsid w:val="00AE65DA"/>
    <w:rsid w:val="00AE77AA"/>
    <w:rsid w:val="00AF07B9"/>
    <w:rsid w:val="00AF2388"/>
    <w:rsid w:val="00AF2626"/>
    <w:rsid w:val="00AF3BDD"/>
    <w:rsid w:val="00AF43B9"/>
    <w:rsid w:val="00AF609F"/>
    <w:rsid w:val="00AF62AE"/>
    <w:rsid w:val="00AF7083"/>
    <w:rsid w:val="00AF7F5F"/>
    <w:rsid w:val="00B01878"/>
    <w:rsid w:val="00B01934"/>
    <w:rsid w:val="00B019EC"/>
    <w:rsid w:val="00B01EB8"/>
    <w:rsid w:val="00B020A0"/>
    <w:rsid w:val="00B04E6A"/>
    <w:rsid w:val="00B05346"/>
    <w:rsid w:val="00B05606"/>
    <w:rsid w:val="00B05954"/>
    <w:rsid w:val="00B05FAC"/>
    <w:rsid w:val="00B06431"/>
    <w:rsid w:val="00B06598"/>
    <w:rsid w:val="00B065A2"/>
    <w:rsid w:val="00B065DD"/>
    <w:rsid w:val="00B075DF"/>
    <w:rsid w:val="00B078DC"/>
    <w:rsid w:val="00B078F1"/>
    <w:rsid w:val="00B07D53"/>
    <w:rsid w:val="00B10468"/>
    <w:rsid w:val="00B10744"/>
    <w:rsid w:val="00B1148C"/>
    <w:rsid w:val="00B11B32"/>
    <w:rsid w:val="00B12784"/>
    <w:rsid w:val="00B1361C"/>
    <w:rsid w:val="00B1379E"/>
    <w:rsid w:val="00B13C75"/>
    <w:rsid w:val="00B14744"/>
    <w:rsid w:val="00B149C0"/>
    <w:rsid w:val="00B149F8"/>
    <w:rsid w:val="00B14E43"/>
    <w:rsid w:val="00B14F4B"/>
    <w:rsid w:val="00B1585D"/>
    <w:rsid w:val="00B1598E"/>
    <w:rsid w:val="00B15994"/>
    <w:rsid w:val="00B15EFF"/>
    <w:rsid w:val="00B167C7"/>
    <w:rsid w:val="00B16D40"/>
    <w:rsid w:val="00B17189"/>
    <w:rsid w:val="00B177EA"/>
    <w:rsid w:val="00B20347"/>
    <w:rsid w:val="00B21C1F"/>
    <w:rsid w:val="00B21C6B"/>
    <w:rsid w:val="00B23773"/>
    <w:rsid w:val="00B240F0"/>
    <w:rsid w:val="00B2618F"/>
    <w:rsid w:val="00B265EE"/>
    <w:rsid w:val="00B26E00"/>
    <w:rsid w:val="00B26FD2"/>
    <w:rsid w:val="00B271D0"/>
    <w:rsid w:val="00B27257"/>
    <w:rsid w:val="00B27504"/>
    <w:rsid w:val="00B27FC5"/>
    <w:rsid w:val="00B303F8"/>
    <w:rsid w:val="00B30438"/>
    <w:rsid w:val="00B30A61"/>
    <w:rsid w:val="00B30D0C"/>
    <w:rsid w:val="00B30E15"/>
    <w:rsid w:val="00B31528"/>
    <w:rsid w:val="00B321B2"/>
    <w:rsid w:val="00B324B7"/>
    <w:rsid w:val="00B328A1"/>
    <w:rsid w:val="00B32D7D"/>
    <w:rsid w:val="00B331DE"/>
    <w:rsid w:val="00B33904"/>
    <w:rsid w:val="00B33DDA"/>
    <w:rsid w:val="00B35309"/>
    <w:rsid w:val="00B35515"/>
    <w:rsid w:val="00B356EA"/>
    <w:rsid w:val="00B35905"/>
    <w:rsid w:val="00B35EC7"/>
    <w:rsid w:val="00B36A81"/>
    <w:rsid w:val="00B36B49"/>
    <w:rsid w:val="00B370BA"/>
    <w:rsid w:val="00B40715"/>
    <w:rsid w:val="00B40737"/>
    <w:rsid w:val="00B40831"/>
    <w:rsid w:val="00B40BB7"/>
    <w:rsid w:val="00B4134E"/>
    <w:rsid w:val="00B4217D"/>
    <w:rsid w:val="00B4237D"/>
    <w:rsid w:val="00B4289A"/>
    <w:rsid w:val="00B42985"/>
    <w:rsid w:val="00B43A03"/>
    <w:rsid w:val="00B43BBB"/>
    <w:rsid w:val="00B46058"/>
    <w:rsid w:val="00B46974"/>
    <w:rsid w:val="00B47917"/>
    <w:rsid w:val="00B47D6C"/>
    <w:rsid w:val="00B50036"/>
    <w:rsid w:val="00B502D4"/>
    <w:rsid w:val="00B506EE"/>
    <w:rsid w:val="00B5092B"/>
    <w:rsid w:val="00B5105E"/>
    <w:rsid w:val="00B53F85"/>
    <w:rsid w:val="00B54424"/>
    <w:rsid w:val="00B54CF0"/>
    <w:rsid w:val="00B5555C"/>
    <w:rsid w:val="00B55B6E"/>
    <w:rsid w:val="00B5616F"/>
    <w:rsid w:val="00B56621"/>
    <w:rsid w:val="00B572FF"/>
    <w:rsid w:val="00B60FCC"/>
    <w:rsid w:val="00B615B0"/>
    <w:rsid w:val="00B61C2D"/>
    <w:rsid w:val="00B61FE6"/>
    <w:rsid w:val="00B62019"/>
    <w:rsid w:val="00B6236C"/>
    <w:rsid w:val="00B62504"/>
    <w:rsid w:val="00B62AEC"/>
    <w:rsid w:val="00B62D84"/>
    <w:rsid w:val="00B62E0A"/>
    <w:rsid w:val="00B62FC8"/>
    <w:rsid w:val="00B64347"/>
    <w:rsid w:val="00B648F8"/>
    <w:rsid w:val="00B65392"/>
    <w:rsid w:val="00B654C4"/>
    <w:rsid w:val="00B6551D"/>
    <w:rsid w:val="00B65DFD"/>
    <w:rsid w:val="00B65E70"/>
    <w:rsid w:val="00B679C5"/>
    <w:rsid w:val="00B70001"/>
    <w:rsid w:val="00B71089"/>
    <w:rsid w:val="00B724AA"/>
    <w:rsid w:val="00B7279E"/>
    <w:rsid w:val="00B728D0"/>
    <w:rsid w:val="00B72AC1"/>
    <w:rsid w:val="00B732E4"/>
    <w:rsid w:val="00B7452F"/>
    <w:rsid w:val="00B749FF"/>
    <w:rsid w:val="00B74C64"/>
    <w:rsid w:val="00B74EB9"/>
    <w:rsid w:val="00B7510F"/>
    <w:rsid w:val="00B7545C"/>
    <w:rsid w:val="00B7649E"/>
    <w:rsid w:val="00B76DF2"/>
    <w:rsid w:val="00B76E89"/>
    <w:rsid w:val="00B770AD"/>
    <w:rsid w:val="00B774BD"/>
    <w:rsid w:val="00B7779E"/>
    <w:rsid w:val="00B80434"/>
    <w:rsid w:val="00B80A8A"/>
    <w:rsid w:val="00B8170B"/>
    <w:rsid w:val="00B82724"/>
    <w:rsid w:val="00B839A5"/>
    <w:rsid w:val="00B84003"/>
    <w:rsid w:val="00B85533"/>
    <w:rsid w:val="00B866AE"/>
    <w:rsid w:val="00B87047"/>
    <w:rsid w:val="00B873DC"/>
    <w:rsid w:val="00B90EFA"/>
    <w:rsid w:val="00B95545"/>
    <w:rsid w:val="00B9664E"/>
    <w:rsid w:val="00B97676"/>
    <w:rsid w:val="00B97B34"/>
    <w:rsid w:val="00BA08DE"/>
    <w:rsid w:val="00BA1EBB"/>
    <w:rsid w:val="00BA23F8"/>
    <w:rsid w:val="00BA28D4"/>
    <w:rsid w:val="00BA32E2"/>
    <w:rsid w:val="00BA420A"/>
    <w:rsid w:val="00BA45DD"/>
    <w:rsid w:val="00BA4CCF"/>
    <w:rsid w:val="00BA4D49"/>
    <w:rsid w:val="00BA4EC1"/>
    <w:rsid w:val="00BA4F01"/>
    <w:rsid w:val="00BA5A72"/>
    <w:rsid w:val="00BA63E3"/>
    <w:rsid w:val="00BA698F"/>
    <w:rsid w:val="00BB18E2"/>
    <w:rsid w:val="00BB25A6"/>
    <w:rsid w:val="00BB2CCB"/>
    <w:rsid w:val="00BB32B5"/>
    <w:rsid w:val="00BB4DE2"/>
    <w:rsid w:val="00BB5323"/>
    <w:rsid w:val="00BB59F8"/>
    <w:rsid w:val="00BB6836"/>
    <w:rsid w:val="00BB6935"/>
    <w:rsid w:val="00BB7157"/>
    <w:rsid w:val="00BB72FC"/>
    <w:rsid w:val="00BB7356"/>
    <w:rsid w:val="00BB74C9"/>
    <w:rsid w:val="00BB7DBC"/>
    <w:rsid w:val="00BC0464"/>
    <w:rsid w:val="00BC06DA"/>
    <w:rsid w:val="00BC082B"/>
    <w:rsid w:val="00BC0ECC"/>
    <w:rsid w:val="00BC1ACD"/>
    <w:rsid w:val="00BC1C44"/>
    <w:rsid w:val="00BC1D6E"/>
    <w:rsid w:val="00BC258A"/>
    <w:rsid w:val="00BC282E"/>
    <w:rsid w:val="00BC30C0"/>
    <w:rsid w:val="00BC3DA0"/>
    <w:rsid w:val="00BC42F1"/>
    <w:rsid w:val="00BC4651"/>
    <w:rsid w:val="00BC4812"/>
    <w:rsid w:val="00BC4C82"/>
    <w:rsid w:val="00BC4E25"/>
    <w:rsid w:val="00BC6743"/>
    <w:rsid w:val="00BC7552"/>
    <w:rsid w:val="00BC7930"/>
    <w:rsid w:val="00BC7D57"/>
    <w:rsid w:val="00BD0BAE"/>
    <w:rsid w:val="00BD18C2"/>
    <w:rsid w:val="00BD1B8B"/>
    <w:rsid w:val="00BD2FC5"/>
    <w:rsid w:val="00BD324C"/>
    <w:rsid w:val="00BD3C05"/>
    <w:rsid w:val="00BD4781"/>
    <w:rsid w:val="00BD4B39"/>
    <w:rsid w:val="00BD7179"/>
    <w:rsid w:val="00BD7798"/>
    <w:rsid w:val="00BD7FF6"/>
    <w:rsid w:val="00BE0099"/>
    <w:rsid w:val="00BE088D"/>
    <w:rsid w:val="00BE09EB"/>
    <w:rsid w:val="00BE10E4"/>
    <w:rsid w:val="00BE1DA4"/>
    <w:rsid w:val="00BE3241"/>
    <w:rsid w:val="00BE3FC0"/>
    <w:rsid w:val="00BE4DA3"/>
    <w:rsid w:val="00BE56D8"/>
    <w:rsid w:val="00BE6A38"/>
    <w:rsid w:val="00BE6C41"/>
    <w:rsid w:val="00BE7A7D"/>
    <w:rsid w:val="00BF0621"/>
    <w:rsid w:val="00BF09B3"/>
    <w:rsid w:val="00BF0A5C"/>
    <w:rsid w:val="00BF0CE6"/>
    <w:rsid w:val="00BF1104"/>
    <w:rsid w:val="00BF1DCB"/>
    <w:rsid w:val="00BF2D55"/>
    <w:rsid w:val="00BF3AE0"/>
    <w:rsid w:val="00BF4507"/>
    <w:rsid w:val="00BF45B7"/>
    <w:rsid w:val="00BF4AE4"/>
    <w:rsid w:val="00BF4C4D"/>
    <w:rsid w:val="00BF56B9"/>
    <w:rsid w:val="00BF5EC8"/>
    <w:rsid w:val="00BF6147"/>
    <w:rsid w:val="00BF6DE3"/>
    <w:rsid w:val="00BF6ED7"/>
    <w:rsid w:val="00BF7936"/>
    <w:rsid w:val="00C0052B"/>
    <w:rsid w:val="00C00DC9"/>
    <w:rsid w:val="00C00E5B"/>
    <w:rsid w:val="00C00F74"/>
    <w:rsid w:val="00C01CAE"/>
    <w:rsid w:val="00C0255D"/>
    <w:rsid w:val="00C025F1"/>
    <w:rsid w:val="00C02AD1"/>
    <w:rsid w:val="00C030CB"/>
    <w:rsid w:val="00C03A9F"/>
    <w:rsid w:val="00C0408C"/>
    <w:rsid w:val="00C04796"/>
    <w:rsid w:val="00C04B33"/>
    <w:rsid w:val="00C05A77"/>
    <w:rsid w:val="00C105C0"/>
    <w:rsid w:val="00C10772"/>
    <w:rsid w:val="00C11246"/>
    <w:rsid w:val="00C115A9"/>
    <w:rsid w:val="00C116D2"/>
    <w:rsid w:val="00C11FB1"/>
    <w:rsid w:val="00C12793"/>
    <w:rsid w:val="00C134A4"/>
    <w:rsid w:val="00C141CB"/>
    <w:rsid w:val="00C14527"/>
    <w:rsid w:val="00C148BA"/>
    <w:rsid w:val="00C14DD6"/>
    <w:rsid w:val="00C14F33"/>
    <w:rsid w:val="00C15BE4"/>
    <w:rsid w:val="00C1620E"/>
    <w:rsid w:val="00C17E7E"/>
    <w:rsid w:val="00C212E1"/>
    <w:rsid w:val="00C238AB"/>
    <w:rsid w:val="00C25A55"/>
    <w:rsid w:val="00C2613C"/>
    <w:rsid w:val="00C26321"/>
    <w:rsid w:val="00C265E0"/>
    <w:rsid w:val="00C271C8"/>
    <w:rsid w:val="00C2772B"/>
    <w:rsid w:val="00C27CDB"/>
    <w:rsid w:val="00C3021C"/>
    <w:rsid w:val="00C30A68"/>
    <w:rsid w:val="00C30F5F"/>
    <w:rsid w:val="00C315FA"/>
    <w:rsid w:val="00C3168F"/>
    <w:rsid w:val="00C31718"/>
    <w:rsid w:val="00C318DB"/>
    <w:rsid w:val="00C3262A"/>
    <w:rsid w:val="00C32F14"/>
    <w:rsid w:val="00C335D8"/>
    <w:rsid w:val="00C3437C"/>
    <w:rsid w:val="00C354C9"/>
    <w:rsid w:val="00C36080"/>
    <w:rsid w:val="00C364CC"/>
    <w:rsid w:val="00C36D29"/>
    <w:rsid w:val="00C375E7"/>
    <w:rsid w:val="00C3762A"/>
    <w:rsid w:val="00C37949"/>
    <w:rsid w:val="00C37B84"/>
    <w:rsid w:val="00C37F77"/>
    <w:rsid w:val="00C40553"/>
    <w:rsid w:val="00C40AF3"/>
    <w:rsid w:val="00C40D3B"/>
    <w:rsid w:val="00C41795"/>
    <w:rsid w:val="00C42A6D"/>
    <w:rsid w:val="00C42F48"/>
    <w:rsid w:val="00C4323B"/>
    <w:rsid w:val="00C43A45"/>
    <w:rsid w:val="00C44930"/>
    <w:rsid w:val="00C4528C"/>
    <w:rsid w:val="00C4587F"/>
    <w:rsid w:val="00C45969"/>
    <w:rsid w:val="00C50ECA"/>
    <w:rsid w:val="00C51C5E"/>
    <w:rsid w:val="00C520B7"/>
    <w:rsid w:val="00C544DC"/>
    <w:rsid w:val="00C545EE"/>
    <w:rsid w:val="00C5610B"/>
    <w:rsid w:val="00C5704A"/>
    <w:rsid w:val="00C57080"/>
    <w:rsid w:val="00C572CC"/>
    <w:rsid w:val="00C57549"/>
    <w:rsid w:val="00C57C88"/>
    <w:rsid w:val="00C57D6A"/>
    <w:rsid w:val="00C60050"/>
    <w:rsid w:val="00C60B7B"/>
    <w:rsid w:val="00C624FF"/>
    <w:rsid w:val="00C629DB"/>
    <w:rsid w:val="00C6324F"/>
    <w:rsid w:val="00C64ADC"/>
    <w:rsid w:val="00C64BEC"/>
    <w:rsid w:val="00C64F63"/>
    <w:rsid w:val="00C65B8C"/>
    <w:rsid w:val="00C65C7B"/>
    <w:rsid w:val="00C67F44"/>
    <w:rsid w:val="00C717C3"/>
    <w:rsid w:val="00C71D23"/>
    <w:rsid w:val="00C721A8"/>
    <w:rsid w:val="00C72551"/>
    <w:rsid w:val="00C72646"/>
    <w:rsid w:val="00C74771"/>
    <w:rsid w:val="00C747D9"/>
    <w:rsid w:val="00C75281"/>
    <w:rsid w:val="00C7592C"/>
    <w:rsid w:val="00C7653E"/>
    <w:rsid w:val="00C76E80"/>
    <w:rsid w:val="00C804B8"/>
    <w:rsid w:val="00C81D52"/>
    <w:rsid w:val="00C8201B"/>
    <w:rsid w:val="00C8300A"/>
    <w:rsid w:val="00C833B2"/>
    <w:rsid w:val="00C83BDC"/>
    <w:rsid w:val="00C8487E"/>
    <w:rsid w:val="00C84D52"/>
    <w:rsid w:val="00C8525C"/>
    <w:rsid w:val="00C85517"/>
    <w:rsid w:val="00C868B5"/>
    <w:rsid w:val="00C86CB5"/>
    <w:rsid w:val="00C87294"/>
    <w:rsid w:val="00C872E7"/>
    <w:rsid w:val="00C92352"/>
    <w:rsid w:val="00C92501"/>
    <w:rsid w:val="00C92948"/>
    <w:rsid w:val="00C929A5"/>
    <w:rsid w:val="00C929D4"/>
    <w:rsid w:val="00C92A9B"/>
    <w:rsid w:val="00C930D1"/>
    <w:rsid w:val="00C93289"/>
    <w:rsid w:val="00C93993"/>
    <w:rsid w:val="00C94455"/>
    <w:rsid w:val="00C95A9B"/>
    <w:rsid w:val="00C960D4"/>
    <w:rsid w:val="00C968D7"/>
    <w:rsid w:val="00C97318"/>
    <w:rsid w:val="00C97606"/>
    <w:rsid w:val="00CA1B44"/>
    <w:rsid w:val="00CA1EEB"/>
    <w:rsid w:val="00CA1FE3"/>
    <w:rsid w:val="00CA25B6"/>
    <w:rsid w:val="00CA3187"/>
    <w:rsid w:val="00CA324E"/>
    <w:rsid w:val="00CA3560"/>
    <w:rsid w:val="00CA5817"/>
    <w:rsid w:val="00CA6BC7"/>
    <w:rsid w:val="00CA6F7E"/>
    <w:rsid w:val="00CA7FF5"/>
    <w:rsid w:val="00CB089C"/>
    <w:rsid w:val="00CB0CEB"/>
    <w:rsid w:val="00CB0F5E"/>
    <w:rsid w:val="00CB12CD"/>
    <w:rsid w:val="00CB1FE4"/>
    <w:rsid w:val="00CB20D6"/>
    <w:rsid w:val="00CB2789"/>
    <w:rsid w:val="00CB4C4E"/>
    <w:rsid w:val="00CB4ECE"/>
    <w:rsid w:val="00CB5806"/>
    <w:rsid w:val="00CB6534"/>
    <w:rsid w:val="00CB6FE2"/>
    <w:rsid w:val="00CC04A7"/>
    <w:rsid w:val="00CC13FE"/>
    <w:rsid w:val="00CC16C4"/>
    <w:rsid w:val="00CC1A21"/>
    <w:rsid w:val="00CC2A88"/>
    <w:rsid w:val="00CC2EBB"/>
    <w:rsid w:val="00CC3984"/>
    <w:rsid w:val="00CC4860"/>
    <w:rsid w:val="00CC49A3"/>
    <w:rsid w:val="00CC4BF8"/>
    <w:rsid w:val="00CC4FCA"/>
    <w:rsid w:val="00CC62C4"/>
    <w:rsid w:val="00CC6CEA"/>
    <w:rsid w:val="00CD0D71"/>
    <w:rsid w:val="00CD1813"/>
    <w:rsid w:val="00CD21C1"/>
    <w:rsid w:val="00CD2B1D"/>
    <w:rsid w:val="00CD2E37"/>
    <w:rsid w:val="00CD30CD"/>
    <w:rsid w:val="00CD3635"/>
    <w:rsid w:val="00CD3CF0"/>
    <w:rsid w:val="00CD44F9"/>
    <w:rsid w:val="00CD537D"/>
    <w:rsid w:val="00CD65AA"/>
    <w:rsid w:val="00CD6825"/>
    <w:rsid w:val="00CD6FAF"/>
    <w:rsid w:val="00CD765E"/>
    <w:rsid w:val="00CD798D"/>
    <w:rsid w:val="00CE00B7"/>
    <w:rsid w:val="00CE0266"/>
    <w:rsid w:val="00CE02CE"/>
    <w:rsid w:val="00CE0E0E"/>
    <w:rsid w:val="00CE17F3"/>
    <w:rsid w:val="00CE1C1E"/>
    <w:rsid w:val="00CE1C98"/>
    <w:rsid w:val="00CE24FD"/>
    <w:rsid w:val="00CE38DA"/>
    <w:rsid w:val="00CE4264"/>
    <w:rsid w:val="00CE48DD"/>
    <w:rsid w:val="00CE5B94"/>
    <w:rsid w:val="00CE68B4"/>
    <w:rsid w:val="00CF016B"/>
    <w:rsid w:val="00CF02CD"/>
    <w:rsid w:val="00CF0D6A"/>
    <w:rsid w:val="00CF1884"/>
    <w:rsid w:val="00CF23FF"/>
    <w:rsid w:val="00CF2558"/>
    <w:rsid w:val="00CF3873"/>
    <w:rsid w:val="00CF3FB6"/>
    <w:rsid w:val="00CF49B5"/>
    <w:rsid w:val="00CF4EB1"/>
    <w:rsid w:val="00CF5FA6"/>
    <w:rsid w:val="00CF6448"/>
    <w:rsid w:val="00CF671E"/>
    <w:rsid w:val="00CF6EB5"/>
    <w:rsid w:val="00D01396"/>
    <w:rsid w:val="00D02A0E"/>
    <w:rsid w:val="00D03C65"/>
    <w:rsid w:val="00D03C8B"/>
    <w:rsid w:val="00D046AB"/>
    <w:rsid w:val="00D05D40"/>
    <w:rsid w:val="00D05FDD"/>
    <w:rsid w:val="00D06091"/>
    <w:rsid w:val="00D06DAF"/>
    <w:rsid w:val="00D0717E"/>
    <w:rsid w:val="00D07EAC"/>
    <w:rsid w:val="00D11853"/>
    <w:rsid w:val="00D134A3"/>
    <w:rsid w:val="00D1354A"/>
    <w:rsid w:val="00D143DE"/>
    <w:rsid w:val="00D151BD"/>
    <w:rsid w:val="00D15580"/>
    <w:rsid w:val="00D15C26"/>
    <w:rsid w:val="00D15CCB"/>
    <w:rsid w:val="00D1622C"/>
    <w:rsid w:val="00D16230"/>
    <w:rsid w:val="00D16A05"/>
    <w:rsid w:val="00D16F79"/>
    <w:rsid w:val="00D172A0"/>
    <w:rsid w:val="00D1767E"/>
    <w:rsid w:val="00D21204"/>
    <w:rsid w:val="00D213CF"/>
    <w:rsid w:val="00D236C8"/>
    <w:rsid w:val="00D2417F"/>
    <w:rsid w:val="00D241B8"/>
    <w:rsid w:val="00D244D4"/>
    <w:rsid w:val="00D2463A"/>
    <w:rsid w:val="00D2581B"/>
    <w:rsid w:val="00D26D7A"/>
    <w:rsid w:val="00D26EBA"/>
    <w:rsid w:val="00D271B3"/>
    <w:rsid w:val="00D27AB5"/>
    <w:rsid w:val="00D30D17"/>
    <w:rsid w:val="00D314AD"/>
    <w:rsid w:val="00D316F4"/>
    <w:rsid w:val="00D31765"/>
    <w:rsid w:val="00D318FD"/>
    <w:rsid w:val="00D31F28"/>
    <w:rsid w:val="00D32D50"/>
    <w:rsid w:val="00D352E9"/>
    <w:rsid w:val="00D35B0E"/>
    <w:rsid w:val="00D35D13"/>
    <w:rsid w:val="00D36051"/>
    <w:rsid w:val="00D3607D"/>
    <w:rsid w:val="00D368CF"/>
    <w:rsid w:val="00D36AF1"/>
    <w:rsid w:val="00D36EEE"/>
    <w:rsid w:val="00D37903"/>
    <w:rsid w:val="00D4026E"/>
    <w:rsid w:val="00D40A9A"/>
    <w:rsid w:val="00D40D80"/>
    <w:rsid w:val="00D411BB"/>
    <w:rsid w:val="00D41C2A"/>
    <w:rsid w:val="00D420BC"/>
    <w:rsid w:val="00D42161"/>
    <w:rsid w:val="00D422EE"/>
    <w:rsid w:val="00D42AFC"/>
    <w:rsid w:val="00D42B20"/>
    <w:rsid w:val="00D43AFB"/>
    <w:rsid w:val="00D4401D"/>
    <w:rsid w:val="00D46B85"/>
    <w:rsid w:val="00D4739F"/>
    <w:rsid w:val="00D47E3F"/>
    <w:rsid w:val="00D504CE"/>
    <w:rsid w:val="00D516E8"/>
    <w:rsid w:val="00D51D43"/>
    <w:rsid w:val="00D52514"/>
    <w:rsid w:val="00D52F97"/>
    <w:rsid w:val="00D535A6"/>
    <w:rsid w:val="00D54253"/>
    <w:rsid w:val="00D54476"/>
    <w:rsid w:val="00D54792"/>
    <w:rsid w:val="00D565DF"/>
    <w:rsid w:val="00D566B5"/>
    <w:rsid w:val="00D5672C"/>
    <w:rsid w:val="00D56CBF"/>
    <w:rsid w:val="00D56DCB"/>
    <w:rsid w:val="00D6036D"/>
    <w:rsid w:val="00D61153"/>
    <w:rsid w:val="00D611C0"/>
    <w:rsid w:val="00D6172E"/>
    <w:rsid w:val="00D632E1"/>
    <w:rsid w:val="00D64E6A"/>
    <w:rsid w:val="00D65963"/>
    <w:rsid w:val="00D65C09"/>
    <w:rsid w:val="00D6662C"/>
    <w:rsid w:val="00D6736C"/>
    <w:rsid w:val="00D67A1C"/>
    <w:rsid w:val="00D67D7E"/>
    <w:rsid w:val="00D70ACC"/>
    <w:rsid w:val="00D72AB2"/>
    <w:rsid w:val="00D7307A"/>
    <w:rsid w:val="00D734E5"/>
    <w:rsid w:val="00D736D0"/>
    <w:rsid w:val="00D73978"/>
    <w:rsid w:val="00D73C79"/>
    <w:rsid w:val="00D73D94"/>
    <w:rsid w:val="00D742FE"/>
    <w:rsid w:val="00D748FF"/>
    <w:rsid w:val="00D74EA6"/>
    <w:rsid w:val="00D757DD"/>
    <w:rsid w:val="00D76558"/>
    <w:rsid w:val="00D76AEF"/>
    <w:rsid w:val="00D77DFB"/>
    <w:rsid w:val="00D81573"/>
    <w:rsid w:val="00D832B0"/>
    <w:rsid w:val="00D832B4"/>
    <w:rsid w:val="00D840A2"/>
    <w:rsid w:val="00D845A6"/>
    <w:rsid w:val="00D84BF6"/>
    <w:rsid w:val="00D8531B"/>
    <w:rsid w:val="00D85405"/>
    <w:rsid w:val="00D87472"/>
    <w:rsid w:val="00D8782E"/>
    <w:rsid w:val="00D90B6B"/>
    <w:rsid w:val="00D9119C"/>
    <w:rsid w:val="00D92736"/>
    <w:rsid w:val="00D93764"/>
    <w:rsid w:val="00D94255"/>
    <w:rsid w:val="00D944C6"/>
    <w:rsid w:val="00D95085"/>
    <w:rsid w:val="00D95D46"/>
    <w:rsid w:val="00D96B55"/>
    <w:rsid w:val="00DA20E8"/>
    <w:rsid w:val="00DA257D"/>
    <w:rsid w:val="00DA25B3"/>
    <w:rsid w:val="00DA26C6"/>
    <w:rsid w:val="00DA2DCD"/>
    <w:rsid w:val="00DA44DC"/>
    <w:rsid w:val="00DA4C55"/>
    <w:rsid w:val="00DA6131"/>
    <w:rsid w:val="00DA691F"/>
    <w:rsid w:val="00DA6A8F"/>
    <w:rsid w:val="00DA6CB6"/>
    <w:rsid w:val="00DA7C8C"/>
    <w:rsid w:val="00DB030B"/>
    <w:rsid w:val="00DB0755"/>
    <w:rsid w:val="00DB15B6"/>
    <w:rsid w:val="00DB1E2D"/>
    <w:rsid w:val="00DB236E"/>
    <w:rsid w:val="00DB2AE5"/>
    <w:rsid w:val="00DB2ECC"/>
    <w:rsid w:val="00DB630F"/>
    <w:rsid w:val="00DB7305"/>
    <w:rsid w:val="00DB7E4C"/>
    <w:rsid w:val="00DC1000"/>
    <w:rsid w:val="00DC193D"/>
    <w:rsid w:val="00DC2115"/>
    <w:rsid w:val="00DC34F3"/>
    <w:rsid w:val="00DC3ADC"/>
    <w:rsid w:val="00DC547D"/>
    <w:rsid w:val="00DC54B6"/>
    <w:rsid w:val="00DC5819"/>
    <w:rsid w:val="00DC5C98"/>
    <w:rsid w:val="00DC666F"/>
    <w:rsid w:val="00DC69DB"/>
    <w:rsid w:val="00DC7037"/>
    <w:rsid w:val="00DD0538"/>
    <w:rsid w:val="00DD06FD"/>
    <w:rsid w:val="00DD1F13"/>
    <w:rsid w:val="00DD1FB4"/>
    <w:rsid w:val="00DD23E8"/>
    <w:rsid w:val="00DD35CE"/>
    <w:rsid w:val="00DD3CFB"/>
    <w:rsid w:val="00DD5CAC"/>
    <w:rsid w:val="00DD63E8"/>
    <w:rsid w:val="00DD7A08"/>
    <w:rsid w:val="00DE047D"/>
    <w:rsid w:val="00DE217B"/>
    <w:rsid w:val="00DE2AFF"/>
    <w:rsid w:val="00DE2BAC"/>
    <w:rsid w:val="00DE3C97"/>
    <w:rsid w:val="00DE45E0"/>
    <w:rsid w:val="00DE5789"/>
    <w:rsid w:val="00DE612B"/>
    <w:rsid w:val="00DE64A9"/>
    <w:rsid w:val="00DE6935"/>
    <w:rsid w:val="00DE6978"/>
    <w:rsid w:val="00DE785C"/>
    <w:rsid w:val="00DE7EEC"/>
    <w:rsid w:val="00DE7F36"/>
    <w:rsid w:val="00DF1659"/>
    <w:rsid w:val="00DF222E"/>
    <w:rsid w:val="00DF33CC"/>
    <w:rsid w:val="00DF3F0F"/>
    <w:rsid w:val="00DF49FD"/>
    <w:rsid w:val="00DF5243"/>
    <w:rsid w:val="00DF5D19"/>
    <w:rsid w:val="00DF5FFA"/>
    <w:rsid w:val="00DF7026"/>
    <w:rsid w:val="00E00AC0"/>
    <w:rsid w:val="00E00FE7"/>
    <w:rsid w:val="00E01E11"/>
    <w:rsid w:val="00E02337"/>
    <w:rsid w:val="00E02889"/>
    <w:rsid w:val="00E02ABA"/>
    <w:rsid w:val="00E03CAD"/>
    <w:rsid w:val="00E04744"/>
    <w:rsid w:val="00E04F08"/>
    <w:rsid w:val="00E065BB"/>
    <w:rsid w:val="00E071FC"/>
    <w:rsid w:val="00E10780"/>
    <w:rsid w:val="00E11D52"/>
    <w:rsid w:val="00E12FCC"/>
    <w:rsid w:val="00E13618"/>
    <w:rsid w:val="00E145A9"/>
    <w:rsid w:val="00E15A80"/>
    <w:rsid w:val="00E15AB9"/>
    <w:rsid w:val="00E16207"/>
    <w:rsid w:val="00E166D0"/>
    <w:rsid w:val="00E17FA0"/>
    <w:rsid w:val="00E218B9"/>
    <w:rsid w:val="00E222F6"/>
    <w:rsid w:val="00E22797"/>
    <w:rsid w:val="00E22FFB"/>
    <w:rsid w:val="00E239E0"/>
    <w:rsid w:val="00E23B78"/>
    <w:rsid w:val="00E23DBF"/>
    <w:rsid w:val="00E2463C"/>
    <w:rsid w:val="00E2577D"/>
    <w:rsid w:val="00E259D3"/>
    <w:rsid w:val="00E26055"/>
    <w:rsid w:val="00E26287"/>
    <w:rsid w:val="00E27328"/>
    <w:rsid w:val="00E27CA4"/>
    <w:rsid w:val="00E27D54"/>
    <w:rsid w:val="00E30CC5"/>
    <w:rsid w:val="00E312B2"/>
    <w:rsid w:val="00E32CCA"/>
    <w:rsid w:val="00E3354C"/>
    <w:rsid w:val="00E33619"/>
    <w:rsid w:val="00E336CB"/>
    <w:rsid w:val="00E33807"/>
    <w:rsid w:val="00E345D3"/>
    <w:rsid w:val="00E35E60"/>
    <w:rsid w:val="00E36331"/>
    <w:rsid w:val="00E36535"/>
    <w:rsid w:val="00E36E61"/>
    <w:rsid w:val="00E3759F"/>
    <w:rsid w:val="00E37700"/>
    <w:rsid w:val="00E37B6E"/>
    <w:rsid w:val="00E37C46"/>
    <w:rsid w:val="00E40FCE"/>
    <w:rsid w:val="00E42C54"/>
    <w:rsid w:val="00E42D7F"/>
    <w:rsid w:val="00E43B05"/>
    <w:rsid w:val="00E44199"/>
    <w:rsid w:val="00E4467E"/>
    <w:rsid w:val="00E4516F"/>
    <w:rsid w:val="00E45BB2"/>
    <w:rsid w:val="00E463E0"/>
    <w:rsid w:val="00E4640B"/>
    <w:rsid w:val="00E4691E"/>
    <w:rsid w:val="00E471B8"/>
    <w:rsid w:val="00E50B26"/>
    <w:rsid w:val="00E50CD9"/>
    <w:rsid w:val="00E5180B"/>
    <w:rsid w:val="00E523BA"/>
    <w:rsid w:val="00E52416"/>
    <w:rsid w:val="00E528AB"/>
    <w:rsid w:val="00E53940"/>
    <w:rsid w:val="00E54D1B"/>
    <w:rsid w:val="00E54D64"/>
    <w:rsid w:val="00E56584"/>
    <w:rsid w:val="00E57720"/>
    <w:rsid w:val="00E579C4"/>
    <w:rsid w:val="00E57A3B"/>
    <w:rsid w:val="00E60F97"/>
    <w:rsid w:val="00E614A1"/>
    <w:rsid w:val="00E614ED"/>
    <w:rsid w:val="00E62FFF"/>
    <w:rsid w:val="00E6327F"/>
    <w:rsid w:val="00E657A6"/>
    <w:rsid w:val="00E65819"/>
    <w:rsid w:val="00E65F1F"/>
    <w:rsid w:val="00E65F43"/>
    <w:rsid w:val="00E70761"/>
    <w:rsid w:val="00E70CAC"/>
    <w:rsid w:val="00E70CCC"/>
    <w:rsid w:val="00E71B1A"/>
    <w:rsid w:val="00E7376D"/>
    <w:rsid w:val="00E73A3D"/>
    <w:rsid w:val="00E7488B"/>
    <w:rsid w:val="00E74A2E"/>
    <w:rsid w:val="00E74D85"/>
    <w:rsid w:val="00E74EB1"/>
    <w:rsid w:val="00E75636"/>
    <w:rsid w:val="00E7594C"/>
    <w:rsid w:val="00E75A3D"/>
    <w:rsid w:val="00E761E6"/>
    <w:rsid w:val="00E775D2"/>
    <w:rsid w:val="00E77A50"/>
    <w:rsid w:val="00E80410"/>
    <w:rsid w:val="00E8077D"/>
    <w:rsid w:val="00E81C5F"/>
    <w:rsid w:val="00E8242A"/>
    <w:rsid w:val="00E824F3"/>
    <w:rsid w:val="00E83025"/>
    <w:rsid w:val="00E83AFD"/>
    <w:rsid w:val="00E844F8"/>
    <w:rsid w:val="00E85360"/>
    <w:rsid w:val="00E878E9"/>
    <w:rsid w:val="00E904CD"/>
    <w:rsid w:val="00E90F21"/>
    <w:rsid w:val="00E91514"/>
    <w:rsid w:val="00E92AF1"/>
    <w:rsid w:val="00E948CC"/>
    <w:rsid w:val="00E9592D"/>
    <w:rsid w:val="00E95D96"/>
    <w:rsid w:val="00E967F4"/>
    <w:rsid w:val="00E96F7C"/>
    <w:rsid w:val="00E978AA"/>
    <w:rsid w:val="00E97AE3"/>
    <w:rsid w:val="00E97FE1"/>
    <w:rsid w:val="00EA0947"/>
    <w:rsid w:val="00EA0CDC"/>
    <w:rsid w:val="00EA0CE7"/>
    <w:rsid w:val="00EA10AF"/>
    <w:rsid w:val="00EA11FE"/>
    <w:rsid w:val="00EA2152"/>
    <w:rsid w:val="00EA33B6"/>
    <w:rsid w:val="00EA3A6D"/>
    <w:rsid w:val="00EA3E55"/>
    <w:rsid w:val="00EA418C"/>
    <w:rsid w:val="00EA5AB3"/>
    <w:rsid w:val="00EA6990"/>
    <w:rsid w:val="00EB077D"/>
    <w:rsid w:val="00EB0BE4"/>
    <w:rsid w:val="00EB1471"/>
    <w:rsid w:val="00EB279F"/>
    <w:rsid w:val="00EB2A77"/>
    <w:rsid w:val="00EB345E"/>
    <w:rsid w:val="00EB432E"/>
    <w:rsid w:val="00EB44C3"/>
    <w:rsid w:val="00EB4754"/>
    <w:rsid w:val="00EB5030"/>
    <w:rsid w:val="00EB5D22"/>
    <w:rsid w:val="00EB6412"/>
    <w:rsid w:val="00EB71F2"/>
    <w:rsid w:val="00EB7A1F"/>
    <w:rsid w:val="00EC02A7"/>
    <w:rsid w:val="00EC11C8"/>
    <w:rsid w:val="00EC1E4B"/>
    <w:rsid w:val="00EC3716"/>
    <w:rsid w:val="00EC4D5A"/>
    <w:rsid w:val="00EC533A"/>
    <w:rsid w:val="00EC5809"/>
    <w:rsid w:val="00EC61BB"/>
    <w:rsid w:val="00ED04D6"/>
    <w:rsid w:val="00ED0830"/>
    <w:rsid w:val="00ED22B6"/>
    <w:rsid w:val="00ED2AE2"/>
    <w:rsid w:val="00ED2CA0"/>
    <w:rsid w:val="00ED2E86"/>
    <w:rsid w:val="00ED2F71"/>
    <w:rsid w:val="00ED3D96"/>
    <w:rsid w:val="00ED4F47"/>
    <w:rsid w:val="00ED57F6"/>
    <w:rsid w:val="00ED5E1F"/>
    <w:rsid w:val="00ED60DF"/>
    <w:rsid w:val="00ED6A50"/>
    <w:rsid w:val="00ED720F"/>
    <w:rsid w:val="00ED72B3"/>
    <w:rsid w:val="00EE0958"/>
    <w:rsid w:val="00EE176A"/>
    <w:rsid w:val="00EE1CB8"/>
    <w:rsid w:val="00EE2575"/>
    <w:rsid w:val="00EE25F4"/>
    <w:rsid w:val="00EE2ADC"/>
    <w:rsid w:val="00EE38DB"/>
    <w:rsid w:val="00EE3B33"/>
    <w:rsid w:val="00EE4AFC"/>
    <w:rsid w:val="00EE54DD"/>
    <w:rsid w:val="00EE674B"/>
    <w:rsid w:val="00EE76A5"/>
    <w:rsid w:val="00EE7ACF"/>
    <w:rsid w:val="00EF0C39"/>
    <w:rsid w:val="00EF1882"/>
    <w:rsid w:val="00EF20F6"/>
    <w:rsid w:val="00EF2F70"/>
    <w:rsid w:val="00EF31C5"/>
    <w:rsid w:val="00EF3413"/>
    <w:rsid w:val="00EF4CEF"/>
    <w:rsid w:val="00EF57CB"/>
    <w:rsid w:val="00EF5CBA"/>
    <w:rsid w:val="00EF7409"/>
    <w:rsid w:val="00EF773D"/>
    <w:rsid w:val="00F00857"/>
    <w:rsid w:val="00F01261"/>
    <w:rsid w:val="00F01572"/>
    <w:rsid w:val="00F01840"/>
    <w:rsid w:val="00F0185A"/>
    <w:rsid w:val="00F04754"/>
    <w:rsid w:val="00F0605D"/>
    <w:rsid w:val="00F062B6"/>
    <w:rsid w:val="00F0649B"/>
    <w:rsid w:val="00F066B8"/>
    <w:rsid w:val="00F068F3"/>
    <w:rsid w:val="00F07335"/>
    <w:rsid w:val="00F07B2B"/>
    <w:rsid w:val="00F07F8E"/>
    <w:rsid w:val="00F10794"/>
    <w:rsid w:val="00F10F36"/>
    <w:rsid w:val="00F11546"/>
    <w:rsid w:val="00F11879"/>
    <w:rsid w:val="00F11E53"/>
    <w:rsid w:val="00F11F2F"/>
    <w:rsid w:val="00F1256F"/>
    <w:rsid w:val="00F138FC"/>
    <w:rsid w:val="00F14533"/>
    <w:rsid w:val="00F148C8"/>
    <w:rsid w:val="00F14AA7"/>
    <w:rsid w:val="00F14DBD"/>
    <w:rsid w:val="00F1510C"/>
    <w:rsid w:val="00F1512D"/>
    <w:rsid w:val="00F15C81"/>
    <w:rsid w:val="00F169E0"/>
    <w:rsid w:val="00F1796A"/>
    <w:rsid w:val="00F20055"/>
    <w:rsid w:val="00F205BB"/>
    <w:rsid w:val="00F20C79"/>
    <w:rsid w:val="00F21AAF"/>
    <w:rsid w:val="00F228F9"/>
    <w:rsid w:val="00F22950"/>
    <w:rsid w:val="00F22C7C"/>
    <w:rsid w:val="00F2361E"/>
    <w:rsid w:val="00F237C4"/>
    <w:rsid w:val="00F23C30"/>
    <w:rsid w:val="00F24262"/>
    <w:rsid w:val="00F25883"/>
    <w:rsid w:val="00F261FB"/>
    <w:rsid w:val="00F2759B"/>
    <w:rsid w:val="00F27675"/>
    <w:rsid w:val="00F30A91"/>
    <w:rsid w:val="00F30C33"/>
    <w:rsid w:val="00F316D8"/>
    <w:rsid w:val="00F33159"/>
    <w:rsid w:val="00F34507"/>
    <w:rsid w:val="00F34AD6"/>
    <w:rsid w:val="00F354AC"/>
    <w:rsid w:val="00F36234"/>
    <w:rsid w:val="00F36634"/>
    <w:rsid w:val="00F366BC"/>
    <w:rsid w:val="00F409F1"/>
    <w:rsid w:val="00F40E1D"/>
    <w:rsid w:val="00F40F4E"/>
    <w:rsid w:val="00F4169F"/>
    <w:rsid w:val="00F416C1"/>
    <w:rsid w:val="00F41B48"/>
    <w:rsid w:val="00F41B89"/>
    <w:rsid w:val="00F42FD8"/>
    <w:rsid w:val="00F43FBC"/>
    <w:rsid w:val="00F446D9"/>
    <w:rsid w:val="00F45164"/>
    <w:rsid w:val="00F4608B"/>
    <w:rsid w:val="00F46CAE"/>
    <w:rsid w:val="00F472A7"/>
    <w:rsid w:val="00F51299"/>
    <w:rsid w:val="00F5129C"/>
    <w:rsid w:val="00F51497"/>
    <w:rsid w:val="00F51F1C"/>
    <w:rsid w:val="00F51FFD"/>
    <w:rsid w:val="00F52728"/>
    <w:rsid w:val="00F53851"/>
    <w:rsid w:val="00F53CF2"/>
    <w:rsid w:val="00F563A5"/>
    <w:rsid w:val="00F56ABD"/>
    <w:rsid w:val="00F57CF4"/>
    <w:rsid w:val="00F60D98"/>
    <w:rsid w:val="00F60DD1"/>
    <w:rsid w:val="00F61BB7"/>
    <w:rsid w:val="00F626DE"/>
    <w:rsid w:val="00F6285A"/>
    <w:rsid w:val="00F62FC2"/>
    <w:rsid w:val="00F64332"/>
    <w:rsid w:val="00F64411"/>
    <w:rsid w:val="00F64B25"/>
    <w:rsid w:val="00F64DE6"/>
    <w:rsid w:val="00F64E5C"/>
    <w:rsid w:val="00F66F2D"/>
    <w:rsid w:val="00F67FDD"/>
    <w:rsid w:val="00F7238E"/>
    <w:rsid w:val="00F72FE4"/>
    <w:rsid w:val="00F752B6"/>
    <w:rsid w:val="00F7620F"/>
    <w:rsid w:val="00F76844"/>
    <w:rsid w:val="00F804A1"/>
    <w:rsid w:val="00F81897"/>
    <w:rsid w:val="00F81D16"/>
    <w:rsid w:val="00F82234"/>
    <w:rsid w:val="00F82A5F"/>
    <w:rsid w:val="00F83318"/>
    <w:rsid w:val="00F83D1F"/>
    <w:rsid w:val="00F84114"/>
    <w:rsid w:val="00F84FDF"/>
    <w:rsid w:val="00F87FF8"/>
    <w:rsid w:val="00F91EDE"/>
    <w:rsid w:val="00F93548"/>
    <w:rsid w:val="00F93E9F"/>
    <w:rsid w:val="00F943EB"/>
    <w:rsid w:val="00F94FE7"/>
    <w:rsid w:val="00F95047"/>
    <w:rsid w:val="00F95E37"/>
    <w:rsid w:val="00F97062"/>
    <w:rsid w:val="00F973E2"/>
    <w:rsid w:val="00F979C5"/>
    <w:rsid w:val="00FA06F4"/>
    <w:rsid w:val="00FA073C"/>
    <w:rsid w:val="00FA07AC"/>
    <w:rsid w:val="00FA0836"/>
    <w:rsid w:val="00FA0845"/>
    <w:rsid w:val="00FA0BAF"/>
    <w:rsid w:val="00FA17EE"/>
    <w:rsid w:val="00FA18B4"/>
    <w:rsid w:val="00FA1933"/>
    <w:rsid w:val="00FA1BB7"/>
    <w:rsid w:val="00FA3520"/>
    <w:rsid w:val="00FA422A"/>
    <w:rsid w:val="00FA4C20"/>
    <w:rsid w:val="00FA5732"/>
    <w:rsid w:val="00FA59BA"/>
    <w:rsid w:val="00FA62CC"/>
    <w:rsid w:val="00FA68B5"/>
    <w:rsid w:val="00FA7708"/>
    <w:rsid w:val="00FA7D0F"/>
    <w:rsid w:val="00FB08B7"/>
    <w:rsid w:val="00FB0E79"/>
    <w:rsid w:val="00FB184E"/>
    <w:rsid w:val="00FB189C"/>
    <w:rsid w:val="00FB1988"/>
    <w:rsid w:val="00FB19E6"/>
    <w:rsid w:val="00FB2395"/>
    <w:rsid w:val="00FB2437"/>
    <w:rsid w:val="00FB3464"/>
    <w:rsid w:val="00FB558F"/>
    <w:rsid w:val="00FB635E"/>
    <w:rsid w:val="00FB6ACB"/>
    <w:rsid w:val="00FB6AF8"/>
    <w:rsid w:val="00FB6FD8"/>
    <w:rsid w:val="00FC07E8"/>
    <w:rsid w:val="00FC0A1A"/>
    <w:rsid w:val="00FC1017"/>
    <w:rsid w:val="00FC11D6"/>
    <w:rsid w:val="00FC13B6"/>
    <w:rsid w:val="00FC1B65"/>
    <w:rsid w:val="00FC1EA0"/>
    <w:rsid w:val="00FC3CE1"/>
    <w:rsid w:val="00FC45EB"/>
    <w:rsid w:val="00FC4E55"/>
    <w:rsid w:val="00FC58C4"/>
    <w:rsid w:val="00FC59FC"/>
    <w:rsid w:val="00FC66F9"/>
    <w:rsid w:val="00FC6C73"/>
    <w:rsid w:val="00FC7129"/>
    <w:rsid w:val="00FC7E0B"/>
    <w:rsid w:val="00FD0A1E"/>
    <w:rsid w:val="00FD189B"/>
    <w:rsid w:val="00FD2803"/>
    <w:rsid w:val="00FD37DA"/>
    <w:rsid w:val="00FD3929"/>
    <w:rsid w:val="00FD4626"/>
    <w:rsid w:val="00FD48B8"/>
    <w:rsid w:val="00FD5163"/>
    <w:rsid w:val="00FD6079"/>
    <w:rsid w:val="00FD60CF"/>
    <w:rsid w:val="00FD704F"/>
    <w:rsid w:val="00FD7474"/>
    <w:rsid w:val="00FD74AB"/>
    <w:rsid w:val="00FD75EE"/>
    <w:rsid w:val="00FE142D"/>
    <w:rsid w:val="00FE1D8B"/>
    <w:rsid w:val="00FE2103"/>
    <w:rsid w:val="00FE24DD"/>
    <w:rsid w:val="00FE2D5E"/>
    <w:rsid w:val="00FE2E11"/>
    <w:rsid w:val="00FE2EC4"/>
    <w:rsid w:val="00FE34E1"/>
    <w:rsid w:val="00FE379B"/>
    <w:rsid w:val="00FE3A68"/>
    <w:rsid w:val="00FE486D"/>
    <w:rsid w:val="00FE4CEB"/>
    <w:rsid w:val="00FE4D60"/>
    <w:rsid w:val="00FE5F28"/>
    <w:rsid w:val="00FE6289"/>
    <w:rsid w:val="00FE74A8"/>
    <w:rsid w:val="00FF1CDC"/>
    <w:rsid w:val="00FF2CDB"/>
    <w:rsid w:val="00FF4568"/>
    <w:rsid w:val="00FF4C9F"/>
    <w:rsid w:val="00FF546A"/>
    <w:rsid w:val="00FF5DCC"/>
    <w:rsid w:val="00FF5E19"/>
    <w:rsid w:val="00FF6126"/>
    <w:rsid w:val="00FF619A"/>
    <w:rsid w:val="00FF61AD"/>
    <w:rsid w:val="00FF7083"/>
    <w:rsid w:val="00FF74C2"/>
    <w:rsid w:val="00FF7601"/>
    <w:rsid w:val="00FF775E"/>
    <w:rsid w:val="00FF7B90"/>
    <w:rsid w:val="00FF7B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C49C2E0"/>
  <w15:chartTrackingRefBased/>
  <w15:docId w15:val="{F3BBC772-4CDF-430E-80F6-7CA55AA17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81F"/>
  </w:style>
  <w:style w:type="paragraph" w:styleId="Heading1">
    <w:name w:val="heading 1"/>
    <w:basedOn w:val="Normal"/>
    <w:next w:val="Normal"/>
    <w:link w:val="Heading1Char"/>
    <w:uiPriority w:val="9"/>
    <w:qFormat/>
    <w:rsid w:val="00354C8F"/>
    <w:pPr>
      <w:outlineLvl w:val="0"/>
    </w:pPr>
    <w:rPr>
      <w:rFonts w:ascii="Arial" w:hAnsi="Arial"/>
      <w:color w:val="FFFFFF" w:themeColor="background1"/>
      <w:sz w:val="44"/>
      <w:szCs w:val="26"/>
    </w:rPr>
  </w:style>
  <w:style w:type="paragraph" w:styleId="Heading2">
    <w:name w:val="heading 2"/>
    <w:basedOn w:val="Normal"/>
    <w:next w:val="Normal"/>
    <w:link w:val="Heading2Char"/>
    <w:uiPriority w:val="9"/>
    <w:unhideWhenUsed/>
    <w:qFormat/>
    <w:rsid w:val="00704A52"/>
    <w:pPr>
      <w:outlineLvl w:val="1"/>
    </w:pPr>
    <w:rPr>
      <w:rFonts w:ascii="Arial" w:hAnsi="Arial"/>
      <w:color w:val="00283E"/>
      <w:sz w:val="48"/>
      <w:szCs w:val="26"/>
    </w:rPr>
  </w:style>
  <w:style w:type="paragraph" w:styleId="Heading3">
    <w:name w:val="heading 3"/>
    <w:basedOn w:val="Heading2"/>
    <w:next w:val="Normal"/>
    <w:link w:val="Heading3Char"/>
    <w:uiPriority w:val="9"/>
    <w:unhideWhenUsed/>
    <w:qFormat/>
    <w:rsid w:val="00704A52"/>
    <w:pPr>
      <w:spacing w:before="160"/>
      <w:outlineLvl w:val="2"/>
    </w:pPr>
    <w:rPr>
      <w:sz w:val="34"/>
    </w:rPr>
  </w:style>
  <w:style w:type="paragraph" w:styleId="Heading4">
    <w:name w:val="heading 4"/>
    <w:basedOn w:val="Normal"/>
    <w:next w:val="Normal"/>
    <w:link w:val="Heading4Char"/>
    <w:uiPriority w:val="9"/>
    <w:unhideWhenUsed/>
    <w:qFormat/>
    <w:rsid w:val="00744D51"/>
    <w:pPr>
      <w:spacing w:before="120" w:after="120"/>
      <w:outlineLvl w:val="3"/>
    </w:pPr>
    <w:rPr>
      <w:rFonts w:ascii="Arial" w:eastAsiaTheme="majorEastAsia" w:hAnsi="Arial" w:cstheme="majorBidi"/>
      <w:iCs/>
      <w:color w:val="00283E"/>
      <w:sz w:val="24"/>
    </w:rPr>
  </w:style>
  <w:style w:type="paragraph" w:styleId="Heading5">
    <w:name w:val="heading 5"/>
    <w:basedOn w:val="Normal"/>
    <w:next w:val="Normal"/>
    <w:link w:val="Heading5Char"/>
    <w:uiPriority w:val="9"/>
    <w:semiHidden/>
    <w:unhideWhenUsed/>
    <w:qFormat/>
    <w:rsid w:val="0092481F"/>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92481F"/>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92481F"/>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92481F"/>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92481F"/>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DF49FD"/>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rsid w:val="00DF49FD"/>
    <w:rPr>
      <w:rFonts w:asciiTheme="majorHAnsi" w:eastAsiaTheme="majorEastAsia" w:hAnsiTheme="majorHAnsi" w:cstheme="majorBidi"/>
      <w:color w:val="4472C4" w:themeColor="accent1"/>
      <w:sz w:val="28"/>
      <w:szCs w:val="28"/>
    </w:rPr>
  </w:style>
  <w:style w:type="character" w:customStyle="1" w:styleId="Heading1Char">
    <w:name w:val="Heading 1 Char"/>
    <w:basedOn w:val="DefaultParagraphFont"/>
    <w:link w:val="Heading1"/>
    <w:uiPriority w:val="9"/>
    <w:rsid w:val="00354C8F"/>
    <w:rPr>
      <w:rFonts w:ascii="Arial" w:hAnsi="Arial"/>
      <w:color w:val="FFFFFF" w:themeColor="background1"/>
      <w:sz w:val="44"/>
      <w:szCs w:val="26"/>
    </w:rPr>
  </w:style>
  <w:style w:type="character" w:customStyle="1" w:styleId="Heading2Char">
    <w:name w:val="Heading 2 Char"/>
    <w:basedOn w:val="DefaultParagraphFont"/>
    <w:link w:val="Heading2"/>
    <w:uiPriority w:val="9"/>
    <w:rsid w:val="00704A52"/>
    <w:rPr>
      <w:rFonts w:ascii="Arial" w:hAnsi="Arial"/>
      <w:color w:val="00283E"/>
      <w:sz w:val="48"/>
      <w:szCs w:val="26"/>
    </w:rPr>
  </w:style>
  <w:style w:type="character" w:customStyle="1" w:styleId="Heading3Char">
    <w:name w:val="Heading 3 Char"/>
    <w:basedOn w:val="DefaultParagraphFont"/>
    <w:link w:val="Heading3"/>
    <w:uiPriority w:val="9"/>
    <w:rsid w:val="00704A52"/>
    <w:rPr>
      <w:rFonts w:ascii="Arial" w:hAnsi="Arial"/>
      <w:color w:val="00283E"/>
      <w:sz w:val="34"/>
      <w:szCs w:val="26"/>
    </w:rPr>
  </w:style>
  <w:style w:type="character" w:customStyle="1" w:styleId="Heading4Char">
    <w:name w:val="Heading 4 Char"/>
    <w:basedOn w:val="DefaultParagraphFont"/>
    <w:link w:val="Heading4"/>
    <w:uiPriority w:val="9"/>
    <w:rsid w:val="00744D51"/>
    <w:rPr>
      <w:rFonts w:ascii="Arial" w:eastAsiaTheme="majorEastAsia" w:hAnsi="Arial" w:cstheme="majorBidi"/>
      <w:iCs/>
      <w:color w:val="00283E"/>
      <w:sz w:val="24"/>
    </w:rPr>
  </w:style>
  <w:style w:type="character" w:customStyle="1" w:styleId="Heading5Char">
    <w:name w:val="Heading 5 Char"/>
    <w:basedOn w:val="DefaultParagraphFont"/>
    <w:link w:val="Heading5"/>
    <w:uiPriority w:val="9"/>
    <w:semiHidden/>
    <w:rsid w:val="0092481F"/>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92481F"/>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92481F"/>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92481F"/>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92481F"/>
    <w:rPr>
      <w:rFonts w:asciiTheme="majorHAnsi" w:eastAsiaTheme="majorEastAsia" w:hAnsiTheme="majorHAnsi" w:cstheme="majorBidi"/>
      <w:i/>
      <w:iCs/>
      <w:color w:val="1F3864" w:themeColor="accent1" w:themeShade="80"/>
    </w:rPr>
  </w:style>
  <w:style w:type="paragraph" w:styleId="Title">
    <w:name w:val="Title"/>
    <w:basedOn w:val="Normal"/>
    <w:next w:val="Normal"/>
    <w:link w:val="TitleChar"/>
    <w:qFormat/>
    <w:rsid w:val="0092481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rsid w:val="0092481F"/>
    <w:rPr>
      <w:rFonts w:asciiTheme="majorHAnsi" w:eastAsiaTheme="majorEastAsia" w:hAnsiTheme="majorHAnsi" w:cstheme="majorBidi"/>
      <w:caps/>
      <w:color w:val="44546A" w:themeColor="text2"/>
      <w:spacing w:val="-15"/>
      <w:sz w:val="72"/>
      <w:szCs w:val="72"/>
    </w:rPr>
  </w:style>
  <w:style w:type="paragraph" w:styleId="TOCHeading">
    <w:name w:val="TOC Heading"/>
    <w:basedOn w:val="Heading1"/>
    <w:next w:val="Normal"/>
    <w:uiPriority w:val="39"/>
    <w:unhideWhenUsed/>
    <w:qFormat/>
    <w:rsid w:val="0092481F"/>
    <w:pPr>
      <w:outlineLvl w:val="9"/>
    </w:pPr>
  </w:style>
  <w:style w:type="table" w:styleId="TableGrid">
    <w:name w:val="Table Grid"/>
    <w:basedOn w:val="TableNormal"/>
    <w:uiPriority w:val="39"/>
    <w:rsid w:val="001119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1638D"/>
    <w:pPr>
      <w:spacing w:after="100"/>
    </w:pPr>
  </w:style>
  <w:style w:type="character" w:styleId="Hyperlink">
    <w:name w:val="Hyperlink"/>
    <w:basedOn w:val="DefaultParagraphFont"/>
    <w:uiPriority w:val="99"/>
    <w:unhideWhenUsed/>
    <w:rsid w:val="0071638D"/>
    <w:rPr>
      <w:color w:val="0563C1" w:themeColor="hyperlink"/>
      <w:u w:val="single"/>
    </w:rPr>
  </w:style>
  <w:style w:type="paragraph" w:styleId="TOC2">
    <w:name w:val="toc 2"/>
    <w:basedOn w:val="Normal"/>
    <w:next w:val="Normal"/>
    <w:autoRedefine/>
    <w:uiPriority w:val="39"/>
    <w:unhideWhenUsed/>
    <w:rsid w:val="00706679"/>
    <w:pPr>
      <w:spacing w:after="100"/>
      <w:ind w:left="220"/>
    </w:pPr>
  </w:style>
  <w:style w:type="paragraph" w:styleId="TOC3">
    <w:name w:val="toc 3"/>
    <w:basedOn w:val="Normal"/>
    <w:next w:val="Normal"/>
    <w:autoRedefine/>
    <w:uiPriority w:val="39"/>
    <w:unhideWhenUsed/>
    <w:rsid w:val="00706679"/>
    <w:pPr>
      <w:spacing w:after="100"/>
      <w:ind w:left="440"/>
    </w:pPr>
  </w:style>
  <w:style w:type="paragraph" w:styleId="Header">
    <w:name w:val="header"/>
    <w:basedOn w:val="Normal"/>
    <w:link w:val="HeaderChar"/>
    <w:uiPriority w:val="99"/>
    <w:unhideWhenUsed/>
    <w:rsid w:val="007066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679"/>
  </w:style>
  <w:style w:type="paragraph" w:styleId="Footer">
    <w:name w:val="footer"/>
    <w:basedOn w:val="Normal"/>
    <w:link w:val="FooterChar"/>
    <w:uiPriority w:val="99"/>
    <w:unhideWhenUsed/>
    <w:rsid w:val="007066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679"/>
  </w:style>
  <w:style w:type="paragraph" w:styleId="ListParagraph">
    <w:name w:val="List Paragraph"/>
    <w:aliases w:val="Bullet point,Bulletr List Paragraph,FooterText,L,List Paragraph1,List Paragraph11,List Paragraph2,List Paragraph21,Listeafsnit1,NFP GP Bulleted List,Paragraphe de liste1,Parágrafo da Lista1,Recommendation,bullet point list,1 heading,列出段落"/>
    <w:basedOn w:val="Normal"/>
    <w:link w:val="ListParagraphChar"/>
    <w:uiPriority w:val="34"/>
    <w:qFormat/>
    <w:rsid w:val="00307FC8"/>
    <w:pPr>
      <w:ind w:left="720"/>
      <w:contextualSpacing/>
    </w:pPr>
  </w:style>
  <w:style w:type="character" w:customStyle="1" w:styleId="ListParagraphChar">
    <w:name w:val="List Paragraph Char"/>
    <w:aliases w:val="Bullet point Char,Bulletr List Paragraph Char,FooterText Char,L Char,List Paragraph1 Char,List Paragraph11 Char,List Paragraph2 Char,List Paragraph21 Char,Listeafsnit1 Char,NFP GP Bulleted List Char,Paragraphe de liste1 Char"/>
    <w:link w:val="ListParagraph"/>
    <w:uiPriority w:val="34"/>
    <w:qFormat/>
    <w:locked/>
    <w:rsid w:val="004429D0"/>
  </w:style>
  <w:style w:type="character" w:styleId="CommentReference">
    <w:name w:val="annotation reference"/>
    <w:basedOn w:val="DefaultParagraphFont"/>
    <w:uiPriority w:val="99"/>
    <w:semiHidden/>
    <w:unhideWhenUsed/>
    <w:rsid w:val="00960F06"/>
    <w:rPr>
      <w:sz w:val="16"/>
      <w:szCs w:val="16"/>
    </w:rPr>
  </w:style>
  <w:style w:type="paragraph" w:styleId="CommentText">
    <w:name w:val="annotation text"/>
    <w:basedOn w:val="Normal"/>
    <w:link w:val="CommentTextChar"/>
    <w:uiPriority w:val="99"/>
    <w:semiHidden/>
    <w:unhideWhenUsed/>
    <w:rsid w:val="00960F06"/>
    <w:pPr>
      <w:spacing w:line="240" w:lineRule="auto"/>
    </w:pPr>
    <w:rPr>
      <w:sz w:val="20"/>
      <w:szCs w:val="20"/>
    </w:rPr>
  </w:style>
  <w:style w:type="character" w:customStyle="1" w:styleId="CommentTextChar">
    <w:name w:val="Comment Text Char"/>
    <w:basedOn w:val="DefaultParagraphFont"/>
    <w:link w:val="CommentText"/>
    <w:uiPriority w:val="99"/>
    <w:semiHidden/>
    <w:rsid w:val="00960F06"/>
    <w:rPr>
      <w:sz w:val="20"/>
      <w:szCs w:val="20"/>
    </w:rPr>
  </w:style>
  <w:style w:type="paragraph" w:styleId="CommentSubject">
    <w:name w:val="annotation subject"/>
    <w:basedOn w:val="CommentText"/>
    <w:next w:val="CommentText"/>
    <w:link w:val="CommentSubjectChar"/>
    <w:uiPriority w:val="99"/>
    <w:semiHidden/>
    <w:unhideWhenUsed/>
    <w:rsid w:val="00960F06"/>
    <w:rPr>
      <w:b/>
      <w:bCs/>
    </w:rPr>
  </w:style>
  <w:style w:type="character" w:customStyle="1" w:styleId="CommentSubjectChar">
    <w:name w:val="Comment Subject Char"/>
    <w:basedOn w:val="CommentTextChar"/>
    <w:link w:val="CommentSubject"/>
    <w:uiPriority w:val="99"/>
    <w:semiHidden/>
    <w:rsid w:val="00960F06"/>
    <w:rPr>
      <w:b/>
      <w:bCs/>
      <w:sz w:val="20"/>
      <w:szCs w:val="20"/>
    </w:rPr>
  </w:style>
  <w:style w:type="paragraph" w:styleId="BalloonText">
    <w:name w:val="Balloon Text"/>
    <w:basedOn w:val="Normal"/>
    <w:link w:val="BalloonTextChar"/>
    <w:uiPriority w:val="99"/>
    <w:semiHidden/>
    <w:unhideWhenUsed/>
    <w:rsid w:val="00960F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F06"/>
    <w:rPr>
      <w:rFonts w:ascii="Segoe UI" w:hAnsi="Segoe UI" w:cs="Segoe UI"/>
      <w:sz w:val="18"/>
      <w:szCs w:val="18"/>
    </w:rPr>
  </w:style>
  <w:style w:type="paragraph" w:styleId="Caption">
    <w:name w:val="caption"/>
    <w:basedOn w:val="Normal"/>
    <w:next w:val="Normal"/>
    <w:uiPriority w:val="35"/>
    <w:semiHidden/>
    <w:unhideWhenUsed/>
    <w:qFormat/>
    <w:rsid w:val="0092481F"/>
    <w:pPr>
      <w:spacing w:line="240" w:lineRule="auto"/>
    </w:pPr>
    <w:rPr>
      <w:b/>
      <w:bCs/>
      <w:smallCaps/>
      <w:color w:val="44546A" w:themeColor="text2"/>
    </w:rPr>
  </w:style>
  <w:style w:type="character" w:styleId="Strong">
    <w:name w:val="Strong"/>
    <w:basedOn w:val="DefaultParagraphFont"/>
    <w:uiPriority w:val="22"/>
    <w:qFormat/>
    <w:rsid w:val="0092481F"/>
    <w:rPr>
      <w:b/>
      <w:bCs/>
    </w:rPr>
  </w:style>
  <w:style w:type="character" w:styleId="Emphasis">
    <w:name w:val="Emphasis"/>
    <w:basedOn w:val="DefaultParagraphFont"/>
    <w:uiPriority w:val="20"/>
    <w:qFormat/>
    <w:rsid w:val="0092481F"/>
    <w:rPr>
      <w:i/>
      <w:iCs/>
    </w:rPr>
  </w:style>
  <w:style w:type="paragraph" w:styleId="NoSpacing">
    <w:name w:val="No Spacing"/>
    <w:uiPriority w:val="1"/>
    <w:qFormat/>
    <w:rsid w:val="0092481F"/>
    <w:pPr>
      <w:spacing w:after="0" w:line="240" w:lineRule="auto"/>
    </w:pPr>
  </w:style>
  <w:style w:type="paragraph" w:styleId="Quote">
    <w:name w:val="Quote"/>
    <w:basedOn w:val="Normal"/>
    <w:next w:val="Normal"/>
    <w:link w:val="QuoteChar"/>
    <w:uiPriority w:val="29"/>
    <w:qFormat/>
    <w:rsid w:val="0092481F"/>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92481F"/>
    <w:rPr>
      <w:color w:val="44546A" w:themeColor="text2"/>
      <w:sz w:val="24"/>
      <w:szCs w:val="24"/>
    </w:rPr>
  </w:style>
  <w:style w:type="paragraph" w:styleId="IntenseQuote">
    <w:name w:val="Intense Quote"/>
    <w:basedOn w:val="Normal"/>
    <w:next w:val="Normal"/>
    <w:link w:val="IntenseQuoteChar"/>
    <w:uiPriority w:val="30"/>
    <w:qFormat/>
    <w:rsid w:val="0092481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92481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92481F"/>
    <w:rPr>
      <w:i/>
      <w:iCs/>
      <w:color w:val="595959" w:themeColor="text1" w:themeTint="A6"/>
    </w:rPr>
  </w:style>
  <w:style w:type="character" w:styleId="IntenseEmphasis">
    <w:name w:val="Intense Emphasis"/>
    <w:basedOn w:val="DefaultParagraphFont"/>
    <w:uiPriority w:val="21"/>
    <w:qFormat/>
    <w:rsid w:val="0092481F"/>
    <w:rPr>
      <w:b/>
      <w:bCs/>
      <w:i/>
      <w:iCs/>
    </w:rPr>
  </w:style>
  <w:style w:type="character" w:styleId="SubtleReference">
    <w:name w:val="Subtle Reference"/>
    <w:basedOn w:val="DefaultParagraphFont"/>
    <w:uiPriority w:val="31"/>
    <w:qFormat/>
    <w:rsid w:val="0092481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2481F"/>
    <w:rPr>
      <w:b/>
      <w:bCs/>
      <w:smallCaps/>
      <w:color w:val="44546A" w:themeColor="text2"/>
      <w:u w:val="single"/>
    </w:rPr>
  </w:style>
  <w:style w:type="character" w:styleId="BookTitle">
    <w:name w:val="Book Title"/>
    <w:basedOn w:val="DefaultParagraphFont"/>
    <w:uiPriority w:val="33"/>
    <w:qFormat/>
    <w:rsid w:val="0092481F"/>
    <w:rPr>
      <w:b/>
      <w:bCs/>
      <w:smallCaps/>
      <w:spacing w:val="10"/>
    </w:rPr>
  </w:style>
  <w:style w:type="paragraph" w:styleId="FootnoteText">
    <w:name w:val="footnote text"/>
    <w:basedOn w:val="Normal"/>
    <w:link w:val="FootnoteTextChar"/>
    <w:uiPriority w:val="99"/>
    <w:semiHidden/>
    <w:unhideWhenUsed/>
    <w:rsid w:val="004B59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5930"/>
    <w:rPr>
      <w:sz w:val="20"/>
      <w:szCs w:val="20"/>
    </w:rPr>
  </w:style>
  <w:style w:type="character" w:styleId="FootnoteReference">
    <w:name w:val="footnote reference"/>
    <w:basedOn w:val="DefaultParagraphFont"/>
    <w:uiPriority w:val="99"/>
    <w:semiHidden/>
    <w:unhideWhenUsed/>
    <w:rsid w:val="004B5930"/>
    <w:rPr>
      <w:vertAlign w:val="superscript"/>
    </w:rPr>
  </w:style>
  <w:style w:type="paragraph" w:customStyle="1" w:styleId="Default">
    <w:name w:val="Default"/>
    <w:rsid w:val="00F14DB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5">
    <w:name w:val="Pa5"/>
    <w:basedOn w:val="Default"/>
    <w:next w:val="Default"/>
    <w:uiPriority w:val="99"/>
    <w:rsid w:val="006F57A6"/>
    <w:pPr>
      <w:spacing w:line="181" w:lineRule="atLeast"/>
    </w:pPr>
    <w:rPr>
      <w:rFonts w:ascii="Gotham Narrow Light" w:hAnsi="Gotham Narrow Light" w:cstheme="minorBidi"/>
      <w:color w:val="auto"/>
    </w:rPr>
  </w:style>
  <w:style w:type="character" w:customStyle="1" w:styleId="A14">
    <w:name w:val="A14"/>
    <w:uiPriority w:val="99"/>
    <w:rsid w:val="002F5F7C"/>
    <w:rPr>
      <w:rFonts w:cs="Gotham Narrow Light"/>
      <w:color w:val="000000"/>
    </w:rPr>
  </w:style>
  <w:style w:type="paragraph" w:customStyle="1" w:styleId="Pa11">
    <w:name w:val="Pa11"/>
    <w:basedOn w:val="Default"/>
    <w:next w:val="Default"/>
    <w:uiPriority w:val="99"/>
    <w:rsid w:val="00B1585D"/>
    <w:pPr>
      <w:spacing w:line="181" w:lineRule="atLeast"/>
    </w:pPr>
    <w:rPr>
      <w:rFonts w:ascii="Gotham Narrow Light" w:hAnsi="Gotham Narrow Light" w:cstheme="minorBidi"/>
      <w:color w:val="auto"/>
    </w:rPr>
  </w:style>
  <w:style w:type="character" w:customStyle="1" w:styleId="A10">
    <w:name w:val="A10"/>
    <w:uiPriority w:val="99"/>
    <w:rsid w:val="00127064"/>
    <w:rPr>
      <w:rFonts w:cs="Gotham Narrow Light"/>
      <w:color w:val="000000"/>
      <w:sz w:val="10"/>
      <w:szCs w:val="10"/>
    </w:rPr>
  </w:style>
  <w:style w:type="character" w:customStyle="1" w:styleId="A6">
    <w:name w:val="A6"/>
    <w:uiPriority w:val="99"/>
    <w:rsid w:val="007E184B"/>
    <w:rPr>
      <w:rFonts w:ascii="Gotham Narrow Book" w:hAnsi="Gotham Narrow Book" w:cs="Gotham Narrow Book"/>
      <w:color w:val="000000"/>
      <w:sz w:val="18"/>
      <w:szCs w:val="18"/>
    </w:rPr>
  </w:style>
  <w:style w:type="character" w:customStyle="1" w:styleId="A7">
    <w:name w:val="A7"/>
    <w:uiPriority w:val="99"/>
    <w:rsid w:val="007E184B"/>
    <w:rPr>
      <w:rFonts w:ascii="Gotham Light" w:hAnsi="Gotham Light" w:cs="Gotham Light"/>
      <w:color w:val="000000"/>
      <w:sz w:val="16"/>
      <w:szCs w:val="16"/>
    </w:rPr>
  </w:style>
  <w:style w:type="paragraph" w:styleId="BodyText">
    <w:name w:val="Body Text"/>
    <w:basedOn w:val="Normal"/>
    <w:link w:val="BodyTextChar"/>
    <w:uiPriority w:val="1"/>
    <w:qFormat/>
    <w:rsid w:val="0004357E"/>
    <w:pPr>
      <w:spacing w:before="120" w:after="120" w:line="240" w:lineRule="auto"/>
    </w:pPr>
    <w:rPr>
      <w:rFonts w:ascii="Times New Roman" w:eastAsiaTheme="minorHAnsi" w:hAnsi="Times New Roman"/>
      <w:sz w:val="24"/>
    </w:rPr>
  </w:style>
  <w:style w:type="character" w:customStyle="1" w:styleId="BodyTextChar">
    <w:name w:val="Body Text Char"/>
    <w:basedOn w:val="DefaultParagraphFont"/>
    <w:link w:val="BodyText"/>
    <w:uiPriority w:val="1"/>
    <w:rsid w:val="0004357E"/>
    <w:rPr>
      <w:rFonts w:ascii="Times New Roman" w:eastAsiaTheme="minorHAnsi" w:hAnsi="Times New Roman"/>
      <w:sz w:val="24"/>
    </w:rPr>
  </w:style>
  <w:style w:type="paragraph" w:styleId="Revision">
    <w:name w:val="Revision"/>
    <w:hidden/>
    <w:uiPriority w:val="99"/>
    <w:semiHidden/>
    <w:rsid w:val="00B8170B"/>
    <w:pPr>
      <w:spacing w:after="0" w:line="240" w:lineRule="auto"/>
    </w:pPr>
  </w:style>
  <w:style w:type="paragraph" w:customStyle="1" w:styleId="Pa4">
    <w:name w:val="Pa4"/>
    <w:basedOn w:val="Default"/>
    <w:next w:val="Default"/>
    <w:uiPriority w:val="99"/>
    <w:rsid w:val="007B5515"/>
    <w:pPr>
      <w:spacing w:line="201" w:lineRule="atLeast"/>
    </w:pPr>
    <w:rPr>
      <w:rFonts w:ascii="MetaNormalLF-Roman" w:hAnsi="MetaNormalLF-Roman" w:cstheme="minorBidi"/>
      <w:color w:val="auto"/>
    </w:rPr>
  </w:style>
  <w:style w:type="paragraph" w:styleId="NormalWeb">
    <w:name w:val="Normal (Web)"/>
    <w:basedOn w:val="Normal"/>
    <w:uiPriority w:val="99"/>
    <w:unhideWhenUsed/>
    <w:rsid w:val="007B551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Bullet">
    <w:name w:val="List Bullet"/>
    <w:basedOn w:val="ListParagraph"/>
    <w:uiPriority w:val="99"/>
    <w:unhideWhenUsed/>
    <w:rsid w:val="00EA0CDC"/>
    <w:pPr>
      <w:spacing w:before="240" w:after="240" w:line="300" w:lineRule="auto"/>
    </w:pPr>
    <w:rPr>
      <w:rFonts w:ascii="Arial" w:eastAsiaTheme="minorHAnsi"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513157">
      <w:bodyDiv w:val="1"/>
      <w:marLeft w:val="0"/>
      <w:marRight w:val="0"/>
      <w:marTop w:val="0"/>
      <w:marBottom w:val="0"/>
      <w:divBdr>
        <w:top w:val="none" w:sz="0" w:space="0" w:color="auto"/>
        <w:left w:val="none" w:sz="0" w:space="0" w:color="auto"/>
        <w:bottom w:val="none" w:sz="0" w:space="0" w:color="auto"/>
        <w:right w:val="none" w:sz="0" w:space="0" w:color="auto"/>
      </w:divBdr>
      <w:divsChild>
        <w:div w:id="238560973">
          <w:marLeft w:val="0"/>
          <w:marRight w:val="0"/>
          <w:marTop w:val="0"/>
          <w:marBottom w:val="0"/>
          <w:divBdr>
            <w:top w:val="none" w:sz="0" w:space="0" w:color="auto"/>
            <w:left w:val="none" w:sz="0" w:space="0" w:color="auto"/>
            <w:bottom w:val="none" w:sz="0" w:space="0" w:color="auto"/>
            <w:right w:val="none" w:sz="0" w:space="0" w:color="auto"/>
          </w:divBdr>
          <w:divsChild>
            <w:div w:id="1169518240">
              <w:marLeft w:val="0"/>
              <w:marRight w:val="0"/>
              <w:marTop w:val="0"/>
              <w:marBottom w:val="0"/>
              <w:divBdr>
                <w:top w:val="none" w:sz="0" w:space="0" w:color="auto"/>
                <w:left w:val="none" w:sz="0" w:space="0" w:color="auto"/>
                <w:bottom w:val="none" w:sz="0" w:space="0" w:color="auto"/>
                <w:right w:val="none" w:sz="0" w:space="0" w:color="auto"/>
              </w:divBdr>
              <w:divsChild>
                <w:div w:id="1238590940">
                  <w:marLeft w:val="0"/>
                  <w:marRight w:val="0"/>
                  <w:marTop w:val="0"/>
                  <w:marBottom w:val="0"/>
                  <w:divBdr>
                    <w:top w:val="none" w:sz="0" w:space="0" w:color="auto"/>
                    <w:left w:val="none" w:sz="0" w:space="0" w:color="auto"/>
                    <w:bottom w:val="none" w:sz="0" w:space="0" w:color="auto"/>
                    <w:right w:val="none" w:sz="0" w:space="0" w:color="auto"/>
                  </w:divBdr>
                  <w:divsChild>
                    <w:div w:id="316109677">
                      <w:marLeft w:val="0"/>
                      <w:marRight w:val="0"/>
                      <w:marTop w:val="0"/>
                      <w:marBottom w:val="0"/>
                      <w:divBdr>
                        <w:top w:val="none" w:sz="0" w:space="0" w:color="auto"/>
                        <w:left w:val="none" w:sz="0" w:space="0" w:color="auto"/>
                        <w:bottom w:val="none" w:sz="0" w:space="0" w:color="auto"/>
                        <w:right w:val="none" w:sz="0" w:space="0" w:color="auto"/>
                      </w:divBdr>
                      <w:divsChild>
                        <w:div w:id="2018265287">
                          <w:marLeft w:val="-225"/>
                          <w:marRight w:val="-225"/>
                          <w:marTop w:val="0"/>
                          <w:marBottom w:val="0"/>
                          <w:divBdr>
                            <w:top w:val="none" w:sz="0" w:space="0" w:color="auto"/>
                            <w:left w:val="none" w:sz="0" w:space="0" w:color="auto"/>
                            <w:bottom w:val="none" w:sz="0" w:space="0" w:color="auto"/>
                            <w:right w:val="none" w:sz="0" w:space="0" w:color="auto"/>
                          </w:divBdr>
                          <w:divsChild>
                            <w:div w:id="53698873">
                              <w:marLeft w:val="0"/>
                              <w:marRight w:val="0"/>
                              <w:marTop w:val="0"/>
                              <w:marBottom w:val="0"/>
                              <w:divBdr>
                                <w:top w:val="none" w:sz="0" w:space="0" w:color="auto"/>
                                <w:left w:val="none" w:sz="0" w:space="0" w:color="auto"/>
                                <w:bottom w:val="none" w:sz="0" w:space="0" w:color="auto"/>
                                <w:right w:val="none" w:sz="0" w:space="0" w:color="auto"/>
                              </w:divBdr>
                              <w:divsChild>
                                <w:div w:id="80611158">
                                  <w:marLeft w:val="0"/>
                                  <w:marRight w:val="0"/>
                                  <w:marTop w:val="0"/>
                                  <w:marBottom w:val="0"/>
                                  <w:divBdr>
                                    <w:top w:val="none" w:sz="0" w:space="0" w:color="auto"/>
                                    <w:left w:val="none" w:sz="0" w:space="0" w:color="auto"/>
                                    <w:bottom w:val="none" w:sz="0" w:space="0" w:color="auto"/>
                                    <w:right w:val="none" w:sz="0" w:space="0" w:color="auto"/>
                                  </w:divBdr>
                                  <w:divsChild>
                                    <w:div w:id="284703985">
                                      <w:marLeft w:val="0"/>
                                      <w:marRight w:val="0"/>
                                      <w:marTop w:val="0"/>
                                      <w:marBottom w:val="0"/>
                                      <w:divBdr>
                                        <w:top w:val="none" w:sz="0" w:space="0" w:color="auto"/>
                                        <w:left w:val="none" w:sz="0" w:space="0" w:color="auto"/>
                                        <w:bottom w:val="none" w:sz="0" w:space="0" w:color="auto"/>
                                        <w:right w:val="none" w:sz="0" w:space="0" w:color="auto"/>
                                      </w:divBdr>
                                      <w:divsChild>
                                        <w:div w:id="1263799484">
                                          <w:marLeft w:val="-225"/>
                                          <w:marRight w:val="-225"/>
                                          <w:marTop w:val="0"/>
                                          <w:marBottom w:val="0"/>
                                          <w:divBdr>
                                            <w:top w:val="none" w:sz="0" w:space="0" w:color="auto"/>
                                            <w:left w:val="none" w:sz="0" w:space="0" w:color="auto"/>
                                            <w:bottom w:val="none" w:sz="0" w:space="0" w:color="auto"/>
                                            <w:right w:val="none" w:sz="0" w:space="0" w:color="auto"/>
                                          </w:divBdr>
                                          <w:divsChild>
                                            <w:div w:id="556555352">
                                              <w:marLeft w:val="0"/>
                                              <w:marRight w:val="0"/>
                                              <w:marTop w:val="0"/>
                                              <w:marBottom w:val="0"/>
                                              <w:divBdr>
                                                <w:top w:val="none" w:sz="0" w:space="0" w:color="auto"/>
                                                <w:left w:val="none" w:sz="0" w:space="0" w:color="auto"/>
                                                <w:bottom w:val="none" w:sz="0" w:space="0" w:color="auto"/>
                                                <w:right w:val="none" w:sz="0" w:space="0" w:color="auto"/>
                                              </w:divBdr>
                                              <w:divsChild>
                                                <w:div w:id="762264504">
                                                  <w:marLeft w:val="0"/>
                                                  <w:marRight w:val="0"/>
                                                  <w:marTop w:val="0"/>
                                                  <w:marBottom w:val="0"/>
                                                  <w:divBdr>
                                                    <w:top w:val="none" w:sz="0" w:space="0" w:color="auto"/>
                                                    <w:left w:val="none" w:sz="0" w:space="0" w:color="auto"/>
                                                    <w:bottom w:val="none" w:sz="0" w:space="0" w:color="auto"/>
                                                    <w:right w:val="none" w:sz="0" w:space="0" w:color="auto"/>
                                                  </w:divBdr>
                                                  <w:divsChild>
                                                    <w:div w:id="1609044931">
                                                      <w:marLeft w:val="0"/>
                                                      <w:marRight w:val="0"/>
                                                      <w:marTop w:val="0"/>
                                                      <w:marBottom w:val="0"/>
                                                      <w:divBdr>
                                                        <w:top w:val="none" w:sz="0" w:space="0" w:color="auto"/>
                                                        <w:left w:val="none" w:sz="0" w:space="0" w:color="auto"/>
                                                        <w:bottom w:val="none" w:sz="0" w:space="0" w:color="auto"/>
                                                        <w:right w:val="none" w:sz="0" w:space="0" w:color="auto"/>
                                                      </w:divBdr>
                                                      <w:divsChild>
                                                        <w:div w:id="1202790895">
                                                          <w:marLeft w:val="0"/>
                                                          <w:marRight w:val="0"/>
                                                          <w:marTop w:val="0"/>
                                                          <w:marBottom w:val="0"/>
                                                          <w:divBdr>
                                                            <w:top w:val="none" w:sz="0" w:space="0" w:color="auto"/>
                                                            <w:left w:val="none" w:sz="0" w:space="0" w:color="auto"/>
                                                            <w:bottom w:val="none" w:sz="0" w:space="0" w:color="auto"/>
                                                            <w:right w:val="none" w:sz="0" w:space="0" w:color="auto"/>
                                                          </w:divBdr>
                                                          <w:divsChild>
                                                            <w:div w:id="11352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920058">
      <w:bodyDiv w:val="1"/>
      <w:marLeft w:val="0"/>
      <w:marRight w:val="0"/>
      <w:marTop w:val="0"/>
      <w:marBottom w:val="0"/>
      <w:divBdr>
        <w:top w:val="none" w:sz="0" w:space="0" w:color="auto"/>
        <w:left w:val="none" w:sz="0" w:space="0" w:color="auto"/>
        <w:bottom w:val="none" w:sz="0" w:space="0" w:color="auto"/>
        <w:right w:val="none" w:sz="0" w:space="0" w:color="auto"/>
      </w:divBdr>
    </w:div>
    <w:div w:id="573901816">
      <w:bodyDiv w:val="1"/>
      <w:marLeft w:val="0"/>
      <w:marRight w:val="0"/>
      <w:marTop w:val="0"/>
      <w:marBottom w:val="0"/>
      <w:divBdr>
        <w:top w:val="none" w:sz="0" w:space="0" w:color="auto"/>
        <w:left w:val="none" w:sz="0" w:space="0" w:color="auto"/>
        <w:bottom w:val="none" w:sz="0" w:space="0" w:color="auto"/>
        <w:right w:val="none" w:sz="0" w:space="0" w:color="auto"/>
      </w:divBdr>
    </w:div>
    <w:div w:id="821235337">
      <w:bodyDiv w:val="1"/>
      <w:marLeft w:val="0"/>
      <w:marRight w:val="0"/>
      <w:marTop w:val="0"/>
      <w:marBottom w:val="0"/>
      <w:divBdr>
        <w:top w:val="none" w:sz="0" w:space="0" w:color="auto"/>
        <w:left w:val="none" w:sz="0" w:space="0" w:color="auto"/>
        <w:bottom w:val="none" w:sz="0" w:space="0" w:color="auto"/>
        <w:right w:val="none" w:sz="0" w:space="0" w:color="auto"/>
      </w:divBdr>
      <w:divsChild>
        <w:div w:id="1129393560">
          <w:marLeft w:val="0"/>
          <w:marRight w:val="0"/>
          <w:marTop w:val="0"/>
          <w:marBottom w:val="0"/>
          <w:divBdr>
            <w:top w:val="none" w:sz="0" w:space="0" w:color="auto"/>
            <w:left w:val="none" w:sz="0" w:space="0" w:color="auto"/>
            <w:bottom w:val="none" w:sz="0" w:space="0" w:color="auto"/>
            <w:right w:val="none" w:sz="0" w:space="0" w:color="auto"/>
          </w:divBdr>
          <w:divsChild>
            <w:div w:id="1290287036">
              <w:marLeft w:val="0"/>
              <w:marRight w:val="0"/>
              <w:marTop w:val="0"/>
              <w:marBottom w:val="0"/>
              <w:divBdr>
                <w:top w:val="none" w:sz="0" w:space="0" w:color="auto"/>
                <w:left w:val="none" w:sz="0" w:space="0" w:color="auto"/>
                <w:bottom w:val="none" w:sz="0" w:space="0" w:color="auto"/>
                <w:right w:val="none" w:sz="0" w:space="0" w:color="auto"/>
              </w:divBdr>
              <w:divsChild>
                <w:div w:id="1926574499">
                  <w:marLeft w:val="0"/>
                  <w:marRight w:val="0"/>
                  <w:marTop w:val="0"/>
                  <w:marBottom w:val="0"/>
                  <w:divBdr>
                    <w:top w:val="none" w:sz="0" w:space="0" w:color="auto"/>
                    <w:left w:val="none" w:sz="0" w:space="0" w:color="auto"/>
                    <w:bottom w:val="none" w:sz="0" w:space="0" w:color="auto"/>
                    <w:right w:val="none" w:sz="0" w:space="0" w:color="auto"/>
                  </w:divBdr>
                  <w:divsChild>
                    <w:div w:id="1884444558">
                      <w:marLeft w:val="0"/>
                      <w:marRight w:val="0"/>
                      <w:marTop w:val="0"/>
                      <w:marBottom w:val="0"/>
                      <w:divBdr>
                        <w:top w:val="none" w:sz="0" w:space="0" w:color="auto"/>
                        <w:left w:val="none" w:sz="0" w:space="0" w:color="auto"/>
                        <w:bottom w:val="none" w:sz="0" w:space="0" w:color="auto"/>
                        <w:right w:val="none" w:sz="0" w:space="0" w:color="auto"/>
                      </w:divBdr>
                      <w:divsChild>
                        <w:div w:id="1310404407">
                          <w:marLeft w:val="0"/>
                          <w:marRight w:val="0"/>
                          <w:marTop w:val="0"/>
                          <w:marBottom w:val="0"/>
                          <w:divBdr>
                            <w:top w:val="none" w:sz="0" w:space="0" w:color="auto"/>
                            <w:left w:val="none" w:sz="0" w:space="0" w:color="auto"/>
                            <w:bottom w:val="none" w:sz="0" w:space="0" w:color="auto"/>
                            <w:right w:val="none" w:sz="0" w:space="0" w:color="auto"/>
                          </w:divBdr>
                          <w:divsChild>
                            <w:div w:id="1956401303">
                              <w:marLeft w:val="0"/>
                              <w:marRight w:val="0"/>
                              <w:marTop w:val="0"/>
                              <w:marBottom w:val="0"/>
                              <w:divBdr>
                                <w:top w:val="none" w:sz="0" w:space="0" w:color="auto"/>
                                <w:left w:val="none" w:sz="0" w:space="0" w:color="auto"/>
                                <w:bottom w:val="none" w:sz="0" w:space="0" w:color="auto"/>
                                <w:right w:val="none" w:sz="0" w:space="0" w:color="auto"/>
                              </w:divBdr>
                              <w:divsChild>
                                <w:div w:id="844786752">
                                  <w:marLeft w:val="0"/>
                                  <w:marRight w:val="0"/>
                                  <w:marTop w:val="0"/>
                                  <w:marBottom w:val="0"/>
                                  <w:divBdr>
                                    <w:top w:val="none" w:sz="0" w:space="0" w:color="auto"/>
                                    <w:left w:val="none" w:sz="0" w:space="0" w:color="auto"/>
                                    <w:bottom w:val="none" w:sz="0" w:space="0" w:color="auto"/>
                                    <w:right w:val="none" w:sz="0" w:space="0" w:color="auto"/>
                                  </w:divBdr>
                                  <w:divsChild>
                                    <w:div w:id="27043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8174847">
      <w:bodyDiv w:val="1"/>
      <w:marLeft w:val="0"/>
      <w:marRight w:val="0"/>
      <w:marTop w:val="0"/>
      <w:marBottom w:val="0"/>
      <w:divBdr>
        <w:top w:val="none" w:sz="0" w:space="0" w:color="auto"/>
        <w:left w:val="none" w:sz="0" w:space="0" w:color="auto"/>
        <w:bottom w:val="none" w:sz="0" w:space="0" w:color="auto"/>
        <w:right w:val="none" w:sz="0" w:space="0" w:color="auto"/>
      </w:divBdr>
      <w:divsChild>
        <w:div w:id="1680042269">
          <w:marLeft w:val="0"/>
          <w:marRight w:val="0"/>
          <w:marTop w:val="0"/>
          <w:marBottom w:val="0"/>
          <w:divBdr>
            <w:top w:val="none" w:sz="0" w:space="0" w:color="auto"/>
            <w:left w:val="none" w:sz="0" w:space="0" w:color="auto"/>
            <w:bottom w:val="none" w:sz="0" w:space="0" w:color="auto"/>
            <w:right w:val="none" w:sz="0" w:space="0" w:color="auto"/>
          </w:divBdr>
          <w:divsChild>
            <w:div w:id="81147326">
              <w:marLeft w:val="0"/>
              <w:marRight w:val="0"/>
              <w:marTop w:val="0"/>
              <w:marBottom w:val="0"/>
              <w:divBdr>
                <w:top w:val="none" w:sz="0" w:space="0" w:color="auto"/>
                <w:left w:val="none" w:sz="0" w:space="0" w:color="auto"/>
                <w:bottom w:val="none" w:sz="0" w:space="0" w:color="auto"/>
                <w:right w:val="none" w:sz="0" w:space="0" w:color="auto"/>
              </w:divBdr>
              <w:divsChild>
                <w:div w:id="1247157183">
                  <w:marLeft w:val="0"/>
                  <w:marRight w:val="0"/>
                  <w:marTop w:val="0"/>
                  <w:marBottom w:val="0"/>
                  <w:divBdr>
                    <w:top w:val="none" w:sz="0" w:space="0" w:color="auto"/>
                    <w:left w:val="none" w:sz="0" w:space="0" w:color="auto"/>
                    <w:bottom w:val="none" w:sz="0" w:space="0" w:color="auto"/>
                    <w:right w:val="none" w:sz="0" w:space="0" w:color="auto"/>
                  </w:divBdr>
                  <w:divsChild>
                    <w:div w:id="1794518848">
                      <w:marLeft w:val="0"/>
                      <w:marRight w:val="0"/>
                      <w:marTop w:val="0"/>
                      <w:marBottom w:val="0"/>
                      <w:divBdr>
                        <w:top w:val="none" w:sz="0" w:space="0" w:color="auto"/>
                        <w:left w:val="none" w:sz="0" w:space="0" w:color="auto"/>
                        <w:bottom w:val="none" w:sz="0" w:space="0" w:color="auto"/>
                        <w:right w:val="none" w:sz="0" w:space="0" w:color="auto"/>
                      </w:divBdr>
                      <w:divsChild>
                        <w:div w:id="365180644">
                          <w:marLeft w:val="0"/>
                          <w:marRight w:val="0"/>
                          <w:marTop w:val="0"/>
                          <w:marBottom w:val="0"/>
                          <w:divBdr>
                            <w:top w:val="none" w:sz="0" w:space="0" w:color="auto"/>
                            <w:left w:val="none" w:sz="0" w:space="0" w:color="auto"/>
                            <w:bottom w:val="none" w:sz="0" w:space="0" w:color="auto"/>
                            <w:right w:val="none" w:sz="0" w:space="0" w:color="auto"/>
                          </w:divBdr>
                          <w:divsChild>
                            <w:div w:id="455376121">
                              <w:marLeft w:val="0"/>
                              <w:marRight w:val="0"/>
                              <w:marTop w:val="0"/>
                              <w:marBottom w:val="0"/>
                              <w:divBdr>
                                <w:top w:val="none" w:sz="0" w:space="0" w:color="auto"/>
                                <w:left w:val="none" w:sz="0" w:space="0" w:color="auto"/>
                                <w:bottom w:val="none" w:sz="0" w:space="0" w:color="auto"/>
                                <w:right w:val="none" w:sz="0" w:space="0" w:color="auto"/>
                              </w:divBdr>
                              <w:divsChild>
                                <w:div w:id="1729108784">
                                  <w:marLeft w:val="0"/>
                                  <w:marRight w:val="0"/>
                                  <w:marTop w:val="0"/>
                                  <w:marBottom w:val="0"/>
                                  <w:divBdr>
                                    <w:top w:val="none" w:sz="0" w:space="0" w:color="auto"/>
                                    <w:left w:val="none" w:sz="0" w:space="0" w:color="auto"/>
                                    <w:bottom w:val="none" w:sz="0" w:space="0" w:color="auto"/>
                                    <w:right w:val="none" w:sz="0" w:space="0" w:color="auto"/>
                                  </w:divBdr>
                                  <w:divsChild>
                                    <w:div w:id="38328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655460">
      <w:bodyDiv w:val="1"/>
      <w:marLeft w:val="0"/>
      <w:marRight w:val="0"/>
      <w:marTop w:val="0"/>
      <w:marBottom w:val="0"/>
      <w:divBdr>
        <w:top w:val="none" w:sz="0" w:space="0" w:color="auto"/>
        <w:left w:val="none" w:sz="0" w:space="0" w:color="auto"/>
        <w:bottom w:val="none" w:sz="0" w:space="0" w:color="auto"/>
        <w:right w:val="none" w:sz="0" w:space="0" w:color="auto"/>
      </w:divBdr>
      <w:divsChild>
        <w:div w:id="36438194">
          <w:marLeft w:val="0"/>
          <w:marRight w:val="0"/>
          <w:marTop w:val="0"/>
          <w:marBottom w:val="0"/>
          <w:divBdr>
            <w:top w:val="none" w:sz="0" w:space="0" w:color="auto"/>
            <w:left w:val="none" w:sz="0" w:space="0" w:color="auto"/>
            <w:bottom w:val="none" w:sz="0" w:space="0" w:color="auto"/>
            <w:right w:val="none" w:sz="0" w:space="0" w:color="auto"/>
          </w:divBdr>
          <w:divsChild>
            <w:div w:id="1168639560">
              <w:marLeft w:val="0"/>
              <w:marRight w:val="0"/>
              <w:marTop w:val="0"/>
              <w:marBottom w:val="0"/>
              <w:divBdr>
                <w:top w:val="none" w:sz="0" w:space="0" w:color="auto"/>
                <w:left w:val="none" w:sz="0" w:space="0" w:color="auto"/>
                <w:bottom w:val="none" w:sz="0" w:space="0" w:color="auto"/>
                <w:right w:val="none" w:sz="0" w:space="0" w:color="auto"/>
              </w:divBdr>
              <w:divsChild>
                <w:div w:id="137771424">
                  <w:marLeft w:val="0"/>
                  <w:marRight w:val="0"/>
                  <w:marTop w:val="0"/>
                  <w:marBottom w:val="0"/>
                  <w:divBdr>
                    <w:top w:val="none" w:sz="0" w:space="0" w:color="auto"/>
                    <w:left w:val="none" w:sz="0" w:space="0" w:color="auto"/>
                    <w:bottom w:val="none" w:sz="0" w:space="0" w:color="auto"/>
                    <w:right w:val="none" w:sz="0" w:space="0" w:color="auto"/>
                  </w:divBdr>
                  <w:divsChild>
                    <w:div w:id="800808893">
                      <w:marLeft w:val="0"/>
                      <w:marRight w:val="0"/>
                      <w:marTop w:val="0"/>
                      <w:marBottom w:val="0"/>
                      <w:divBdr>
                        <w:top w:val="none" w:sz="0" w:space="0" w:color="auto"/>
                        <w:left w:val="none" w:sz="0" w:space="0" w:color="auto"/>
                        <w:bottom w:val="none" w:sz="0" w:space="0" w:color="auto"/>
                        <w:right w:val="none" w:sz="0" w:space="0" w:color="auto"/>
                      </w:divBdr>
                      <w:divsChild>
                        <w:div w:id="2129466514">
                          <w:marLeft w:val="0"/>
                          <w:marRight w:val="0"/>
                          <w:marTop w:val="0"/>
                          <w:marBottom w:val="0"/>
                          <w:divBdr>
                            <w:top w:val="none" w:sz="0" w:space="0" w:color="auto"/>
                            <w:left w:val="none" w:sz="0" w:space="0" w:color="auto"/>
                            <w:bottom w:val="none" w:sz="0" w:space="0" w:color="auto"/>
                            <w:right w:val="none" w:sz="0" w:space="0" w:color="auto"/>
                          </w:divBdr>
                          <w:divsChild>
                            <w:div w:id="1416364956">
                              <w:marLeft w:val="0"/>
                              <w:marRight w:val="0"/>
                              <w:marTop w:val="0"/>
                              <w:marBottom w:val="0"/>
                              <w:divBdr>
                                <w:top w:val="none" w:sz="0" w:space="0" w:color="auto"/>
                                <w:left w:val="none" w:sz="0" w:space="0" w:color="auto"/>
                                <w:bottom w:val="none" w:sz="0" w:space="0" w:color="auto"/>
                                <w:right w:val="none" w:sz="0" w:space="0" w:color="auto"/>
                              </w:divBdr>
                              <w:divsChild>
                                <w:div w:id="182911245">
                                  <w:marLeft w:val="0"/>
                                  <w:marRight w:val="0"/>
                                  <w:marTop w:val="0"/>
                                  <w:marBottom w:val="0"/>
                                  <w:divBdr>
                                    <w:top w:val="none" w:sz="0" w:space="0" w:color="auto"/>
                                    <w:left w:val="none" w:sz="0" w:space="0" w:color="auto"/>
                                    <w:bottom w:val="none" w:sz="0" w:space="0" w:color="auto"/>
                                    <w:right w:val="none" w:sz="0" w:space="0" w:color="auto"/>
                                  </w:divBdr>
                                  <w:divsChild>
                                    <w:div w:id="194048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583947">
      <w:bodyDiv w:val="1"/>
      <w:marLeft w:val="0"/>
      <w:marRight w:val="0"/>
      <w:marTop w:val="0"/>
      <w:marBottom w:val="0"/>
      <w:divBdr>
        <w:top w:val="none" w:sz="0" w:space="0" w:color="auto"/>
        <w:left w:val="none" w:sz="0" w:space="0" w:color="auto"/>
        <w:bottom w:val="none" w:sz="0" w:space="0" w:color="auto"/>
        <w:right w:val="none" w:sz="0" w:space="0" w:color="auto"/>
      </w:divBdr>
    </w:div>
    <w:div w:id="1694918001">
      <w:bodyDiv w:val="1"/>
      <w:marLeft w:val="0"/>
      <w:marRight w:val="0"/>
      <w:marTop w:val="0"/>
      <w:marBottom w:val="0"/>
      <w:divBdr>
        <w:top w:val="none" w:sz="0" w:space="0" w:color="auto"/>
        <w:left w:val="none" w:sz="0" w:space="0" w:color="auto"/>
        <w:bottom w:val="none" w:sz="0" w:space="0" w:color="auto"/>
        <w:right w:val="none" w:sz="0" w:space="0" w:color="auto"/>
      </w:divBdr>
    </w:div>
    <w:div w:id="1780642849">
      <w:bodyDiv w:val="1"/>
      <w:marLeft w:val="0"/>
      <w:marRight w:val="0"/>
      <w:marTop w:val="0"/>
      <w:marBottom w:val="0"/>
      <w:divBdr>
        <w:top w:val="none" w:sz="0" w:space="0" w:color="auto"/>
        <w:left w:val="none" w:sz="0" w:space="0" w:color="auto"/>
        <w:bottom w:val="none" w:sz="0" w:space="0" w:color="auto"/>
        <w:right w:val="none" w:sz="0" w:space="0" w:color="auto"/>
      </w:divBdr>
    </w:div>
    <w:div w:id="179667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planning.act.gov.au/topics/current_projects/act_building_regulatory_system_review"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saplanningportal.sa.gov.au/__data/assets/pdf_file/0011/525890/Draft_Planning_Development_and_Infrastructure_General_Development_Assessment_Variation_Regulations_2019.pdf"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fairtrading.nsw.gov.au/__data/assets/pdf_file/0007/451375/Response-to-Shergold-Weir-Building-Confidence-Report.pdf" TargetMode="External"/><Relationship Id="rId1" Type="http://schemas.openxmlformats.org/officeDocument/2006/relationships/hyperlink" Target="https://www.industry.gov.au/regulation-and-standards/building-and-construction/building-ministers-forum/building-ministers-forum-sub-grou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E3DA7483E3942B0DF135A9FE31E6A" ma:contentTypeVersion="16" ma:contentTypeDescription="Create a new document." ma:contentTypeScope="" ma:versionID="8a140a16ce5bd2ca186de8a29f12acf5">
  <xsd:schema xmlns:xsd="http://www.w3.org/2001/XMLSchema" xmlns:xs="http://www.w3.org/2001/XMLSchema" xmlns:p="http://schemas.microsoft.com/office/2006/metadata/properties" xmlns:ns1="http://schemas.microsoft.com/sharepoint/v3" xmlns:ns2="498945f5-0448-4b4c-97d9-fcd4d7a5a1b1" targetNamespace="http://schemas.microsoft.com/office/2006/metadata/properties" ma:root="true" ma:fieldsID="09fe99f77d8fb3e5c96c5d0d62f5f5c6" ns1:_="" ns2:_="">
    <xsd:import namespace="http://schemas.microsoft.com/sharepoint/v3"/>
    <xsd:import namespace="498945f5-0448-4b4c-97d9-fcd4d7a5a1b1"/>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MeetingDate" minOccurs="0"/>
                <xsd:element ref="ns2:DocHub_PDMSNumber"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945f5-0448-4b4c-97d9-fcd4d7a5a1b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32c53e56-ba7a-482a-8980-6f177a156077}" ma:internalName="TaxCatchAll" ma:showField="CatchAllData" ma:web="498945f5-0448-4b4c-97d9-fcd4d7a5a1b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2bfc713d-067c-4d39-b284-75f65e0f335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MeetingDate" ma:index="23" nillable="true" ma:displayName="Meeting Date" ma:description="Date of the meeting (DD/MM/YYYY)" ma:format="DateOnly" ma:internalName="DocHub_MeetingDate">
      <xsd:simpleType>
        <xsd:restriction base="dms:DateTime"/>
      </xsd:simpleType>
    </xsd:element>
    <xsd:element name="DocHub_PDMSNumber" ma:index="24" nillable="true" ma:displayName="PDMS Number" ma:description="Parliamentary Document Management System (PDMS) Reference Number" ma:internalName="DocHub_PDMSNumber">
      <xsd:simpleType>
        <xsd:restriction base="dms:Text"/>
      </xsd:simpleType>
    </xsd:element>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e2555c81638466f9eb614edb9ecde52 xmlns="498945f5-0448-4b4c-97d9-fcd4d7a5a1b1">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TaxCatchAll xmlns="498945f5-0448-4b4c-97d9-fcd4d7a5a1b1">
      <Value>25</Value>
      <Value>448</Value>
      <Value>917</Value>
      <Value>333</Value>
      <Value>21</Value>
    </TaxCatchAll>
    <g7bcb40ba23249a78edca7d43a67c1c9 xmlns="498945f5-0448-4b4c-97d9-fcd4d7a5a1b1">
      <Terms xmlns="http://schemas.microsoft.com/office/infopath/2007/PartnerControls">
        <TermInfo xmlns="http://schemas.microsoft.com/office/infopath/2007/PartnerControls">
          <TermName xmlns="http://schemas.microsoft.com/office/infopath/2007/PartnerControls">Implementation</TermName>
          <TermId xmlns="http://schemas.microsoft.com/office/infopath/2007/PartnerControls">ea9b5704-1581-46a9-b892-10cea3ee5b0b</TermId>
        </TermInfo>
      </Terms>
    </g7bcb40ba23249a78edca7d43a67c1c9>
    <n99e4c9942c6404eb103464a00e6097b xmlns="498945f5-0448-4b4c-97d9-fcd4d7a5a1b1">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7e451fe0-4dc6-437a-a849-bab7965a9aee</TermId>
        </TermInfo>
      </Terms>
    </n99e4c9942c6404eb103464a00e6097b>
    <adb9bed2e36e4a93af574aeb444da63e xmlns="498945f5-0448-4b4c-97d9-fcd4d7a5a1b1">
      <Terms xmlns="http://schemas.microsoft.com/office/infopath/2007/PartnerControls">
        <TermInfo xmlns="http://schemas.microsoft.com/office/infopath/2007/PartnerControls">
          <TermName xmlns="http://schemas.microsoft.com/office/infopath/2007/PartnerControls">BMF</TermName>
          <TermId xmlns="http://schemas.microsoft.com/office/infopath/2007/PartnerControls">0bdebc11-d115-4f7c-a53e-ebe66709e38c</TermId>
        </TermInfo>
      </Terms>
    </adb9bed2e36e4a93af574aeb444da63e>
    <DocHub_PDMSNumber xmlns="498945f5-0448-4b4c-97d9-fcd4d7a5a1b1" xsi:nil="true"/>
    <aa25a1a23adf4c92a153145de6afe324 xmlns="498945f5-0448-4b4c-97d9-fcd4d7a5a1b1">
      <Terms xmlns="http://schemas.microsoft.com/office/infopath/2007/PartnerControls">
        <TermInfo xmlns="http://schemas.microsoft.com/office/infopath/2007/PartnerControls">
          <TermName xmlns="http://schemas.microsoft.com/office/infopath/2007/PartnerControls">For Official Use Only</TermName>
          <TermId xmlns="http://schemas.microsoft.com/office/infopath/2007/PartnerControls">11f6fb0b-52ce-4109-8f7f-521b2a62f692</TermId>
        </TermInfo>
      </Terms>
    </aa25a1a23adf4c92a153145de6afe324>
    <Comments xmlns="http://schemas.microsoft.com/sharepoint/v3" xsi:nil="true"/>
    <_dlc_DocId xmlns="498945f5-0448-4b4c-97d9-fcd4d7a5a1b1">A3PSR54DD4M5-1517999795-242</_dlc_DocId>
    <_dlc_DocIdUrl xmlns="498945f5-0448-4b4c-97d9-fcd4d7a5a1b1">
      <Url>https://dochub/div/sectoralgrowthpolicy/committeesandgroups/buildingministersforum/_layouts/15/DocIdRedir.aspx?ID=A3PSR54DD4M5-1517999795-242</Url>
      <Description>A3PSR54DD4M5-1517999795-242</Description>
    </_dlc_DocIdUrl>
    <DocHub_MeetingDate xmlns="498945f5-0448-4b4c-97d9-fcd4d7a5a1b1">2019-02-07T13:00:00+00:00</DocHub_MeetingDat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E36CE-8108-4210-B554-F2A5586E71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98945f5-0448-4b4c-97d9-fcd4d7a5a1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3A9077-FFF1-4B4E-A786-B568B2A83428}">
  <ds:schemaRefs>
    <ds:schemaRef ds:uri="http://schemas.microsoft.com/sharepoint/v3/contenttype/forms"/>
  </ds:schemaRefs>
</ds:datastoreItem>
</file>

<file path=customXml/itemProps3.xml><?xml version="1.0" encoding="utf-8"?>
<ds:datastoreItem xmlns:ds="http://schemas.openxmlformats.org/officeDocument/2006/customXml" ds:itemID="{3D93020D-8247-4D80-827C-10B00047F68F}">
  <ds:schemaRef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498945f5-0448-4b4c-97d9-fcd4d7a5a1b1"/>
    <ds:schemaRef ds:uri="http://www.w3.org/XML/1998/namespace"/>
    <ds:schemaRef ds:uri="http://purl.org/dc/dcmitype/"/>
  </ds:schemaRefs>
</ds:datastoreItem>
</file>

<file path=customXml/itemProps4.xml><?xml version="1.0" encoding="utf-8"?>
<ds:datastoreItem xmlns:ds="http://schemas.openxmlformats.org/officeDocument/2006/customXml" ds:itemID="{25FF2849-589D-4997-8B06-F0D674871053}">
  <ds:schemaRefs>
    <ds:schemaRef ds:uri="http://schemas.microsoft.com/sharepoint/events"/>
  </ds:schemaRefs>
</ds:datastoreItem>
</file>

<file path=customXml/itemProps5.xml><?xml version="1.0" encoding="utf-8"?>
<ds:datastoreItem xmlns:ds="http://schemas.openxmlformats.org/officeDocument/2006/customXml" ds:itemID="{D392E641-3311-41A4-A390-8B7AEB160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28</Pages>
  <Words>9789</Words>
  <Characters>55801</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Implementation Plan for Reform – Building Confidence Report Recommendations</vt:lpstr>
    </vt:vector>
  </TitlesOfParts>
  <Company/>
  <LinksUpToDate>false</LinksUpToDate>
  <CharactersWithSpaces>65460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Plan for Reform – Building Confidence Report Recommendations</dc:title>
  <dc:subject/>
  <dc:creator>VANTUINEN Nicholas</dc:creator>
  <cp:keywords/>
  <dc:description/>
  <cp:lastModifiedBy>Francis, Sophie</cp:lastModifiedBy>
  <cp:revision>9</cp:revision>
  <cp:lastPrinted>2019-03-07T00:55:00Z</cp:lastPrinted>
  <dcterms:created xsi:type="dcterms:W3CDTF">2019-03-20T05:23:00Z</dcterms:created>
  <dcterms:modified xsi:type="dcterms:W3CDTF">2019-03-24T23:14:00Z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0x0101003B6E3DA7483E3942B0DF135A9FE31E6A</vt:lpwstr>
  </property>
  <property fmtid="{D5CDD505-2E9C-101B-9397-08002B2CF9AE}" pid="3" name="_dlc_DocIdItemGuid">
    <vt:lpwstr>eecf83a8-1703-4aea-ba9b-b2e5ba227b89</vt:lpwstr>
  </property>
  <property fmtid="{D5CDD505-2E9C-101B-9397-08002B2CF9AE}" pid="4" name="DocHub_Year">
    <vt:lpwstr>917;#2019|7e451fe0-4dc6-437a-a849-bab7965a9aee</vt:lpwstr>
  </property>
  <property fmtid="{D5CDD505-2E9C-101B-9397-08002B2CF9AE}" pid="5" name="DocHub_DocumentType">
    <vt:lpwstr>21;#Report|116a9244-cef6-47ce-a9a5-088c9cf21292</vt:lpwstr>
  </property>
  <property fmtid="{D5CDD505-2E9C-101B-9397-08002B2CF9AE}" pid="6" name="DocHub_SecurityClassification">
    <vt:lpwstr>25;#For Official Use Only|11f6fb0b-52ce-4109-8f7f-521b2a62f692</vt:lpwstr>
  </property>
  <property fmtid="{D5CDD505-2E9C-101B-9397-08002B2CF9AE}" pid="7" name="DocHub_Topic">
    <vt:lpwstr>1994;#Shergold and Weir Assessment|1c9a54b4-c4a9-4c00-b2fc-cd5181dedff2</vt:lpwstr>
  </property>
  <property fmtid="{D5CDD505-2E9C-101B-9397-08002B2CF9AE}" pid="8" name="DocHub_Forums/Committees">
    <vt:lpwstr>2013;#Senior Officers’ Group|6a6eab66-ffb3-4555-a038-e751fdc8d565</vt:lpwstr>
  </property>
  <property fmtid="{D5CDD505-2E9C-101B-9397-08002B2CF9AE}" pid="9" name="DocHub_Keywords">
    <vt:lpwstr>448;#BMF|0bdebc11-d115-4f7c-a53e-ebe66709e38c</vt:lpwstr>
  </property>
  <property fmtid="{D5CDD505-2E9C-101B-9397-08002B2CF9AE}" pid="10" name="DocHub_BriefingCorrespondenceType">
    <vt:lpwstr/>
  </property>
  <property fmtid="{D5CDD505-2E9C-101B-9397-08002B2CF9AE}" pid="11" name="DocHub_WorkActivity">
    <vt:lpwstr>333;#Implementation|ea9b5704-1581-46a9-b892-10cea3ee5b0b</vt:lpwstr>
  </property>
  <property fmtid="{D5CDD505-2E9C-101B-9397-08002B2CF9AE}" pid="12" name="DocHub_BuildingIndustryMinisters">
    <vt:lpwstr/>
  </property>
</Properties>
</file>