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2D2" w:rsidRPr="000972D2" w:rsidRDefault="000972D2" w:rsidP="000972D2">
      <w:pPr>
        <w:spacing w:before="360" w:after="0" w:line="240" w:lineRule="auto"/>
        <w:jc w:val="center"/>
        <w:rPr>
          <w:rFonts w:ascii="Times New Roman" w:eastAsia="Times New Roman" w:hAnsi="Times New Roman" w:cs="Times New Roman"/>
          <w:sz w:val="24"/>
          <w:szCs w:val="24"/>
        </w:rPr>
      </w:pPr>
      <w:bookmarkStart w:id="0" w:name="_GoBack"/>
      <w:bookmarkEnd w:id="0"/>
      <w:r w:rsidRPr="000972D2">
        <w:rPr>
          <w:rFonts w:ascii="Times New Roman" w:eastAsia="Times New Roman" w:hAnsi="Times New Roman" w:cs="Times New Roman"/>
          <w:caps/>
          <w:noProof/>
          <w:sz w:val="24"/>
          <w:szCs w:val="24"/>
          <w:lang w:eastAsia="en-AU"/>
        </w:rPr>
        <w:drawing>
          <wp:inline distT="0" distB="0" distL="0" distR="0" wp14:anchorId="12F1EE37" wp14:editId="12F1EE38">
            <wp:extent cx="2465705" cy="1371600"/>
            <wp:effectExtent l="0" t="0" r="0" b="0"/>
            <wp:docPr id="5"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rsidR="000972D2" w:rsidRPr="000972D2" w:rsidRDefault="000972D2" w:rsidP="00367763">
      <w:pPr>
        <w:spacing w:before="1560" w:after="0" w:line="240" w:lineRule="auto"/>
        <w:jc w:val="center"/>
        <w:rPr>
          <w:rFonts w:ascii="Times New Roman" w:eastAsia="Times New Roman" w:hAnsi="Times New Roman" w:cs="Times New Roman"/>
          <w:sz w:val="36"/>
          <w:szCs w:val="36"/>
        </w:rPr>
      </w:pPr>
      <w:r w:rsidRPr="000972D2">
        <w:rPr>
          <w:rFonts w:ascii="Times New Roman" w:eastAsia="Times New Roman" w:hAnsi="Times New Roman" w:cs="Times New Roman"/>
          <w:sz w:val="36"/>
          <w:szCs w:val="36"/>
        </w:rPr>
        <w:t xml:space="preserve">Australian Government response to the </w:t>
      </w:r>
      <w:r w:rsidRPr="000972D2">
        <w:rPr>
          <w:rFonts w:ascii="Times New Roman" w:eastAsia="Times New Roman" w:hAnsi="Times New Roman" w:cs="Times New Roman"/>
          <w:sz w:val="36"/>
          <w:szCs w:val="36"/>
        </w:rPr>
        <w:br/>
      </w:r>
      <w:r w:rsidR="00132E18" w:rsidRPr="00132E18">
        <w:rPr>
          <w:rFonts w:ascii="Times New Roman" w:eastAsia="Times New Roman" w:hAnsi="Times New Roman" w:cs="Times New Roman"/>
          <w:sz w:val="36"/>
          <w:szCs w:val="36"/>
        </w:rPr>
        <w:t>Environment and Communications References Committee</w:t>
      </w:r>
      <w:r w:rsidR="00FF54D4">
        <w:rPr>
          <w:rFonts w:ascii="Times New Roman" w:eastAsia="Times New Roman" w:hAnsi="Times New Roman" w:cs="Times New Roman"/>
          <w:sz w:val="36"/>
          <w:szCs w:val="36"/>
        </w:rPr>
        <w:t xml:space="preserve"> </w:t>
      </w:r>
      <w:r w:rsidRPr="000972D2">
        <w:rPr>
          <w:rFonts w:ascii="Times New Roman" w:eastAsia="Times New Roman" w:hAnsi="Times New Roman" w:cs="Times New Roman"/>
          <w:sz w:val="36"/>
          <w:szCs w:val="36"/>
        </w:rPr>
        <w:t>report:</w:t>
      </w:r>
    </w:p>
    <w:p w:rsidR="000972D2" w:rsidRDefault="00FF54D4" w:rsidP="000972D2">
      <w:pPr>
        <w:spacing w:before="240" w:after="0" w:line="240" w:lineRule="auto"/>
        <w:jc w:val="center"/>
        <w:rPr>
          <w:rFonts w:ascii="Times New Roman" w:eastAsia="Times New Roman" w:hAnsi="Times New Roman" w:cs="Times New Roman"/>
          <w:sz w:val="36"/>
          <w:szCs w:val="36"/>
        </w:rPr>
      </w:pPr>
      <w:r w:rsidRPr="00FF54D4">
        <w:rPr>
          <w:rFonts w:ascii="Times New Roman" w:eastAsia="Times New Roman" w:hAnsi="Times New Roman" w:cs="Times New Roman"/>
          <w:sz w:val="36"/>
          <w:szCs w:val="36"/>
        </w:rPr>
        <w:t>Oil or gas production in the Great Australian Bight</w:t>
      </w:r>
    </w:p>
    <w:p w:rsidR="00B115E7" w:rsidRPr="000972D2" w:rsidRDefault="00B115E7" w:rsidP="000972D2">
      <w:pPr>
        <w:spacing w:before="240"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August 2017</w:t>
      </w:r>
    </w:p>
    <w:p w:rsidR="00367763" w:rsidRDefault="00367763" w:rsidP="000972D2">
      <w:pPr>
        <w:jc w:val="right"/>
      </w:pPr>
    </w:p>
    <w:p w:rsidR="00367763" w:rsidRDefault="00367763">
      <w:r>
        <w:br w:type="page"/>
      </w:r>
    </w:p>
    <w:p w:rsidR="00167868" w:rsidRPr="00477563" w:rsidRDefault="00424D01">
      <w:pPr>
        <w:pStyle w:val="Heading1"/>
      </w:pPr>
      <w:r w:rsidRPr="00477563">
        <w:lastRenderedPageBreak/>
        <w:t>Introduction</w:t>
      </w:r>
    </w:p>
    <w:p w:rsidR="002A72C5" w:rsidRDefault="002A72C5" w:rsidP="00EE690F">
      <w:pPr>
        <w:rPr>
          <w:rFonts w:ascii="Times New Roman" w:hAnsi="Times New Roman" w:cs="Times New Roman"/>
          <w:bCs/>
          <w:sz w:val="24"/>
          <w:szCs w:val="24"/>
        </w:rPr>
      </w:pPr>
      <w:r w:rsidRPr="002A72C5">
        <w:rPr>
          <w:rFonts w:ascii="Times New Roman" w:hAnsi="Times New Roman" w:cs="Times New Roman"/>
          <w:bCs/>
          <w:sz w:val="24"/>
          <w:szCs w:val="24"/>
        </w:rPr>
        <w:t xml:space="preserve">The </w:t>
      </w:r>
      <w:r w:rsidR="00127609">
        <w:rPr>
          <w:rFonts w:ascii="Times New Roman" w:hAnsi="Times New Roman" w:cs="Times New Roman"/>
          <w:bCs/>
          <w:sz w:val="24"/>
          <w:szCs w:val="24"/>
        </w:rPr>
        <w:t>Australian Government</w:t>
      </w:r>
      <w:r w:rsidRPr="002A72C5">
        <w:rPr>
          <w:rFonts w:ascii="Times New Roman" w:hAnsi="Times New Roman" w:cs="Times New Roman"/>
          <w:bCs/>
          <w:sz w:val="24"/>
          <w:szCs w:val="24"/>
        </w:rPr>
        <w:t xml:space="preserve"> welcomes </w:t>
      </w:r>
      <w:r w:rsidR="00127609">
        <w:rPr>
          <w:rFonts w:ascii="Times New Roman" w:hAnsi="Times New Roman" w:cs="Times New Roman"/>
          <w:bCs/>
          <w:sz w:val="24"/>
          <w:szCs w:val="24"/>
        </w:rPr>
        <w:t>the report by the Senate Environment and Communications References Committee in relation to the inquiry into o</w:t>
      </w:r>
      <w:r w:rsidRPr="002A72C5">
        <w:rPr>
          <w:rFonts w:ascii="Times New Roman" w:hAnsi="Times New Roman" w:cs="Times New Roman"/>
          <w:bCs/>
          <w:sz w:val="24"/>
          <w:szCs w:val="24"/>
        </w:rPr>
        <w:t>il or gas production in the Great Australian Bight</w:t>
      </w:r>
      <w:r w:rsidR="00127609">
        <w:rPr>
          <w:rFonts w:ascii="Times New Roman" w:hAnsi="Times New Roman" w:cs="Times New Roman"/>
          <w:bCs/>
          <w:sz w:val="24"/>
          <w:szCs w:val="24"/>
        </w:rPr>
        <w:t xml:space="preserve"> and thanks those individuals and organisations who contributed to this inquiry in preparing written submissions or appearing at the public hearings</w:t>
      </w:r>
      <w:r w:rsidRPr="002A72C5">
        <w:rPr>
          <w:rFonts w:ascii="Times New Roman" w:hAnsi="Times New Roman" w:cs="Times New Roman"/>
          <w:bCs/>
          <w:sz w:val="24"/>
          <w:szCs w:val="24"/>
        </w:rPr>
        <w:t xml:space="preserve">. </w:t>
      </w:r>
    </w:p>
    <w:p w:rsidR="00B115E7" w:rsidRPr="00283885" w:rsidRDefault="00B115E7" w:rsidP="00283885">
      <w:pPr>
        <w:rPr>
          <w:rFonts w:ascii="Times New Roman" w:hAnsi="Times New Roman" w:cs="Times New Roman"/>
          <w:bCs/>
          <w:sz w:val="24"/>
          <w:szCs w:val="24"/>
        </w:rPr>
      </w:pPr>
      <w:r w:rsidRPr="00283885">
        <w:rPr>
          <w:rFonts w:ascii="Times New Roman" w:hAnsi="Times New Roman" w:cs="Times New Roman"/>
          <w:bCs/>
          <w:sz w:val="24"/>
          <w:szCs w:val="24"/>
        </w:rPr>
        <w:t xml:space="preserve">The Government is committed to encouraging the exploration for, and development of, Australia’s offshore petroleum (oil and gas) resources. This includes the Great Australian Bight, where offshore petroleum exploration has occurred safely since the late 1960s. </w:t>
      </w:r>
    </w:p>
    <w:p w:rsidR="00B115E7" w:rsidRPr="00283885" w:rsidRDefault="00B115E7" w:rsidP="00283885">
      <w:pPr>
        <w:rPr>
          <w:rFonts w:ascii="Times New Roman" w:hAnsi="Times New Roman" w:cs="Times New Roman"/>
          <w:bCs/>
          <w:sz w:val="24"/>
          <w:szCs w:val="24"/>
        </w:rPr>
      </w:pPr>
      <w:r w:rsidRPr="00283885">
        <w:rPr>
          <w:rFonts w:ascii="Times New Roman" w:hAnsi="Times New Roman" w:cs="Times New Roman"/>
          <w:bCs/>
          <w:sz w:val="24"/>
          <w:szCs w:val="24"/>
        </w:rPr>
        <w:t>Australia has a strong track record of discovering and developing its natural resource base and our regulatory framework requires stringent health, safety and environmental protection.</w:t>
      </w:r>
      <w:r>
        <w:rPr>
          <w:rFonts w:ascii="Times New Roman" w:hAnsi="Times New Roman" w:cs="Times New Roman"/>
          <w:bCs/>
          <w:sz w:val="24"/>
          <w:szCs w:val="24"/>
        </w:rPr>
        <w:t xml:space="preserve"> </w:t>
      </w:r>
      <w:r w:rsidRPr="00283885">
        <w:rPr>
          <w:rFonts w:ascii="Times New Roman" w:hAnsi="Times New Roman" w:cs="Times New Roman"/>
          <w:bCs/>
          <w:sz w:val="24"/>
          <w:szCs w:val="24"/>
        </w:rPr>
        <w:t>Australia’s future economic prosperity is underpinned by maintaining a steady stream of new mineral and energy projects and regulatory certainty is fundamental to Australia’s appeal as an investment destination.</w:t>
      </w:r>
    </w:p>
    <w:p w:rsidR="00132E18" w:rsidRDefault="00132E18" w:rsidP="002C75FD">
      <w:pPr>
        <w:pStyle w:val="Heading1"/>
      </w:pPr>
      <w:r w:rsidRPr="00132E18">
        <w:t>Oil or gas production in the Great Australian Bight</w:t>
      </w:r>
      <w:r w:rsidR="001F526F">
        <w:t xml:space="preserve"> Recommendations </w:t>
      </w:r>
    </w:p>
    <w:p w:rsidR="00CB53A9" w:rsidRDefault="00127609" w:rsidP="007F03C7">
      <w:pPr>
        <w:rPr>
          <w:rFonts w:ascii="Times New Roman" w:hAnsi="Times New Roman" w:cs="Times New Roman"/>
          <w:bCs/>
          <w:sz w:val="24"/>
          <w:szCs w:val="24"/>
        </w:rPr>
      </w:pPr>
      <w:r>
        <w:rPr>
          <w:rFonts w:ascii="Times New Roman" w:hAnsi="Times New Roman" w:cs="Times New Roman"/>
          <w:bCs/>
          <w:sz w:val="24"/>
          <w:szCs w:val="24"/>
        </w:rPr>
        <w:t>The Government notes the report does not include any majority recommendations</w:t>
      </w:r>
      <w:r w:rsidR="00312110">
        <w:rPr>
          <w:rFonts w:ascii="Times New Roman" w:hAnsi="Times New Roman" w:cs="Times New Roman"/>
          <w:bCs/>
          <w:sz w:val="24"/>
          <w:szCs w:val="24"/>
        </w:rPr>
        <w:t>, with additional comments provided by the Senators</w:t>
      </w:r>
      <w:r>
        <w:rPr>
          <w:rFonts w:ascii="Times New Roman" w:hAnsi="Times New Roman" w:cs="Times New Roman"/>
          <w:bCs/>
          <w:sz w:val="24"/>
          <w:szCs w:val="24"/>
        </w:rPr>
        <w:t xml:space="preserve">. </w:t>
      </w:r>
      <w:r w:rsidR="00CB53A9" w:rsidRPr="00CB53A9">
        <w:rPr>
          <w:rFonts w:ascii="Times New Roman" w:hAnsi="Times New Roman" w:cs="Times New Roman"/>
          <w:bCs/>
          <w:sz w:val="24"/>
          <w:szCs w:val="24"/>
        </w:rPr>
        <w:t xml:space="preserve">The Government’s response to each recommendation made in the </w:t>
      </w:r>
      <w:r w:rsidR="00C468B4">
        <w:rPr>
          <w:rFonts w:ascii="Times New Roman" w:hAnsi="Times New Roman" w:cs="Times New Roman"/>
          <w:bCs/>
          <w:sz w:val="24"/>
          <w:szCs w:val="24"/>
        </w:rPr>
        <w:t>additional comments</w:t>
      </w:r>
      <w:r w:rsidR="00CB53A9" w:rsidRPr="00CB53A9">
        <w:rPr>
          <w:rFonts w:ascii="Times New Roman" w:hAnsi="Times New Roman" w:cs="Times New Roman"/>
          <w:bCs/>
          <w:sz w:val="24"/>
          <w:szCs w:val="24"/>
        </w:rPr>
        <w:t xml:space="preserve"> is provided below.</w:t>
      </w:r>
    </w:p>
    <w:p w:rsidR="00305E10" w:rsidRPr="001F526F" w:rsidRDefault="00646B42" w:rsidP="002C75FD">
      <w:pPr>
        <w:pStyle w:val="Heading2"/>
      </w:pPr>
      <w:r w:rsidRPr="00FF54D4">
        <w:t xml:space="preserve">Recommendations in the </w:t>
      </w:r>
      <w:r w:rsidR="00127609">
        <w:t xml:space="preserve">additional comments from the </w:t>
      </w:r>
      <w:r w:rsidR="00132E18" w:rsidRPr="00132E18">
        <w:t>Australian Greens</w:t>
      </w:r>
    </w:p>
    <w:p w:rsidR="00B20709" w:rsidRDefault="00B20709" w:rsidP="00283885">
      <w:pPr>
        <w:pBdr>
          <w:top w:val="single" w:sz="4" w:space="1" w:color="auto"/>
          <w:left w:val="single" w:sz="4" w:space="4" w:color="auto"/>
          <w:bottom w:val="single" w:sz="4" w:space="1" w:color="auto"/>
          <w:right w:val="single" w:sz="4" w:space="4" w:color="auto"/>
        </w:pBdr>
        <w:shd w:val="clear" w:color="auto" w:fill="EDEDED" w:themeFill="accent3" w:themeFillTint="33"/>
        <w:spacing w:before="240"/>
        <w:rPr>
          <w:rFonts w:ascii="Times New Roman" w:hAnsi="Times New Roman" w:cs="Times New Roman"/>
          <w:bCs/>
          <w:sz w:val="24"/>
          <w:szCs w:val="24"/>
        </w:rPr>
      </w:pPr>
      <w:r>
        <w:rPr>
          <w:rFonts w:ascii="Times New Roman" w:hAnsi="Times New Roman" w:cs="Times New Roman"/>
          <w:b/>
          <w:bCs/>
          <w:sz w:val="24"/>
          <w:szCs w:val="24"/>
        </w:rPr>
        <w:t>Recommendation 1:</w:t>
      </w:r>
      <w:r>
        <w:rPr>
          <w:rFonts w:ascii="Times New Roman" w:hAnsi="Times New Roman" w:cs="Times New Roman"/>
          <w:bCs/>
          <w:sz w:val="24"/>
          <w:szCs w:val="24"/>
        </w:rPr>
        <w:t xml:space="preserve"> </w:t>
      </w:r>
      <w:r w:rsidRPr="00A57586">
        <w:rPr>
          <w:rFonts w:ascii="Times New Roman" w:hAnsi="Times New Roman" w:cs="Times New Roman"/>
          <w:bCs/>
          <w:sz w:val="24"/>
          <w:szCs w:val="24"/>
        </w:rPr>
        <w:t>The Australian Greens recommend that no further oil or gas exploration or production be permitted in the Great Australian Bight Marine National Park. Further, the Australian Greens recommend that the Australian Government introduce legislation to prevent future oil and gas activities from occurring in the Great Australian Bight Marine National Park.</w:t>
      </w:r>
    </w:p>
    <w:p w:rsidR="00F22E98" w:rsidRDefault="008B7EC4" w:rsidP="00283885">
      <w:pPr>
        <w:spacing w:before="240"/>
        <w:rPr>
          <w:rFonts w:ascii="Times New Roman" w:hAnsi="Times New Roman" w:cs="Times New Roman"/>
          <w:bCs/>
          <w:sz w:val="24"/>
          <w:szCs w:val="24"/>
        </w:rPr>
      </w:pPr>
      <w:r w:rsidRPr="008B7EC4">
        <w:rPr>
          <w:rFonts w:ascii="Times New Roman" w:hAnsi="Times New Roman" w:cs="Times New Roman"/>
          <w:bCs/>
          <w:sz w:val="24"/>
          <w:szCs w:val="24"/>
        </w:rPr>
        <w:t>The Government do</w:t>
      </w:r>
      <w:r w:rsidR="00C468B4">
        <w:rPr>
          <w:rFonts w:ascii="Times New Roman" w:hAnsi="Times New Roman" w:cs="Times New Roman"/>
          <w:bCs/>
          <w:sz w:val="24"/>
          <w:szCs w:val="24"/>
        </w:rPr>
        <w:t>es</w:t>
      </w:r>
      <w:r w:rsidRPr="008B7EC4">
        <w:rPr>
          <w:rFonts w:ascii="Times New Roman" w:hAnsi="Times New Roman" w:cs="Times New Roman"/>
          <w:bCs/>
          <w:sz w:val="24"/>
          <w:szCs w:val="24"/>
        </w:rPr>
        <w:t xml:space="preserve"> not accept </w:t>
      </w:r>
      <w:r w:rsidR="00AE1B08">
        <w:rPr>
          <w:rFonts w:ascii="Times New Roman" w:hAnsi="Times New Roman" w:cs="Times New Roman"/>
          <w:bCs/>
          <w:sz w:val="24"/>
          <w:szCs w:val="24"/>
        </w:rPr>
        <w:t>th</w:t>
      </w:r>
      <w:r w:rsidR="00C468B4">
        <w:rPr>
          <w:rFonts w:ascii="Times New Roman" w:hAnsi="Times New Roman" w:cs="Times New Roman"/>
          <w:bCs/>
          <w:sz w:val="24"/>
          <w:szCs w:val="24"/>
        </w:rPr>
        <w:t>is</w:t>
      </w:r>
      <w:r w:rsidR="00AE1B08">
        <w:rPr>
          <w:rFonts w:ascii="Times New Roman" w:hAnsi="Times New Roman" w:cs="Times New Roman"/>
          <w:bCs/>
          <w:sz w:val="24"/>
          <w:szCs w:val="24"/>
        </w:rPr>
        <w:t xml:space="preserve"> </w:t>
      </w:r>
      <w:r w:rsidR="00127609">
        <w:rPr>
          <w:rFonts w:ascii="Times New Roman" w:hAnsi="Times New Roman" w:cs="Times New Roman"/>
          <w:bCs/>
          <w:sz w:val="24"/>
          <w:szCs w:val="24"/>
        </w:rPr>
        <w:t>recommendation</w:t>
      </w:r>
      <w:r w:rsidRPr="008B7EC4">
        <w:rPr>
          <w:rFonts w:ascii="Times New Roman" w:hAnsi="Times New Roman" w:cs="Times New Roman"/>
          <w:bCs/>
          <w:sz w:val="24"/>
          <w:szCs w:val="24"/>
        </w:rPr>
        <w:t xml:space="preserve">. </w:t>
      </w:r>
    </w:p>
    <w:p w:rsidR="00B115E7" w:rsidRPr="00283885" w:rsidRDefault="00B115E7" w:rsidP="00283885">
      <w:pPr>
        <w:spacing w:before="240"/>
        <w:rPr>
          <w:rFonts w:ascii="Times New Roman" w:hAnsi="Times New Roman" w:cs="Times New Roman"/>
          <w:bCs/>
          <w:sz w:val="24"/>
          <w:szCs w:val="24"/>
        </w:rPr>
      </w:pPr>
      <w:r w:rsidRPr="00283885">
        <w:rPr>
          <w:rFonts w:ascii="Times New Roman" w:hAnsi="Times New Roman" w:cs="Times New Roman"/>
          <w:bCs/>
          <w:sz w:val="24"/>
          <w:szCs w:val="24"/>
        </w:rPr>
        <w:t>From the first oil and gas discoveries in Bass Strait, the North West Shelf and the Timor Sea through to more recent discoveries in the Carnarvon and Browse basins, offshore Australia has proved to contain some of the world’s most highly prospective areas for oil and gas.</w:t>
      </w:r>
    </w:p>
    <w:p w:rsidR="00B115E7" w:rsidRPr="00DA6CA1" w:rsidRDefault="00955F83" w:rsidP="00B115E7">
      <w:pPr>
        <w:rPr>
          <w:rFonts w:ascii="Times New Roman" w:hAnsi="Times New Roman" w:cs="Times New Roman"/>
          <w:bCs/>
          <w:sz w:val="24"/>
          <w:szCs w:val="24"/>
        </w:rPr>
      </w:pPr>
      <w:r w:rsidRPr="00955F83">
        <w:rPr>
          <w:rFonts w:ascii="Times New Roman" w:hAnsi="Times New Roman" w:cs="Times New Roman"/>
          <w:bCs/>
          <w:sz w:val="24"/>
          <w:szCs w:val="24"/>
        </w:rPr>
        <w:t>Oil and gas exploration has occurred in Australia over s</w:t>
      </w:r>
      <w:r>
        <w:rPr>
          <w:rFonts w:ascii="Times New Roman" w:hAnsi="Times New Roman" w:cs="Times New Roman"/>
          <w:bCs/>
          <w:sz w:val="24"/>
          <w:szCs w:val="24"/>
        </w:rPr>
        <w:t xml:space="preserve">everal decades and in the Great </w:t>
      </w:r>
      <w:r w:rsidRPr="00955F83">
        <w:rPr>
          <w:rFonts w:ascii="Times New Roman" w:hAnsi="Times New Roman" w:cs="Times New Roman"/>
          <w:bCs/>
          <w:sz w:val="24"/>
          <w:szCs w:val="24"/>
        </w:rPr>
        <w:t>Australian Bight</w:t>
      </w:r>
      <w:r w:rsidR="002C40A8" w:rsidRPr="002C40A8">
        <w:t xml:space="preserve"> </w:t>
      </w:r>
      <w:r w:rsidRPr="00955F83">
        <w:rPr>
          <w:rFonts w:ascii="Times New Roman" w:hAnsi="Times New Roman" w:cs="Times New Roman"/>
          <w:bCs/>
          <w:sz w:val="24"/>
          <w:szCs w:val="24"/>
        </w:rPr>
        <w:t xml:space="preserve">for over 40 years. </w:t>
      </w:r>
      <w:r w:rsidR="00B115E7" w:rsidRPr="00ED67E0">
        <w:rPr>
          <w:rFonts w:ascii="Times New Roman" w:hAnsi="Times New Roman" w:cs="Times New Roman"/>
          <w:bCs/>
          <w:sz w:val="24"/>
          <w:szCs w:val="24"/>
        </w:rPr>
        <w:t xml:space="preserve">In </w:t>
      </w:r>
      <w:r w:rsidR="00B115E7">
        <w:rPr>
          <w:rFonts w:ascii="Times New Roman" w:hAnsi="Times New Roman" w:cs="Times New Roman"/>
          <w:bCs/>
          <w:sz w:val="24"/>
          <w:szCs w:val="24"/>
        </w:rPr>
        <w:t xml:space="preserve">the Great Australian Bight, </w:t>
      </w:r>
      <w:r w:rsidR="00B115E7" w:rsidRPr="00ED67E0">
        <w:rPr>
          <w:rFonts w:ascii="Times New Roman" w:hAnsi="Times New Roman" w:cs="Times New Roman"/>
          <w:bCs/>
          <w:sz w:val="24"/>
          <w:szCs w:val="24"/>
        </w:rPr>
        <w:t xml:space="preserve">45 oil and gas exploration permits have been granted, and 13 exploration wells were drilled between 1972 and 2003. </w:t>
      </w:r>
    </w:p>
    <w:p w:rsidR="00955F83" w:rsidRDefault="00955F83" w:rsidP="00955F83">
      <w:pPr>
        <w:rPr>
          <w:rFonts w:ascii="Times New Roman" w:hAnsi="Times New Roman" w:cs="Times New Roman"/>
          <w:bCs/>
          <w:sz w:val="24"/>
          <w:szCs w:val="24"/>
        </w:rPr>
      </w:pPr>
      <w:r w:rsidRPr="00955F83">
        <w:rPr>
          <w:rFonts w:ascii="Times New Roman" w:hAnsi="Times New Roman" w:cs="Times New Roman"/>
          <w:bCs/>
          <w:sz w:val="24"/>
          <w:szCs w:val="24"/>
        </w:rPr>
        <w:t>Throughout this time A</w:t>
      </w:r>
      <w:r>
        <w:rPr>
          <w:rFonts w:ascii="Times New Roman" w:hAnsi="Times New Roman" w:cs="Times New Roman"/>
          <w:bCs/>
          <w:sz w:val="24"/>
          <w:szCs w:val="24"/>
        </w:rPr>
        <w:t xml:space="preserve">ustralia’s offshore oil and gas </w:t>
      </w:r>
      <w:r w:rsidRPr="00955F83">
        <w:rPr>
          <w:rFonts w:ascii="Times New Roman" w:hAnsi="Times New Roman" w:cs="Times New Roman"/>
          <w:bCs/>
          <w:sz w:val="24"/>
          <w:szCs w:val="24"/>
        </w:rPr>
        <w:t>resources have been significant contributors to the Aust</w:t>
      </w:r>
      <w:r>
        <w:rPr>
          <w:rFonts w:ascii="Times New Roman" w:hAnsi="Times New Roman" w:cs="Times New Roman"/>
          <w:bCs/>
          <w:sz w:val="24"/>
          <w:szCs w:val="24"/>
        </w:rPr>
        <w:t xml:space="preserve">ralian economy by way of export </w:t>
      </w:r>
      <w:r w:rsidRPr="00955F83">
        <w:rPr>
          <w:rFonts w:ascii="Times New Roman" w:hAnsi="Times New Roman" w:cs="Times New Roman"/>
          <w:bCs/>
          <w:sz w:val="24"/>
          <w:szCs w:val="24"/>
        </w:rPr>
        <w:t xml:space="preserve">revenue, job creation, </w:t>
      </w:r>
      <w:r w:rsidR="00C804AD" w:rsidRPr="00A2474B">
        <w:rPr>
          <w:rFonts w:ascii="Times New Roman" w:eastAsia="Times New Roman" w:hAnsi="Times New Roman" w:cs="Times New Roman"/>
          <w:sz w:val="24"/>
          <w:szCs w:val="24"/>
        </w:rPr>
        <w:t>domestic</w:t>
      </w:r>
      <w:r w:rsidRPr="00955F83">
        <w:rPr>
          <w:rFonts w:ascii="Times New Roman" w:hAnsi="Times New Roman" w:cs="Times New Roman"/>
          <w:bCs/>
          <w:sz w:val="24"/>
          <w:szCs w:val="24"/>
        </w:rPr>
        <w:t xml:space="preserve"> supply of oil and gas</w:t>
      </w:r>
      <w:r w:rsidR="00421F6A">
        <w:rPr>
          <w:rFonts w:ascii="Times New Roman" w:hAnsi="Times New Roman" w:cs="Times New Roman"/>
          <w:bCs/>
          <w:sz w:val="24"/>
          <w:szCs w:val="24"/>
        </w:rPr>
        <w:t>,</w:t>
      </w:r>
      <w:r w:rsidRPr="00955F83">
        <w:rPr>
          <w:rFonts w:ascii="Times New Roman" w:hAnsi="Times New Roman" w:cs="Times New Roman"/>
          <w:bCs/>
          <w:sz w:val="24"/>
          <w:szCs w:val="24"/>
        </w:rPr>
        <w:t xml:space="preserve"> and regio</w:t>
      </w:r>
      <w:r>
        <w:rPr>
          <w:rFonts w:ascii="Times New Roman" w:hAnsi="Times New Roman" w:cs="Times New Roman"/>
          <w:bCs/>
          <w:sz w:val="24"/>
          <w:szCs w:val="24"/>
        </w:rPr>
        <w:t xml:space="preserve">nal development. </w:t>
      </w:r>
      <w:r w:rsidR="00394786" w:rsidRPr="00394786">
        <w:rPr>
          <w:rFonts w:ascii="Times New Roman" w:hAnsi="Times New Roman" w:cs="Times New Roman"/>
          <w:bCs/>
          <w:sz w:val="24"/>
          <w:szCs w:val="24"/>
        </w:rPr>
        <w:t xml:space="preserve">In 2015-16 the industry contributed around $31 billion </w:t>
      </w:r>
      <w:r w:rsidR="00C468B4" w:rsidRPr="00ED67E0">
        <w:rPr>
          <w:rFonts w:ascii="Times New Roman" w:hAnsi="Times New Roman" w:cs="Times New Roman"/>
          <w:bCs/>
          <w:sz w:val="24"/>
          <w:szCs w:val="24"/>
        </w:rPr>
        <w:t>to industry gross value added</w:t>
      </w:r>
      <w:r w:rsidR="00C468B4" w:rsidRPr="00394786" w:rsidDel="00C468B4">
        <w:rPr>
          <w:rFonts w:ascii="Times New Roman" w:hAnsi="Times New Roman" w:cs="Times New Roman"/>
          <w:bCs/>
          <w:sz w:val="24"/>
          <w:szCs w:val="24"/>
        </w:rPr>
        <w:t xml:space="preserve"> </w:t>
      </w:r>
      <w:r w:rsidR="00394786" w:rsidRPr="00394786">
        <w:rPr>
          <w:rFonts w:ascii="Times New Roman" w:hAnsi="Times New Roman" w:cs="Times New Roman"/>
          <w:bCs/>
          <w:sz w:val="24"/>
          <w:szCs w:val="24"/>
        </w:rPr>
        <w:t>an</w:t>
      </w:r>
      <w:r w:rsidR="00394786">
        <w:rPr>
          <w:rFonts w:ascii="Times New Roman" w:hAnsi="Times New Roman" w:cs="Times New Roman"/>
          <w:bCs/>
          <w:sz w:val="24"/>
          <w:szCs w:val="24"/>
        </w:rPr>
        <w:t>d employed around 29,000 people</w:t>
      </w:r>
      <w:r w:rsidRPr="00955F83">
        <w:rPr>
          <w:rFonts w:ascii="Times New Roman" w:hAnsi="Times New Roman" w:cs="Times New Roman"/>
          <w:bCs/>
          <w:sz w:val="24"/>
          <w:szCs w:val="24"/>
        </w:rPr>
        <w:t>.</w:t>
      </w:r>
    </w:p>
    <w:p w:rsidR="00955F83" w:rsidRPr="00955F83" w:rsidRDefault="00955F83" w:rsidP="00955F83">
      <w:pPr>
        <w:rPr>
          <w:rFonts w:ascii="Times New Roman" w:hAnsi="Times New Roman" w:cs="Times New Roman"/>
          <w:bCs/>
          <w:sz w:val="24"/>
          <w:szCs w:val="24"/>
        </w:rPr>
      </w:pPr>
      <w:r w:rsidRPr="00955F83">
        <w:rPr>
          <w:rFonts w:ascii="Times New Roman" w:hAnsi="Times New Roman" w:cs="Times New Roman"/>
          <w:bCs/>
          <w:sz w:val="24"/>
          <w:szCs w:val="24"/>
        </w:rPr>
        <w:t>Direct benefits are returned to the Australian people during</w:t>
      </w:r>
      <w:r>
        <w:rPr>
          <w:rFonts w:ascii="Times New Roman" w:hAnsi="Times New Roman" w:cs="Times New Roman"/>
          <w:bCs/>
          <w:sz w:val="24"/>
          <w:szCs w:val="24"/>
        </w:rPr>
        <w:t xml:space="preserve"> infrastructure development and </w:t>
      </w:r>
      <w:r w:rsidRPr="00955F83">
        <w:rPr>
          <w:rFonts w:ascii="Times New Roman" w:hAnsi="Times New Roman" w:cs="Times New Roman"/>
          <w:bCs/>
          <w:sz w:val="24"/>
          <w:szCs w:val="24"/>
        </w:rPr>
        <w:t>production, as well as benefits during the exploration phas</w:t>
      </w:r>
      <w:r w:rsidR="007219F1">
        <w:rPr>
          <w:rFonts w:ascii="Times New Roman" w:hAnsi="Times New Roman" w:cs="Times New Roman"/>
          <w:bCs/>
          <w:sz w:val="24"/>
          <w:szCs w:val="24"/>
        </w:rPr>
        <w:t>e, such as direct and in</w:t>
      </w:r>
      <w:r>
        <w:rPr>
          <w:rFonts w:ascii="Times New Roman" w:hAnsi="Times New Roman" w:cs="Times New Roman"/>
          <w:bCs/>
          <w:sz w:val="24"/>
          <w:szCs w:val="24"/>
        </w:rPr>
        <w:t xml:space="preserve">direct </w:t>
      </w:r>
      <w:r w:rsidRPr="00955F83">
        <w:rPr>
          <w:rFonts w:ascii="Times New Roman" w:hAnsi="Times New Roman" w:cs="Times New Roman"/>
          <w:bCs/>
          <w:sz w:val="24"/>
          <w:szCs w:val="24"/>
        </w:rPr>
        <w:lastRenderedPageBreak/>
        <w:t xml:space="preserve">employment. </w:t>
      </w:r>
      <w:r w:rsidR="00B115E7" w:rsidRPr="00283885">
        <w:rPr>
          <w:rFonts w:ascii="Times New Roman" w:hAnsi="Times New Roman" w:cs="Times New Roman"/>
          <w:bCs/>
          <w:sz w:val="24"/>
          <w:szCs w:val="24"/>
        </w:rPr>
        <w:t xml:space="preserve">Oil and gas production in Australia continues to play a part in maintaining global and domestic long term energy security. </w:t>
      </w:r>
    </w:p>
    <w:p w:rsidR="00B115E7" w:rsidRPr="00283885" w:rsidRDefault="00B115E7" w:rsidP="00B115E7">
      <w:pPr>
        <w:rPr>
          <w:rFonts w:ascii="Times New Roman" w:hAnsi="Times New Roman" w:cs="Times New Roman"/>
          <w:bCs/>
          <w:sz w:val="24"/>
          <w:szCs w:val="24"/>
        </w:rPr>
      </w:pPr>
      <w:r w:rsidRPr="00283885">
        <w:rPr>
          <w:rFonts w:ascii="Times New Roman" w:hAnsi="Times New Roman" w:cs="Times New Roman"/>
          <w:bCs/>
          <w:sz w:val="24"/>
          <w:szCs w:val="24"/>
        </w:rPr>
        <w:t xml:space="preserve">Australia’s offshore oil and gas sector is playing a significant role in the expansion of our LNG industry, supporting four of Australia’s seven new LNG projects. The four new offshore-based LNG projects </w:t>
      </w:r>
      <w:r w:rsidR="00634CE7">
        <w:rPr>
          <w:rFonts w:ascii="Times New Roman" w:hAnsi="Times New Roman" w:cs="Times New Roman"/>
          <w:bCs/>
          <w:sz w:val="24"/>
          <w:szCs w:val="24"/>
        </w:rPr>
        <w:t xml:space="preserve">(Icthys, Prelude, Gorgon and Wheatstone) </w:t>
      </w:r>
      <w:r w:rsidRPr="00283885">
        <w:rPr>
          <w:rFonts w:ascii="Times New Roman" w:hAnsi="Times New Roman" w:cs="Times New Roman"/>
          <w:bCs/>
          <w:sz w:val="24"/>
          <w:szCs w:val="24"/>
        </w:rPr>
        <w:t>represent approximately $160 billion in investment. They will add 37 million tonnes per annum to Australia’s liquefaction capacity once completed over the next few years, putting Australia on track to become the world’s largest LNG exporter by the end of this decade.</w:t>
      </w:r>
    </w:p>
    <w:p w:rsidR="00B115E7" w:rsidRPr="00283885" w:rsidRDefault="00B115E7" w:rsidP="00B115E7">
      <w:pPr>
        <w:rPr>
          <w:rFonts w:ascii="Times New Roman" w:hAnsi="Times New Roman" w:cs="Times New Roman"/>
          <w:bCs/>
          <w:sz w:val="24"/>
          <w:szCs w:val="24"/>
        </w:rPr>
      </w:pPr>
      <w:r w:rsidRPr="00283885">
        <w:rPr>
          <w:rFonts w:ascii="Times New Roman" w:hAnsi="Times New Roman" w:cs="Times New Roman"/>
          <w:bCs/>
          <w:sz w:val="24"/>
          <w:szCs w:val="24"/>
        </w:rPr>
        <w:t xml:space="preserve">A key element of the success of the offshore oil and gas sector in Australia has been our high quality resources combined with stable policy and regulatory regimes and low sovereign risk for the offshore sector. In Australia, offshore oil and gas activities beyond state and territory coastal waters are governed by the </w:t>
      </w:r>
      <w:r w:rsidRPr="00283885">
        <w:rPr>
          <w:rFonts w:ascii="Times New Roman" w:hAnsi="Times New Roman" w:cs="Times New Roman"/>
          <w:bCs/>
          <w:i/>
          <w:sz w:val="24"/>
          <w:szCs w:val="24"/>
        </w:rPr>
        <w:t>Offshore Petroleum and Greenhouse Gas Storage Act 2006</w:t>
      </w:r>
      <w:r w:rsidRPr="00283885">
        <w:rPr>
          <w:rFonts w:ascii="Times New Roman" w:hAnsi="Times New Roman" w:cs="Times New Roman"/>
          <w:bCs/>
          <w:sz w:val="24"/>
          <w:szCs w:val="24"/>
        </w:rPr>
        <w:t xml:space="preserve"> (OPGGS</w:t>
      </w:r>
      <w:r>
        <w:rPr>
          <w:rFonts w:ascii="Times New Roman" w:hAnsi="Times New Roman" w:cs="Times New Roman"/>
          <w:bCs/>
          <w:sz w:val="24"/>
          <w:szCs w:val="24"/>
        </w:rPr>
        <w:t xml:space="preserve"> </w:t>
      </w:r>
      <w:r w:rsidRPr="00283885">
        <w:rPr>
          <w:rFonts w:ascii="Times New Roman" w:hAnsi="Times New Roman" w:cs="Times New Roman"/>
          <w:bCs/>
          <w:sz w:val="24"/>
          <w:szCs w:val="24"/>
        </w:rPr>
        <w:t>A</w:t>
      </w:r>
      <w:r>
        <w:rPr>
          <w:rFonts w:ascii="Times New Roman" w:hAnsi="Times New Roman" w:cs="Times New Roman"/>
          <w:bCs/>
          <w:sz w:val="24"/>
          <w:szCs w:val="24"/>
        </w:rPr>
        <w:t>ct</w:t>
      </w:r>
      <w:r w:rsidRPr="00283885">
        <w:rPr>
          <w:rFonts w:ascii="Times New Roman" w:hAnsi="Times New Roman" w:cs="Times New Roman"/>
          <w:bCs/>
          <w:sz w:val="24"/>
          <w:szCs w:val="24"/>
        </w:rPr>
        <w:t xml:space="preserve">). The legislation provides for the orderly exploration for, and recovery of, offshore oil and gas resources and sets out a basic framework of rights, entitlements and responsibilities of government and industry. </w:t>
      </w:r>
    </w:p>
    <w:p w:rsidR="00167C68" w:rsidRPr="00283885" w:rsidRDefault="00167C68" w:rsidP="00167C68">
      <w:pPr>
        <w:rPr>
          <w:rFonts w:ascii="Times New Roman" w:hAnsi="Times New Roman" w:cs="Times New Roman"/>
          <w:bCs/>
          <w:sz w:val="24"/>
          <w:szCs w:val="24"/>
        </w:rPr>
      </w:pPr>
      <w:r w:rsidRPr="00283885">
        <w:rPr>
          <w:rFonts w:ascii="Times New Roman" w:hAnsi="Times New Roman" w:cs="Times New Roman"/>
          <w:bCs/>
          <w:sz w:val="24"/>
          <w:szCs w:val="24"/>
        </w:rPr>
        <w:t>Under the OPGGS</w:t>
      </w:r>
      <w:r>
        <w:rPr>
          <w:rFonts w:ascii="Times New Roman" w:hAnsi="Times New Roman" w:cs="Times New Roman"/>
          <w:bCs/>
          <w:sz w:val="24"/>
          <w:szCs w:val="24"/>
        </w:rPr>
        <w:t xml:space="preserve"> </w:t>
      </w:r>
      <w:r w:rsidRPr="00283885">
        <w:rPr>
          <w:rFonts w:ascii="Times New Roman" w:hAnsi="Times New Roman" w:cs="Times New Roman"/>
          <w:bCs/>
          <w:sz w:val="24"/>
          <w:szCs w:val="24"/>
        </w:rPr>
        <w:t>A</w:t>
      </w:r>
      <w:r>
        <w:rPr>
          <w:rFonts w:ascii="Times New Roman" w:hAnsi="Times New Roman" w:cs="Times New Roman"/>
          <w:bCs/>
          <w:sz w:val="24"/>
          <w:szCs w:val="24"/>
        </w:rPr>
        <w:t>ct</w:t>
      </w:r>
      <w:r w:rsidRPr="00283885">
        <w:rPr>
          <w:rFonts w:ascii="Times New Roman" w:hAnsi="Times New Roman" w:cs="Times New Roman"/>
          <w:bCs/>
          <w:sz w:val="24"/>
          <w:szCs w:val="24"/>
        </w:rPr>
        <w:t xml:space="preserve">, the Joint Authorities (who are Ministers or their delegates) are responsible for making decisions with respect to the release of offshore oil and gas exploration areas, the granting of titles, imposition of and changes to title conditions, as well as core decisions about resource management and resource security. </w:t>
      </w:r>
    </w:p>
    <w:p w:rsidR="00167C68" w:rsidRDefault="00042AFF" w:rsidP="002C75FD">
      <w:pPr>
        <w:rPr>
          <w:rFonts w:ascii="Times New Roman" w:hAnsi="Times New Roman" w:cs="Times New Roman"/>
          <w:bCs/>
          <w:sz w:val="24"/>
          <w:szCs w:val="24"/>
        </w:rPr>
      </w:pPr>
      <w:r w:rsidRPr="00042AFF">
        <w:rPr>
          <w:rFonts w:ascii="Times New Roman" w:hAnsi="Times New Roman" w:cs="Times New Roman"/>
          <w:bCs/>
          <w:sz w:val="24"/>
          <w:szCs w:val="24"/>
        </w:rPr>
        <w:t>The regulatory framework ensures a high level of environmental protection whilst allowing development of an internationally competitive industry. The legislation provides that all titleholders must carry out operations in accordance with good oil field practice, including in a manner which is safe and prevents the escape of oil and gas into the environment. The legal framework is objective-based and encourages continuous improvement, rather than minimum compliance.</w:t>
      </w:r>
      <w:r w:rsidR="00167C68" w:rsidRPr="002C75FD">
        <w:rPr>
          <w:rFonts w:ascii="Times New Roman" w:hAnsi="Times New Roman" w:cs="Times New Roman"/>
          <w:bCs/>
          <w:sz w:val="24"/>
          <w:szCs w:val="24"/>
        </w:rPr>
        <w:t xml:space="preserve"> </w:t>
      </w:r>
    </w:p>
    <w:p w:rsidR="00167C68" w:rsidRPr="002C75FD" w:rsidRDefault="00167C68" w:rsidP="002C75FD">
      <w:pPr>
        <w:rPr>
          <w:rFonts w:ascii="Times New Roman" w:hAnsi="Times New Roman" w:cs="Times New Roman"/>
          <w:bCs/>
          <w:sz w:val="24"/>
          <w:szCs w:val="24"/>
        </w:rPr>
      </w:pPr>
      <w:r w:rsidRPr="002C75FD">
        <w:rPr>
          <w:rFonts w:ascii="Times New Roman" w:hAnsi="Times New Roman" w:cs="Times New Roman"/>
          <w:bCs/>
          <w:sz w:val="24"/>
          <w:szCs w:val="24"/>
        </w:rPr>
        <w:t xml:space="preserve">The objective-based regime for offshore petroleum activities requires companies to demonstrate how acceptable outcomes for environmental matters will be achieved. It places a clear onus on the petroleum industry to identify and evaluate all impacts and risks that may arise from their activity. </w:t>
      </w:r>
    </w:p>
    <w:p w:rsidR="00167C68" w:rsidRPr="002C75FD" w:rsidRDefault="00167C68" w:rsidP="002C75FD">
      <w:pPr>
        <w:rPr>
          <w:rFonts w:ascii="Times New Roman" w:hAnsi="Times New Roman" w:cs="Times New Roman"/>
          <w:bCs/>
          <w:sz w:val="24"/>
          <w:szCs w:val="24"/>
        </w:rPr>
      </w:pPr>
      <w:r w:rsidRPr="002C75FD">
        <w:rPr>
          <w:rFonts w:ascii="Times New Roman" w:hAnsi="Times New Roman" w:cs="Times New Roman"/>
          <w:bCs/>
          <w:sz w:val="24"/>
          <w:szCs w:val="24"/>
        </w:rPr>
        <w:t xml:space="preserve">The Government’s regulatory framework only allows petroleum activities to proceed if the potential impact on the environment has been reduced to as low as reasonably practicable, and to an acceptable level. Petroleum activities, including exploration and extraction, can only go ahead when an environment plan has been accepted by </w:t>
      </w:r>
      <w:r w:rsidR="00A2474B">
        <w:rPr>
          <w:rFonts w:ascii="Times New Roman" w:hAnsi="Times New Roman" w:cs="Times New Roman"/>
          <w:bCs/>
          <w:sz w:val="24"/>
          <w:szCs w:val="24"/>
        </w:rPr>
        <w:t xml:space="preserve">the </w:t>
      </w:r>
      <w:r w:rsidR="00A2474B" w:rsidRPr="00283885">
        <w:rPr>
          <w:rFonts w:ascii="Times New Roman" w:hAnsi="Times New Roman" w:cs="Times New Roman"/>
          <w:bCs/>
          <w:sz w:val="24"/>
          <w:szCs w:val="24"/>
        </w:rPr>
        <w:t>National Offshore Petroleum Safety and Environmental Management Authority</w:t>
      </w:r>
      <w:r w:rsidR="00A2474B" w:rsidRPr="002C75FD">
        <w:rPr>
          <w:rFonts w:ascii="Times New Roman" w:hAnsi="Times New Roman" w:cs="Times New Roman"/>
          <w:bCs/>
          <w:sz w:val="24"/>
          <w:szCs w:val="24"/>
        </w:rPr>
        <w:t xml:space="preserve"> </w:t>
      </w:r>
      <w:r w:rsidR="00A2474B">
        <w:rPr>
          <w:rFonts w:ascii="Times New Roman" w:hAnsi="Times New Roman" w:cs="Times New Roman"/>
          <w:bCs/>
          <w:sz w:val="24"/>
          <w:szCs w:val="24"/>
        </w:rPr>
        <w:t>(</w:t>
      </w:r>
      <w:r w:rsidRPr="002C75FD">
        <w:rPr>
          <w:rFonts w:ascii="Times New Roman" w:hAnsi="Times New Roman" w:cs="Times New Roman"/>
          <w:bCs/>
          <w:sz w:val="24"/>
          <w:szCs w:val="24"/>
        </w:rPr>
        <w:t>NOPSEMA</w:t>
      </w:r>
      <w:r w:rsidR="00A2474B">
        <w:rPr>
          <w:rFonts w:ascii="Times New Roman" w:hAnsi="Times New Roman" w:cs="Times New Roman"/>
          <w:bCs/>
          <w:sz w:val="24"/>
          <w:szCs w:val="24"/>
        </w:rPr>
        <w:t>)</w:t>
      </w:r>
      <w:r w:rsidRPr="002C75FD">
        <w:rPr>
          <w:rFonts w:ascii="Times New Roman" w:hAnsi="Times New Roman" w:cs="Times New Roman"/>
          <w:bCs/>
          <w:sz w:val="24"/>
          <w:szCs w:val="24"/>
        </w:rPr>
        <w:t xml:space="preserve">. </w:t>
      </w:r>
    </w:p>
    <w:p w:rsidR="00167C68" w:rsidRPr="002C75FD" w:rsidRDefault="0081569A" w:rsidP="002C75FD">
      <w:pPr>
        <w:rPr>
          <w:rFonts w:ascii="Times New Roman" w:hAnsi="Times New Roman" w:cs="Times New Roman"/>
          <w:bCs/>
          <w:sz w:val="24"/>
          <w:szCs w:val="24"/>
        </w:rPr>
      </w:pPr>
      <w:r>
        <w:rPr>
          <w:rFonts w:ascii="Times New Roman" w:hAnsi="Times New Roman" w:cs="Times New Roman"/>
          <w:bCs/>
          <w:sz w:val="24"/>
          <w:szCs w:val="24"/>
        </w:rPr>
        <w:t>T</w:t>
      </w:r>
      <w:r w:rsidR="00197E8F">
        <w:rPr>
          <w:rFonts w:ascii="Times New Roman" w:hAnsi="Times New Roman" w:cs="Times New Roman"/>
          <w:bCs/>
          <w:sz w:val="24"/>
          <w:szCs w:val="24"/>
        </w:rPr>
        <w:t>he OPGGS Act regulatory framework</w:t>
      </w:r>
      <w:r w:rsidR="00197E8F" w:rsidRPr="002C75FD">
        <w:rPr>
          <w:rFonts w:ascii="Times New Roman" w:hAnsi="Times New Roman" w:cs="Times New Roman"/>
          <w:bCs/>
          <w:sz w:val="24"/>
          <w:szCs w:val="24"/>
        </w:rPr>
        <w:t xml:space="preserve"> </w:t>
      </w:r>
      <w:r w:rsidR="00167C68" w:rsidRPr="002C75FD">
        <w:rPr>
          <w:rFonts w:ascii="Times New Roman" w:hAnsi="Times New Roman" w:cs="Times New Roman"/>
          <w:bCs/>
          <w:sz w:val="24"/>
          <w:szCs w:val="24"/>
        </w:rPr>
        <w:t>requires a titleholder to prepare an environment plan for every petroleum activity, not just those that may have an impact on matters of national environmental significance. The environment plan must consider all the impacts and risks arising from the activity. NOPSEMA will only accept an environment plan once it has determined the plan meets the stringent requirements set out in law.</w:t>
      </w:r>
    </w:p>
    <w:p w:rsidR="00B20709" w:rsidRPr="008B7EC4" w:rsidRDefault="00B20709" w:rsidP="00283885">
      <w:pPr>
        <w:keepLines/>
        <w:pBdr>
          <w:top w:val="single" w:sz="4" w:space="1" w:color="auto"/>
          <w:left w:val="single" w:sz="4" w:space="4" w:color="auto"/>
          <w:bottom w:val="single" w:sz="4" w:space="1" w:color="auto"/>
          <w:right w:val="single" w:sz="4" w:space="4" w:color="auto"/>
        </w:pBdr>
        <w:shd w:val="clear" w:color="auto" w:fill="EDEDED" w:themeFill="accent3" w:themeFillTint="33"/>
        <w:rPr>
          <w:rFonts w:ascii="Times New Roman" w:hAnsi="Times New Roman" w:cs="Times New Roman"/>
          <w:bCs/>
          <w:sz w:val="24"/>
          <w:szCs w:val="24"/>
        </w:rPr>
      </w:pPr>
      <w:r>
        <w:rPr>
          <w:rFonts w:ascii="Times New Roman" w:hAnsi="Times New Roman" w:cs="Times New Roman"/>
          <w:b/>
          <w:bCs/>
          <w:sz w:val="24"/>
          <w:szCs w:val="24"/>
        </w:rPr>
        <w:lastRenderedPageBreak/>
        <w:t>Recommendation 2:</w:t>
      </w:r>
      <w:r>
        <w:rPr>
          <w:rFonts w:ascii="Times New Roman" w:hAnsi="Times New Roman" w:cs="Times New Roman"/>
          <w:bCs/>
          <w:sz w:val="24"/>
          <w:szCs w:val="24"/>
        </w:rPr>
        <w:t xml:space="preserve"> </w:t>
      </w:r>
      <w:r w:rsidRPr="008B7EC4">
        <w:rPr>
          <w:rFonts w:ascii="Times New Roman" w:hAnsi="Times New Roman" w:cs="Times New Roman"/>
          <w:bCs/>
          <w:sz w:val="24"/>
          <w:szCs w:val="24"/>
        </w:rPr>
        <w:t xml:space="preserve">The Australian Greens recommend that the Offshore Petroleum and Greenhouse Gas Storage (Environment) Regulations 2009 be amended to include a requirement for approval by the Minister for the Environment of all Environment Plans prior to the commencement of any exploratory activity and that, ultimately, the environmental assessment role of </w:t>
      </w:r>
      <w:r w:rsidRPr="007D7E88">
        <w:rPr>
          <w:rFonts w:ascii="Times New Roman" w:hAnsi="Times New Roman" w:cs="Times New Roman"/>
          <w:bCs/>
          <w:sz w:val="24"/>
          <w:szCs w:val="24"/>
        </w:rPr>
        <w:t xml:space="preserve">National Offshore Petroleum Safety and Environmental Management Authority </w:t>
      </w:r>
      <w:r>
        <w:rPr>
          <w:rFonts w:ascii="Times New Roman" w:hAnsi="Times New Roman" w:cs="Times New Roman"/>
          <w:bCs/>
          <w:sz w:val="24"/>
          <w:szCs w:val="24"/>
        </w:rPr>
        <w:t>(</w:t>
      </w:r>
      <w:r w:rsidRPr="008B7EC4">
        <w:rPr>
          <w:rFonts w:ascii="Times New Roman" w:hAnsi="Times New Roman" w:cs="Times New Roman"/>
          <w:bCs/>
          <w:sz w:val="24"/>
          <w:szCs w:val="24"/>
        </w:rPr>
        <w:t>NOPSEMA</w:t>
      </w:r>
      <w:r>
        <w:rPr>
          <w:rFonts w:ascii="Times New Roman" w:hAnsi="Times New Roman" w:cs="Times New Roman"/>
          <w:bCs/>
          <w:sz w:val="24"/>
          <w:szCs w:val="24"/>
        </w:rPr>
        <w:t>)</w:t>
      </w:r>
      <w:r w:rsidRPr="008B7EC4">
        <w:rPr>
          <w:rFonts w:ascii="Times New Roman" w:hAnsi="Times New Roman" w:cs="Times New Roman"/>
          <w:bCs/>
          <w:sz w:val="24"/>
          <w:szCs w:val="24"/>
        </w:rPr>
        <w:t xml:space="preserve"> be handed back to the Department of the Environment and Energy or to a National Environmental Protection Agency, established as an independent statutory authority to assess and make recommendations to the Environment Minister in relation to any environmental applications, including those for offshore oil and gas exploration, before final Ministerial approval or rejection.</w:t>
      </w:r>
    </w:p>
    <w:p w:rsidR="008B7EC4" w:rsidRDefault="008B7EC4" w:rsidP="00283885">
      <w:pPr>
        <w:spacing w:before="240"/>
        <w:rPr>
          <w:rFonts w:ascii="Times New Roman" w:hAnsi="Times New Roman" w:cs="Times New Roman"/>
          <w:bCs/>
          <w:sz w:val="24"/>
          <w:szCs w:val="24"/>
        </w:rPr>
      </w:pPr>
      <w:r w:rsidRPr="008B7EC4">
        <w:rPr>
          <w:rFonts w:ascii="Times New Roman" w:hAnsi="Times New Roman" w:cs="Times New Roman"/>
          <w:bCs/>
          <w:sz w:val="24"/>
          <w:szCs w:val="24"/>
        </w:rPr>
        <w:t xml:space="preserve">The Government does not accept </w:t>
      </w:r>
      <w:r w:rsidR="00C468B4">
        <w:rPr>
          <w:rFonts w:ascii="Times New Roman" w:hAnsi="Times New Roman" w:cs="Times New Roman"/>
          <w:bCs/>
          <w:sz w:val="24"/>
          <w:szCs w:val="24"/>
        </w:rPr>
        <w:t>this recommendation</w:t>
      </w:r>
      <w:r w:rsidRPr="008B7EC4">
        <w:rPr>
          <w:rFonts w:ascii="Times New Roman" w:hAnsi="Times New Roman" w:cs="Times New Roman"/>
          <w:bCs/>
          <w:sz w:val="24"/>
          <w:szCs w:val="24"/>
        </w:rPr>
        <w:t xml:space="preserve">. </w:t>
      </w:r>
    </w:p>
    <w:p w:rsidR="00356B9E" w:rsidRPr="00283885" w:rsidRDefault="00356B9E" w:rsidP="00283885">
      <w:pPr>
        <w:spacing w:before="240"/>
        <w:rPr>
          <w:rFonts w:ascii="Times New Roman" w:hAnsi="Times New Roman" w:cs="Times New Roman"/>
          <w:bCs/>
          <w:sz w:val="24"/>
          <w:szCs w:val="24"/>
        </w:rPr>
      </w:pPr>
      <w:r w:rsidRPr="00283885">
        <w:rPr>
          <w:rFonts w:ascii="Times New Roman" w:hAnsi="Times New Roman" w:cs="Times New Roman"/>
          <w:bCs/>
          <w:sz w:val="24"/>
          <w:szCs w:val="24"/>
        </w:rPr>
        <w:t>Australia’s objective-based regulatory regime is regarded as leading practice for high hazard, technically complex industries, including the offshore oil and gas sector. The evolution from prescriptive-based regulation to objective-based regulation stemmed in large part from the 1988 disaster in the North Sea where the Piper Alpha offshore oil and gas platform suffered an explosion, resulting in 167 fatalities. The incident led to a fundamental worldwide reassessment of how to best regulate the offshore oil and gas sector.</w:t>
      </w:r>
    </w:p>
    <w:p w:rsidR="00356B9E" w:rsidRPr="00283885" w:rsidRDefault="00356B9E" w:rsidP="00283885">
      <w:pPr>
        <w:spacing w:before="240"/>
        <w:rPr>
          <w:rFonts w:ascii="Times New Roman" w:hAnsi="Times New Roman" w:cs="Times New Roman"/>
          <w:bCs/>
          <w:sz w:val="24"/>
          <w:szCs w:val="24"/>
        </w:rPr>
      </w:pPr>
      <w:r w:rsidRPr="00283885">
        <w:rPr>
          <w:rFonts w:ascii="Times New Roman" w:hAnsi="Times New Roman" w:cs="Times New Roman"/>
          <w:bCs/>
          <w:sz w:val="24"/>
          <w:szCs w:val="24"/>
        </w:rPr>
        <w:t>Objective-based regulatory regimes are based on the principle that the legislation sets the broad safety and environmental goals to be attained. Those undertaking operations or activities must develop the most appropriate methods of achieving those goals. It places the onus and duty of care for the safety of people and environmental protection on those seeking to undertake offshore oil and gas operations and activities. In Australia, it also requires those with that duty (titleholders or operators) to demonstrate to the offshore petroleum regulator, NOPSEMA, that the impacts, hazards, and risks of an operation will be reduced to a level that is as low as reasonably practicable. Environmental impacts and risks must also be of an acceptable level.</w:t>
      </w:r>
    </w:p>
    <w:p w:rsidR="00356B9E" w:rsidRPr="00283885" w:rsidRDefault="00E00256" w:rsidP="00283885">
      <w:pPr>
        <w:spacing w:before="240"/>
        <w:rPr>
          <w:rFonts w:ascii="Times New Roman" w:hAnsi="Times New Roman" w:cs="Times New Roman"/>
          <w:bCs/>
          <w:sz w:val="24"/>
          <w:szCs w:val="24"/>
        </w:rPr>
      </w:pPr>
      <w:r>
        <w:rPr>
          <w:rFonts w:ascii="Times New Roman" w:hAnsi="Times New Roman" w:cs="Times New Roman"/>
          <w:bCs/>
          <w:sz w:val="24"/>
          <w:szCs w:val="24"/>
        </w:rPr>
        <w:t xml:space="preserve">Following the recommendations of the Montara Commission of Inquiry, </w:t>
      </w:r>
      <w:r w:rsidR="00356B9E" w:rsidRPr="00283885">
        <w:rPr>
          <w:rFonts w:ascii="Times New Roman" w:hAnsi="Times New Roman" w:cs="Times New Roman"/>
          <w:bCs/>
          <w:sz w:val="24"/>
          <w:szCs w:val="24"/>
        </w:rPr>
        <w:t>NOPSEMA was established as the single national offshore oil and gas regulator</w:t>
      </w:r>
      <w:r w:rsidR="00EB6B0C">
        <w:rPr>
          <w:rFonts w:ascii="Times New Roman" w:hAnsi="Times New Roman" w:cs="Times New Roman"/>
          <w:bCs/>
          <w:sz w:val="24"/>
          <w:szCs w:val="24"/>
        </w:rPr>
        <w:t xml:space="preserve"> in 2012</w:t>
      </w:r>
      <w:r w:rsidR="00356B9E" w:rsidRPr="00283885">
        <w:rPr>
          <w:rFonts w:ascii="Times New Roman" w:hAnsi="Times New Roman" w:cs="Times New Roman"/>
          <w:bCs/>
          <w:sz w:val="24"/>
          <w:szCs w:val="24"/>
        </w:rPr>
        <w:t xml:space="preserve">. This reform expanded the responsibilities of the former National Offshore Petroleum Safety Authority, creating one independent authority responsible for regulating the safety of Australia’s offshore oil and gas workers, the structural integrity of oil and gas facilities and wells, and environmental management of petroleum activities, from exploration through to decommissioning. </w:t>
      </w:r>
      <w:r w:rsidR="00197E8F">
        <w:rPr>
          <w:rFonts w:ascii="Times New Roman" w:hAnsi="Times New Roman" w:cs="Times New Roman"/>
          <w:bCs/>
          <w:sz w:val="24"/>
          <w:szCs w:val="24"/>
        </w:rPr>
        <w:t xml:space="preserve">Centralisation of these functions under a single </w:t>
      </w:r>
      <w:r w:rsidR="00BE4C34">
        <w:rPr>
          <w:rFonts w:ascii="Times New Roman" w:hAnsi="Times New Roman" w:cs="Times New Roman"/>
          <w:bCs/>
          <w:sz w:val="24"/>
          <w:szCs w:val="24"/>
        </w:rPr>
        <w:t>expertise</w:t>
      </w:r>
      <w:r w:rsidR="00EB6B0C">
        <w:rPr>
          <w:rFonts w:ascii="Times New Roman" w:hAnsi="Times New Roman" w:cs="Times New Roman"/>
          <w:bCs/>
          <w:sz w:val="24"/>
          <w:szCs w:val="24"/>
        </w:rPr>
        <w:t>-</w:t>
      </w:r>
      <w:r w:rsidR="00BE4C34">
        <w:rPr>
          <w:rFonts w:ascii="Times New Roman" w:hAnsi="Times New Roman" w:cs="Times New Roman"/>
          <w:bCs/>
          <w:sz w:val="24"/>
          <w:szCs w:val="24"/>
        </w:rPr>
        <w:t>based</w:t>
      </w:r>
      <w:r w:rsidR="00197E8F">
        <w:rPr>
          <w:rFonts w:ascii="Times New Roman" w:hAnsi="Times New Roman" w:cs="Times New Roman"/>
          <w:bCs/>
          <w:sz w:val="24"/>
          <w:szCs w:val="24"/>
        </w:rPr>
        <w:t xml:space="preserve"> statutory authority </w:t>
      </w:r>
      <w:r w:rsidR="007412BE">
        <w:rPr>
          <w:rFonts w:ascii="Times New Roman" w:hAnsi="Times New Roman" w:cs="Times New Roman"/>
          <w:bCs/>
          <w:sz w:val="24"/>
          <w:szCs w:val="24"/>
        </w:rPr>
        <w:t>provides</w:t>
      </w:r>
      <w:r w:rsidR="00197E8F">
        <w:rPr>
          <w:rFonts w:ascii="Times New Roman" w:hAnsi="Times New Roman" w:cs="Times New Roman"/>
          <w:bCs/>
          <w:sz w:val="24"/>
          <w:szCs w:val="24"/>
        </w:rPr>
        <w:t xml:space="preserve"> a</w:t>
      </w:r>
      <w:r w:rsidR="007412BE">
        <w:rPr>
          <w:rFonts w:ascii="Times New Roman" w:hAnsi="Times New Roman" w:cs="Times New Roman"/>
          <w:bCs/>
          <w:sz w:val="24"/>
          <w:szCs w:val="24"/>
        </w:rPr>
        <w:t>n</w:t>
      </w:r>
      <w:r w:rsidR="00197E8F">
        <w:rPr>
          <w:rFonts w:ascii="Times New Roman" w:hAnsi="Times New Roman" w:cs="Times New Roman"/>
          <w:bCs/>
          <w:sz w:val="24"/>
          <w:szCs w:val="24"/>
        </w:rPr>
        <w:t xml:space="preserve"> integrated, holistic and focussed approach to </w:t>
      </w:r>
      <w:r w:rsidR="00EB6B0C">
        <w:rPr>
          <w:rFonts w:ascii="Times New Roman" w:hAnsi="Times New Roman" w:cs="Times New Roman"/>
          <w:bCs/>
          <w:sz w:val="24"/>
          <w:szCs w:val="24"/>
        </w:rPr>
        <w:t xml:space="preserve">the </w:t>
      </w:r>
      <w:r w:rsidR="00197E8F">
        <w:rPr>
          <w:rFonts w:ascii="Times New Roman" w:hAnsi="Times New Roman" w:cs="Times New Roman"/>
          <w:bCs/>
          <w:sz w:val="24"/>
          <w:szCs w:val="24"/>
        </w:rPr>
        <w:t xml:space="preserve">regulation of </w:t>
      </w:r>
      <w:r w:rsidR="007412BE">
        <w:rPr>
          <w:rFonts w:ascii="Times New Roman" w:hAnsi="Times New Roman" w:cs="Times New Roman"/>
          <w:bCs/>
          <w:sz w:val="24"/>
          <w:szCs w:val="24"/>
        </w:rPr>
        <w:t>this</w:t>
      </w:r>
      <w:r w:rsidR="007412BE" w:rsidRPr="00283885">
        <w:rPr>
          <w:rFonts w:ascii="Times New Roman" w:hAnsi="Times New Roman" w:cs="Times New Roman"/>
          <w:bCs/>
          <w:sz w:val="24"/>
          <w:szCs w:val="24"/>
        </w:rPr>
        <w:t xml:space="preserve"> </w:t>
      </w:r>
      <w:r w:rsidR="00356B9E" w:rsidRPr="00283885">
        <w:rPr>
          <w:rFonts w:ascii="Times New Roman" w:hAnsi="Times New Roman" w:cs="Times New Roman"/>
          <w:bCs/>
          <w:sz w:val="24"/>
          <w:szCs w:val="24"/>
        </w:rPr>
        <w:t>high risk, technically complex industry, where the consequences of incidents may be significant.</w:t>
      </w:r>
    </w:p>
    <w:p w:rsidR="0017094D" w:rsidRDefault="004B7C51" w:rsidP="004B7C51">
      <w:pPr>
        <w:rPr>
          <w:rFonts w:ascii="Times New Roman" w:hAnsi="Times New Roman" w:cs="Times New Roman"/>
          <w:bCs/>
          <w:sz w:val="24"/>
          <w:szCs w:val="24"/>
        </w:rPr>
      </w:pPr>
      <w:r w:rsidRPr="002C40A8">
        <w:rPr>
          <w:rFonts w:ascii="Times New Roman" w:hAnsi="Times New Roman" w:cs="Times New Roman"/>
          <w:bCs/>
          <w:sz w:val="24"/>
          <w:szCs w:val="24"/>
        </w:rPr>
        <w:t>NOPSEMA is an independent statutory authority and it has responsibility for the regulation of environmental management under the OPGGS</w:t>
      </w:r>
      <w:r w:rsidR="005D0BDF">
        <w:rPr>
          <w:rFonts w:ascii="Times New Roman" w:hAnsi="Times New Roman" w:cs="Times New Roman"/>
          <w:bCs/>
          <w:sz w:val="24"/>
          <w:szCs w:val="24"/>
        </w:rPr>
        <w:t xml:space="preserve"> </w:t>
      </w:r>
      <w:r w:rsidRPr="002C40A8">
        <w:rPr>
          <w:rFonts w:ascii="Times New Roman" w:hAnsi="Times New Roman" w:cs="Times New Roman"/>
          <w:bCs/>
          <w:sz w:val="24"/>
          <w:szCs w:val="24"/>
        </w:rPr>
        <w:t>A</w:t>
      </w:r>
      <w:r w:rsidR="005D0BDF">
        <w:rPr>
          <w:rFonts w:ascii="Times New Roman" w:hAnsi="Times New Roman" w:cs="Times New Roman"/>
          <w:bCs/>
          <w:sz w:val="24"/>
          <w:szCs w:val="24"/>
        </w:rPr>
        <w:t>ct</w:t>
      </w:r>
      <w:r w:rsidRPr="002C40A8">
        <w:rPr>
          <w:rFonts w:ascii="Times New Roman" w:hAnsi="Times New Roman" w:cs="Times New Roman"/>
          <w:bCs/>
          <w:sz w:val="24"/>
          <w:szCs w:val="24"/>
        </w:rPr>
        <w:t xml:space="preserve"> for oil and gas activities. Environmental approvals for offshore oil and gas activities in Commonwealth waters are governed by the provisions of the Offshore Petroleum and Greenhouse Gas Storage (Environment) Regulations 2009 (Environment Regulations).</w:t>
      </w:r>
    </w:p>
    <w:p w:rsidR="004B7C51" w:rsidRDefault="004B7C51" w:rsidP="004B7C51">
      <w:pPr>
        <w:rPr>
          <w:rFonts w:ascii="Times New Roman" w:hAnsi="Times New Roman" w:cs="Times New Roman"/>
          <w:bCs/>
          <w:sz w:val="24"/>
          <w:szCs w:val="24"/>
        </w:rPr>
      </w:pPr>
      <w:r w:rsidRPr="002C40A8">
        <w:rPr>
          <w:rFonts w:ascii="Times New Roman" w:hAnsi="Times New Roman" w:cs="Times New Roman"/>
          <w:bCs/>
          <w:sz w:val="24"/>
          <w:szCs w:val="24"/>
        </w:rPr>
        <w:t>This framework ensures optimal environmental protection whilst allowing development of an internationally competitive and sustainable industry.</w:t>
      </w:r>
    </w:p>
    <w:p w:rsidR="004B7C51" w:rsidRDefault="004B7C51" w:rsidP="004B7C51">
      <w:pPr>
        <w:rPr>
          <w:rFonts w:ascii="Times New Roman" w:hAnsi="Times New Roman" w:cs="Times New Roman"/>
          <w:bCs/>
          <w:sz w:val="24"/>
          <w:szCs w:val="24"/>
        </w:rPr>
      </w:pPr>
      <w:r w:rsidRPr="007C4781">
        <w:rPr>
          <w:rFonts w:ascii="Times New Roman" w:hAnsi="Times New Roman" w:cs="Times New Roman"/>
          <w:bCs/>
          <w:sz w:val="24"/>
          <w:szCs w:val="24"/>
        </w:rPr>
        <w:t>The Government maintains its confidence in the stringent regulations to which all oil and gas activities are subject, and in the assessment processes of</w:t>
      </w:r>
      <w:r w:rsidR="00197E8F">
        <w:rPr>
          <w:rFonts w:ascii="Times New Roman" w:hAnsi="Times New Roman" w:cs="Times New Roman"/>
          <w:bCs/>
          <w:sz w:val="24"/>
          <w:szCs w:val="24"/>
        </w:rPr>
        <w:t xml:space="preserve"> </w:t>
      </w:r>
      <w:r>
        <w:rPr>
          <w:rFonts w:ascii="Times New Roman" w:hAnsi="Times New Roman" w:cs="Times New Roman"/>
          <w:bCs/>
          <w:sz w:val="24"/>
          <w:szCs w:val="24"/>
        </w:rPr>
        <w:t>NOPSEMA</w:t>
      </w:r>
      <w:r w:rsidRPr="007C4781">
        <w:rPr>
          <w:rFonts w:ascii="Times New Roman" w:hAnsi="Times New Roman" w:cs="Times New Roman"/>
          <w:bCs/>
          <w:sz w:val="24"/>
          <w:szCs w:val="24"/>
        </w:rPr>
        <w:t xml:space="preserve"> as the independent, expert regulator. Prior to undertaking any oil or gas activity in offshore waters, a titleholder must submit an environment plan (EP) to NOPSEMA. NOPSEMA must not accept an EP unless satisfied that environmental impacts and risks will be reduced to as low as reasonably practicable and to acceptable levels.</w:t>
      </w:r>
    </w:p>
    <w:p w:rsidR="002D4457" w:rsidRDefault="007D7E88" w:rsidP="00DE3E5A">
      <w:pPr>
        <w:rPr>
          <w:rFonts w:ascii="Times New Roman" w:hAnsi="Times New Roman"/>
          <w:bCs/>
          <w:sz w:val="24"/>
          <w:szCs w:val="24"/>
        </w:rPr>
      </w:pPr>
      <w:r w:rsidRPr="007D7E88">
        <w:rPr>
          <w:rFonts w:ascii="Times New Roman" w:hAnsi="Times New Roman" w:cs="Times New Roman"/>
          <w:bCs/>
          <w:sz w:val="24"/>
          <w:szCs w:val="24"/>
        </w:rPr>
        <w:t xml:space="preserve">In February 2014, the Minister for the Environment granted a class of action approval for petroleum and greenhouse gas activities assessed by NOPSEMA under the </w:t>
      </w:r>
      <w:r w:rsidR="004B7C51">
        <w:rPr>
          <w:rFonts w:ascii="Times New Roman" w:hAnsi="Times New Roman" w:cs="Times New Roman"/>
          <w:bCs/>
          <w:sz w:val="24"/>
          <w:szCs w:val="24"/>
        </w:rPr>
        <w:t>OPGGS</w:t>
      </w:r>
      <w:r w:rsidRPr="007D7E88">
        <w:rPr>
          <w:rFonts w:ascii="Times New Roman" w:hAnsi="Times New Roman" w:cs="Times New Roman"/>
          <w:bCs/>
          <w:sz w:val="24"/>
          <w:szCs w:val="24"/>
        </w:rPr>
        <w:t xml:space="preserve"> Act</w:t>
      </w:r>
      <w:r w:rsidR="004B7C51">
        <w:rPr>
          <w:rFonts w:ascii="Times New Roman" w:hAnsi="Times New Roman" w:cs="Times New Roman"/>
          <w:bCs/>
          <w:sz w:val="24"/>
          <w:szCs w:val="24"/>
        </w:rPr>
        <w:t xml:space="preserve"> (the Program).</w:t>
      </w:r>
      <w:r w:rsidRPr="007D7E88">
        <w:rPr>
          <w:rFonts w:ascii="Times New Roman" w:hAnsi="Times New Roman" w:cs="Times New Roman"/>
          <w:bCs/>
          <w:sz w:val="24"/>
          <w:szCs w:val="24"/>
        </w:rPr>
        <w:t xml:space="preserve"> </w:t>
      </w:r>
      <w:r w:rsidR="00E00256">
        <w:rPr>
          <w:rFonts w:ascii="Times New Roman" w:hAnsi="Times New Roman" w:cs="Times New Roman"/>
          <w:bCs/>
          <w:sz w:val="24"/>
          <w:szCs w:val="24"/>
        </w:rPr>
        <w:t xml:space="preserve">Prior to this, </w:t>
      </w:r>
      <w:r w:rsidR="004B7C51">
        <w:rPr>
          <w:rFonts w:ascii="Times New Roman" w:hAnsi="Times New Roman" w:cs="Times New Roman"/>
          <w:bCs/>
          <w:sz w:val="24"/>
          <w:szCs w:val="24"/>
        </w:rPr>
        <w:t>o</w:t>
      </w:r>
      <w:r w:rsidR="00E00256" w:rsidRPr="00283885">
        <w:rPr>
          <w:rFonts w:ascii="Times New Roman" w:hAnsi="Times New Roman" w:cs="Times New Roman"/>
          <w:bCs/>
          <w:sz w:val="24"/>
          <w:szCs w:val="24"/>
        </w:rPr>
        <w:t xml:space="preserve">ffshore petroleum and greenhouse gas activities </w:t>
      </w:r>
      <w:r w:rsidR="00E00256">
        <w:rPr>
          <w:rFonts w:ascii="Times New Roman" w:hAnsi="Times New Roman" w:cs="Times New Roman"/>
          <w:bCs/>
          <w:sz w:val="24"/>
          <w:szCs w:val="24"/>
        </w:rPr>
        <w:t>in Commonwealth waters that were likely to impact of matters of national environment significance were</w:t>
      </w:r>
      <w:r w:rsidR="00E00256" w:rsidRPr="00283885">
        <w:rPr>
          <w:rFonts w:ascii="Times New Roman" w:hAnsi="Times New Roman" w:cs="Times New Roman"/>
          <w:bCs/>
          <w:sz w:val="24"/>
          <w:szCs w:val="24"/>
        </w:rPr>
        <w:t xml:space="preserve"> subject to regulation under both the </w:t>
      </w:r>
      <w:r w:rsidR="00E00256" w:rsidRPr="00EB6B0C">
        <w:rPr>
          <w:rFonts w:ascii="Times New Roman" w:hAnsi="Times New Roman" w:cs="Times New Roman"/>
          <w:i/>
          <w:sz w:val="24"/>
          <w:szCs w:val="24"/>
        </w:rPr>
        <w:t>Environment Protection and Biodiversity Conservation Act 1999</w:t>
      </w:r>
      <w:r w:rsidR="00E00256" w:rsidRPr="00283885">
        <w:rPr>
          <w:rFonts w:ascii="Times New Roman" w:hAnsi="Times New Roman" w:cs="Times New Roman"/>
          <w:bCs/>
          <w:sz w:val="24"/>
          <w:szCs w:val="24"/>
        </w:rPr>
        <w:t xml:space="preserve"> (EPBC Act) and the OPGGS Act</w:t>
      </w:r>
      <w:r w:rsidR="00E00256">
        <w:rPr>
          <w:rFonts w:ascii="Times New Roman" w:hAnsi="Times New Roman" w:cs="Times New Roman"/>
          <w:bCs/>
          <w:sz w:val="24"/>
          <w:szCs w:val="24"/>
        </w:rPr>
        <w:t>.</w:t>
      </w:r>
    </w:p>
    <w:p w:rsidR="00DE3E5A" w:rsidRDefault="007D7E88" w:rsidP="00283885">
      <w:pPr>
        <w:spacing w:before="240"/>
        <w:rPr>
          <w:rFonts w:ascii="Times New Roman" w:hAnsi="Times New Roman" w:cs="Times New Roman"/>
          <w:bCs/>
          <w:sz w:val="24"/>
          <w:szCs w:val="24"/>
        </w:rPr>
      </w:pPr>
      <w:r w:rsidRPr="002D4457">
        <w:rPr>
          <w:rFonts w:ascii="Times New Roman" w:hAnsi="Times New Roman" w:cs="Times New Roman"/>
          <w:bCs/>
          <w:sz w:val="24"/>
          <w:szCs w:val="24"/>
        </w:rPr>
        <w:t>The Minister</w:t>
      </w:r>
      <w:r w:rsidR="00E00256" w:rsidRPr="002D4457">
        <w:rPr>
          <w:rFonts w:ascii="Times New Roman" w:hAnsi="Times New Roman" w:cs="Times New Roman"/>
          <w:bCs/>
          <w:sz w:val="24"/>
          <w:szCs w:val="24"/>
        </w:rPr>
        <w:t xml:space="preserve"> for the Environment</w:t>
      </w:r>
      <w:r w:rsidRPr="002D4457">
        <w:rPr>
          <w:rFonts w:ascii="Times New Roman" w:hAnsi="Times New Roman" w:cs="Times New Roman"/>
          <w:bCs/>
          <w:sz w:val="24"/>
          <w:szCs w:val="24"/>
        </w:rPr>
        <w:t xml:space="preserve">’s endorsement of the Program and class of action approval </w:t>
      </w:r>
      <w:r w:rsidR="004B7C51" w:rsidRPr="007412BE">
        <w:rPr>
          <w:rFonts w:ascii="Times New Roman" w:hAnsi="Times New Roman" w:cs="Times New Roman"/>
          <w:bCs/>
          <w:sz w:val="24"/>
          <w:szCs w:val="24"/>
        </w:rPr>
        <w:t>mean</w:t>
      </w:r>
      <w:r w:rsidR="00114031">
        <w:rPr>
          <w:rFonts w:ascii="Times New Roman" w:hAnsi="Times New Roman" w:cs="Times New Roman"/>
          <w:bCs/>
          <w:sz w:val="24"/>
          <w:szCs w:val="24"/>
        </w:rPr>
        <w:t>s</w:t>
      </w:r>
      <w:r w:rsidR="004B7C51" w:rsidRPr="007412BE">
        <w:rPr>
          <w:rFonts w:ascii="Times New Roman" w:hAnsi="Times New Roman" w:cs="Times New Roman"/>
          <w:bCs/>
          <w:sz w:val="24"/>
          <w:szCs w:val="24"/>
        </w:rPr>
        <w:t xml:space="preserve"> </w:t>
      </w:r>
      <w:r w:rsidRPr="007412BE">
        <w:rPr>
          <w:rFonts w:ascii="Times New Roman" w:hAnsi="Times New Roman" w:cs="Times New Roman"/>
          <w:bCs/>
          <w:sz w:val="24"/>
          <w:szCs w:val="24"/>
        </w:rPr>
        <w:t>titleholders seeking to undertake offshore petroleum or greenhouse gas activities in Commonwealth waters in accordance with the Program</w:t>
      </w:r>
      <w:r w:rsidR="004B7C51" w:rsidRPr="0011004F">
        <w:rPr>
          <w:rFonts w:ascii="Times New Roman" w:hAnsi="Times New Roman" w:cs="Times New Roman"/>
          <w:bCs/>
          <w:sz w:val="24"/>
          <w:szCs w:val="24"/>
        </w:rPr>
        <w:t xml:space="preserve"> </w:t>
      </w:r>
      <w:r w:rsidRPr="0011004F">
        <w:rPr>
          <w:rFonts w:ascii="Times New Roman" w:hAnsi="Times New Roman" w:cs="Times New Roman"/>
          <w:bCs/>
          <w:sz w:val="24"/>
          <w:szCs w:val="24"/>
        </w:rPr>
        <w:t xml:space="preserve">no longer need </w:t>
      </w:r>
      <w:r w:rsidRPr="002D4457">
        <w:rPr>
          <w:rFonts w:ascii="Times New Roman" w:hAnsi="Times New Roman" w:cs="Times New Roman"/>
          <w:bCs/>
          <w:sz w:val="24"/>
          <w:szCs w:val="24"/>
        </w:rPr>
        <w:t xml:space="preserve">to refer those actions for </w:t>
      </w:r>
      <w:r w:rsidR="00E946C2">
        <w:rPr>
          <w:rFonts w:ascii="Times New Roman" w:hAnsi="Times New Roman" w:cs="Times New Roman"/>
          <w:bCs/>
          <w:sz w:val="24"/>
          <w:szCs w:val="24"/>
        </w:rPr>
        <w:t>separate</w:t>
      </w:r>
      <w:r w:rsidR="004B7C51" w:rsidRPr="002D4457">
        <w:rPr>
          <w:rFonts w:ascii="Times New Roman" w:hAnsi="Times New Roman" w:cs="Times New Roman"/>
          <w:bCs/>
          <w:sz w:val="24"/>
          <w:szCs w:val="24"/>
        </w:rPr>
        <w:t xml:space="preserve"> </w:t>
      </w:r>
      <w:r w:rsidRPr="002D4457">
        <w:rPr>
          <w:rFonts w:ascii="Times New Roman" w:hAnsi="Times New Roman" w:cs="Times New Roman"/>
          <w:bCs/>
          <w:sz w:val="24"/>
          <w:szCs w:val="24"/>
        </w:rPr>
        <w:t xml:space="preserve">assessment under the EPBC Act. </w:t>
      </w:r>
      <w:r w:rsidR="002D4457" w:rsidRPr="002D4457">
        <w:rPr>
          <w:rFonts w:ascii="Times New Roman" w:hAnsi="Times New Roman" w:cs="Times New Roman"/>
          <w:bCs/>
          <w:sz w:val="24"/>
          <w:szCs w:val="24"/>
        </w:rPr>
        <w:t xml:space="preserve">The endorsement of NOPSEMA by the Minister for the Environment demonstrates the </w:t>
      </w:r>
      <w:r w:rsidR="002D4457" w:rsidRPr="007412BE">
        <w:rPr>
          <w:rFonts w:ascii="Times New Roman" w:hAnsi="Times New Roman" w:cs="Times New Roman"/>
          <w:bCs/>
          <w:sz w:val="24"/>
          <w:szCs w:val="24"/>
        </w:rPr>
        <w:t>Government’s confidence in NOPSEMA</w:t>
      </w:r>
      <w:r w:rsidR="00681DF9">
        <w:rPr>
          <w:rFonts w:ascii="Times New Roman" w:hAnsi="Times New Roman" w:cs="Times New Roman"/>
          <w:bCs/>
          <w:sz w:val="24"/>
          <w:szCs w:val="24"/>
        </w:rPr>
        <w:t>’s assessment process</w:t>
      </w:r>
      <w:r w:rsidR="002D4457" w:rsidRPr="007412BE">
        <w:rPr>
          <w:rFonts w:ascii="Times New Roman" w:hAnsi="Times New Roman" w:cs="Times New Roman"/>
          <w:bCs/>
          <w:sz w:val="24"/>
          <w:szCs w:val="24"/>
        </w:rPr>
        <w:t xml:space="preserve"> to delive</w:t>
      </w:r>
      <w:r w:rsidR="002D4457" w:rsidRPr="00A96D64">
        <w:rPr>
          <w:rFonts w:ascii="Times New Roman" w:hAnsi="Times New Roman" w:cs="Times New Roman"/>
          <w:bCs/>
          <w:sz w:val="24"/>
          <w:szCs w:val="24"/>
        </w:rPr>
        <w:t>r high levels of environmental protection. A</w:t>
      </w:r>
      <w:r w:rsidR="0011004F">
        <w:rPr>
          <w:rFonts w:ascii="Times New Roman" w:hAnsi="Times New Roman" w:cs="Times New Roman"/>
          <w:bCs/>
          <w:sz w:val="24"/>
          <w:szCs w:val="24"/>
        </w:rPr>
        <w:t>n independent</w:t>
      </w:r>
      <w:r w:rsidR="002D4457" w:rsidRPr="00A96D64">
        <w:rPr>
          <w:rFonts w:ascii="Times New Roman" w:hAnsi="Times New Roman" w:cs="Times New Roman"/>
          <w:bCs/>
          <w:sz w:val="24"/>
          <w:szCs w:val="24"/>
        </w:rPr>
        <w:t xml:space="preserve"> </w:t>
      </w:r>
      <w:r w:rsidR="002D4457" w:rsidRPr="0011004F">
        <w:rPr>
          <w:rFonts w:ascii="Times New Roman" w:hAnsi="Times New Roman" w:cs="Times New Roman"/>
          <w:bCs/>
          <w:sz w:val="24"/>
          <w:szCs w:val="24"/>
        </w:rPr>
        <w:t>review</w:t>
      </w:r>
      <w:r w:rsidR="00197E8F" w:rsidRPr="0011004F">
        <w:rPr>
          <w:rFonts w:ascii="Times New Roman" w:hAnsi="Times New Roman" w:cs="Times New Roman"/>
          <w:bCs/>
          <w:sz w:val="24"/>
          <w:szCs w:val="24"/>
        </w:rPr>
        <w:t xml:space="preserve"> </w:t>
      </w:r>
      <w:r w:rsidR="002D4457" w:rsidRPr="0011004F">
        <w:rPr>
          <w:rFonts w:ascii="Times New Roman" w:hAnsi="Times New Roman" w:cs="Times New Roman"/>
          <w:bCs/>
          <w:sz w:val="24"/>
          <w:szCs w:val="24"/>
        </w:rPr>
        <w:t xml:space="preserve">of NOPSEMA’s performance under the Program </w:t>
      </w:r>
      <w:r w:rsidR="002D4457" w:rsidRPr="00DE3E5A">
        <w:rPr>
          <w:rFonts w:ascii="Times New Roman" w:hAnsi="Times New Roman" w:cs="Times New Roman"/>
          <w:bCs/>
          <w:sz w:val="24"/>
          <w:szCs w:val="24"/>
        </w:rPr>
        <w:t xml:space="preserve">found </w:t>
      </w:r>
      <w:r w:rsidR="0011004F">
        <w:rPr>
          <w:rFonts w:ascii="Times New Roman" w:hAnsi="Times New Roman" w:cs="Times New Roman"/>
          <w:bCs/>
          <w:sz w:val="24"/>
          <w:szCs w:val="24"/>
        </w:rPr>
        <w:t xml:space="preserve">in 2015 that </w:t>
      </w:r>
      <w:r w:rsidR="002D4457" w:rsidRPr="00DE3E5A">
        <w:rPr>
          <w:rFonts w:ascii="Times New Roman" w:hAnsi="Times New Roman" w:cs="Times New Roman"/>
          <w:bCs/>
          <w:sz w:val="24"/>
          <w:szCs w:val="24"/>
        </w:rPr>
        <w:t>NOPSEMA is delivering the levels of environmental protection required under the EPBC Act, and processes and procedures are in place to continue to do so in the future.</w:t>
      </w:r>
    </w:p>
    <w:p w:rsidR="004B7C51" w:rsidRDefault="002C40A8" w:rsidP="00283885">
      <w:pPr>
        <w:spacing w:before="240"/>
        <w:rPr>
          <w:rFonts w:ascii="Times New Roman" w:hAnsi="Times New Roman" w:cs="Times New Roman"/>
          <w:bCs/>
          <w:sz w:val="24"/>
          <w:szCs w:val="24"/>
        </w:rPr>
      </w:pPr>
      <w:r w:rsidRPr="002C40A8">
        <w:rPr>
          <w:rFonts w:ascii="Times New Roman" w:hAnsi="Times New Roman" w:cs="Times New Roman"/>
          <w:bCs/>
          <w:sz w:val="24"/>
          <w:szCs w:val="24"/>
        </w:rPr>
        <w:t>It is good regulatory practice that an independent, expert regulator is responsible for ensuring a safe and environmentally responsible offshore oil and gas sector once a title has been issued. NOPSEMA’s regulation of Australia’s oil and gas sector has been subject to numerous independent statutory reviews and in each review NOPSEMA has been found to be a robust and competent regulator.</w:t>
      </w:r>
    </w:p>
    <w:p w:rsidR="004B7C51" w:rsidRDefault="004B7C51" w:rsidP="00283885">
      <w:pPr>
        <w:spacing w:before="240"/>
        <w:rPr>
          <w:rFonts w:ascii="Times New Roman" w:hAnsi="Times New Roman" w:cs="Times New Roman"/>
          <w:bCs/>
          <w:sz w:val="24"/>
          <w:szCs w:val="24"/>
        </w:rPr>
      </w:pPr>
      <w:r w:rsidRPr="00B55FCF">
        <w:rPr>
          <w:rFonts w:ascii="Times New Roman" w:hAnsi="Times New Roman" w:cs="Times New Roman"/>
          <w:bCs/>
          <w:sz w:val="24"/>
          <w:szCs w:val="24"/>
        </w:rPr>
        <w:t xml:space="preserve">NOPSEMA is staffed by highly trained, qualified technical risk management experts with extensive experience in offshore oil and gas operations and environmental management. NOPSEMA’s functions extend beyond approvals and involve extensive compliance monitoring and enforcement programs to ensure the necessary safety and environmental safeguards are maintained.  </w:t>
      </w:r>
    </w:p>
    <w:p w:rsidR="004B7C51" w:rsidRDefault="004B7C51" w:rsidP="00B20709">
      <w:pPr>
        <w:pBdr>
          <w:top w:val="single" w:sz="4" w:space="1" w:color="auto"/>
          <w:left w:val="single" w:sz="4" w:space="4" w:color="auto"/>
          <w:bottom w:val="single" w:sz="4" w:space="1" w:color="auto"/>
          <w:right w:val="single" w:sz="4" w:space="4" w:color="auto"/>
        </w:pBdr>
        <w:shd w:val="clear" w:color="auto" w:fill="EDEDED" w:themeFill="accent3" w:themeFillTint="33"/>
        <w:rPr>
          <w:rFonts w:ascii="Times New Roman" w:hAnsi="Times New Roman" w:cs="Times New Roman"/>
          <w:bCs/>
          <w:sz w:val="24"/>
          <w:szCs w:val="24"/>
        </w:rPr>
      </w:pPr>
      <w:r w:rsidRPr="00B20709">
        <w:rPr>
          <w:rFonts w:ascii="Times New Roman" w:hAnsi="Times New Roman" w:cs="Times New Roman"/>
          <w:b/>
          <w:bCs/>
          <w:sz w:val="24"/>
          <w:szCs w:val="24"/>
        </w:rPr>
        <w:t>Recommendation 5:</w:t>
      </w:r>
      <w:r w:rsidRPr="00F06A2F">
        <w:rPr>
          <w:rFonts w:ascii="Times New Roman" w:hAnsi="Times New Roman" w:cs="Times New Roman"/>
          <w:bCs/>
          <w:sz w:val="24"/>
          <w:szCs w:val="24"/>
        </w:rPr>
        <w:t xml:space="preserve"> </w:t>
      </w:r>
      <w:r w:rsidRPr="008B7EC4">
        <w:rPr>
          <w:rFonts w:ascii="Times New Roman" w:hAnsi="Times New Roman" w:cs="Times New Roman"/>
          <w:bCs/>
          <w:sz w:val="24"/>
          <w:szCs w:val="24"/>
        </w:rPr>
        <w:t>The Australian Greens recommend that NOPSEMA takes responsibility for, and develops new consultation guidelines and methodologies rather than devolving responsibility to an industry representative body.</w:t>
      </w:r>
    </w:p>
    <w:p w:rsidR="008B7EC4" w:rsidRDefault="008B7EC4" w:rsidP="00B20709">
      <w:pPr>
        <w:spacing w:before="240"/>
        <w:rPr>
          <w:rFonts w:ascii="Times New Roman" w:hAnsi="Times New Roman" w:cs="Times New Roman"/>
          <w:bCs/>
          <w:sz w:val="24"/>
          <w:szCs w:val="24"/>
        </w:rPr>
      </w:pPr>
      <w:r w:rsidRPr="008B7EC4">
        <w:rPr>
          <w:rFonts w:ascii="Times New Roman" w:hAnsi="Times New Roman" w:cs="Times New Roman"/>
          <w:bCs/>
          <w:sz w:val="24"/>
          <w:szCs w:val="24"/>
        </w:rPr>
        <w:t xml:space="preserve">The Government </w:t>
      </w:r>
      <w:r w:rsidR="003B6B37">
        <w:rPr>
          <w:rFonts w:ascii="Times New Roman" w:hAnsi="Times New Roman" w:cs="Times New Roman"/>
          <w:bCs/>
          <w:sz w:val="24"/>
          <w:szCs w:val="24"/>
        </w:rPr>
        <w:t>does not accept this recommendation</w:t>
      </w:r>
      <w:r w:rsidRPr="008B7EC4">
        <w:rPr>
          <w:rFonts w:ascii="Times New Roman" w:hAnsi="Times New Roman" w:cs="Times New Roman"/>
          <w:bCs/>
          <w:sz w:val="24"/>
          <w:szCs w:val="24"/>
        </w:rPr>
        <w:t>.</w:t>
      </w:r>
      <w:r w:rsidR="00B07C57">
        <w:rPr>
          <w:rFonts w:ascii="Times New Roman" w:hAnsi="Times New Roman" w:cs="Times New Roman"/>
          <w:bCs/>
          <w:sz w:val="24"/>
          <w:szCs w:val="24"/>
        </w:rPr>
        <w:t xml:space="preserve"> </w:t>
      </w:r>
    </w:p>
    <w:p w:rsidR="002D4457" w:rsidRDefault="002D4457" w:rsidP="00B20709">
      <w:pPr>
        <w:spacing w:before="240"/>
        <w:rPr>
          <w:rFonts w:ascii="Times New Roman" w:hAnsi="Times New Roman" w:cs="Times New Roman"/>
          <w:bCs/>
          <w:sz w:val="24"/>
          <w:szCs w:val="24"/>
        </w:rPr>
      </w:pPr>
      <w:r>
        <w:rPr>
          <w:rFonts w:ascii="Times New Roman" w:hAnsi="Times New Roman" w:cs="Times New Roman"/>
          <w:bCs/>
          <w:sz w:val="24"/>
          <w:szCs w:val="24"/>
        </w:rPr>
        <w:t xml:space="preserve">In August 2015 NOPSEMA </w:t>
      </w:r>
      <w:r w:rsidR="00E84009">
        <w:rPr>
          <w:rFonts w:ascii="Times New Roman" w:hAnsi="Times New Roman" w:cs="Times New Roman"/>
          <w:bCs/>
          <w:sz w:val="24"/>
          <w:szCs w:val="24"/>
        </w:rPr>
        <w:t>initiated</w:t>
      </w:r>
      <w:r>
        <w:rPr>
          <w:rFonts w:ascii="Times New Roman" w:hAnsi="Times New Roman" w:cs="Times New Roman"/>
          <w:bCs/>
          <w:sz w:val="24"/>
          <w:szCs w:val="24"/>
        </w:rPr>
        <w:t xml:space="preserve"> a stakeholder engagement and transparency work program </w:t>
      </w:r>
      <w:r w:rsidR="0011004F">
        <w:rPr>
          <w:rFonts w:ascii="Times New Roman" w:hAnsi="Times New Roman" w:cs="Times New Roman"/>
          <w:bCs/>
          <w:sz w:val="24"/>
          <w:szCs w:val="24"/>
        </w:rPr>
        <w:t xml:space="preserve">with </w:t>
      </w:r>
      <w:r w:rsidR="00E57A34">
        <w:rPr>
          <w:rFonts w:ascii="Times New Roman" w:hAnsi="Times New Roman" w:cs="Times New Roman"/>
          <w:bCs/>
          <w:sz w:val="24"/>
          <w:szCs w:val="24"/>
        </w:rPr>
        <w:t>the objective of improv</w:t>
      </w:r>
      <w:r w:rsidR="0011004F">
        <w:rPr>
          <w:rFonts w:ascii="Times New Roman" w:hAnsi="Times New Roman" w:cs="Times New Roman"/>
          <w:bCs/>
          <w:sz w:val="24"/>
          <w:szCs w:val="24"/>
        </w:rPr>
        <w:t>ing</w:t>
      </w:r>
      <w:r w:rsidR="00E57A34">
        <w:rPr>
          <w:rFonts w:ascii="Times New Roman" w:hAnsi="Times New Roman" w:cs="Times New Roman"/>
          <w:bCs/>
          <w:sz w:val="24"/>
          <w:szCs w:val="24"/>
        </w:rPr>
        <w:t xml:space="preserve"> community confidence in offshore petroleum environmental management and improv</w:t>
      </w:r>
      <w:r w:rsidR="0011004F">
        <w:rPr>
          <w:rFonts w:ascii="Times New Roman" w:hAnsi="Times New Roman" w:cs="Times New Roman"/>
          <w:bCs/>
          <w:sz w:val="24"/>
          <w:szCs w:val="24"/>
        </w:rPr>
        <w:t>ing</w:t>
      </w:r>
      <w:r w:rsidR="00E57A34">
        <w:rPr>
          <w:rFonts w:ascii="Times New Roman" w:hAnsi="Times New Roman" w:cs="Times New Roman"/>
          <w:bCs/>
          <w:sz w:val="24"/>
          <w:szCs w:val="24"/>
        </w:rPr>
        <w:t xml:space="preserve"> the consultation practices of oil and gas titleholders. Since th</w:t>
      </w:r>
      <w:r w:rsidR="00114031">
        <w:rPr>
          <w:rFonts w:ascii="Times New Roman" w:hAnsi="Times New Roman" w:cs="Times New Roman"/>
          <w:bCs/>
          <w:sz w:val="24"/>
          <w:szCs w:val="24"/>
        </w:rPr>
        <w:t>en,</w:t>
      </w:r>
      <w:r w:rsidR="00E57A34">
        <w:rPr>
          <w:rFonts w:ascii="Times New Roman" w:hAnsi="Times New Roman" w:cs="Times New Roman"/>
          <w:bCs/>
          <w:sz w:val="24"/>
          <w:szCs w:val="24"/>
        </w:rPr>
        <w:t xml:space="preserve"> NOPSEMA has implemented a number of initiatives including publication of additional guidance and reference material specifically focussed on stakeholder consultation requirements and expectations. The most recent of these guidelines was published in May 2017 following extensive stakeholder </w:t>
      </w:r>
      <w:r w:rsidR="00A96D64">
        <w:rPr>
          <w:rFonts w:ascii="Times New Roman" w:hAnsi="Times New Roman" w:cs="Times New Roman"/>
          <w:bCs/>
          <w:sz w:val="24"/>
          <w:szCs w:val="24"/>
        </w:rPr>
        <w:t>engagement</w:t>
      </w:r>
      <w:r w:rsidR="00E57A34">
        <w:rPr>
          <w:rFonts w:ascii="Times New Roman" w:hAnsi="Times New Roman" w:cs="Times New Roman"/>
          <w:bCs/>
          <w:sz w:val="24"/>
          <w:szCs w:val="24"/>
        </w:rPr>
        <w:t>. NOPSEMA has also developed and launched a community i</w:t>
      </w:r>
      <w:r w:rsidR="00F32E4F">
        <w:rPr>
          <w:rFonts w:ascii="Times New Roman" w:hAnsi="Times New Roman" w:cs="Times New Roman"/>
          <w:bCs/>
          <w:sz w:val="24"/>
          <w:szCs w:val="24"/>
        </w:rPr>
        <w:t xml:space="preserve">nformation portal </w:t>
      </w:r>
      <w:r w:rsidR="00E57A34">
        <w:rPr>
          <w:rFonts w:ascii="Times New Roman" w:hAnsi="Times New Roman" w:cs="Times New Roman"/>
          <w:bCs/>
          <w:sz w:val="24"/>
          <w:szCs w:val="24"/>
        </w:rPr>
        <w:t xml:space="preserve">on </w:t>
      </w:r>
      <w:r w:rsidR="00F32E4F">
        <w:rPr>
          <w:rFonts w:ascii="Times New Roman" w:hAnsi="Times New Roman" w:cs="Times New Roman"/>
          <w:bCs/>
          <w:sz w:val="24"/>
          <w:szCs w:val="24"/>
        </w:rPr>
        <w:t>its</w:t>
      </w:r>
      <w:r w:rsidR="00E57A34">
        <w:rPr>
          <w:rFonts w:ascii="Times New Roman" w:hAnsi="Times New Roman" w:cs="Times New Roman"/>
          <w:bCs/>
          <w:sz w:val="24"/>
          <w:szCs w:val="24"/>
        </w:rPr>
        <w:t xml:space="preserve"> website to assist stakeholders </w:t>
      </w:r>
      <w:r w:rsidR="00114031">
        <w:rPr>
          <w:rFonts w:ascii="Times New Roman" w:hAnsi="Times New Roman" w:cs="Times New Roman"/>
          <w:bCs/>
          <w:sz w:val="24"/>
          <w:szCs w:val="24"/>
        </w:rPr>
        <w:t>to</w:t>
      </w:r>
      <w:r w:rsidR="00E57A34">
        <w:rPr>
          <w:rFonts w:ascii="Times New Roman" w:hAnsi="Times New Roman" w:cs="Times New Roman"/>
          <w:bCs/>
          <w:sz w:val="24"/>
          <w:szCs w:val="24"/>
        </w:rPr>
        <w:t xml:space="preserve"> understand the regulatory process and how they are able to effectively engage in consultation under the regulatory framework. </w:t>
      </w:r>
    </w:p>
    <w:p w:rsidR="00E57A34" w:rsidDel="008434FA" w:rsidRDefault="00E57A34" w:rsidP="00B20709">
      <w:pPr>
        <w:spacing w:before="240"/>
        <w:rPr>
          <w:rFonts w:ascii="Times New Roman" w:hAnsi="Times New Roman" w:cs="Times New Roman"/>
          <w:bCs/>
          <w:sz w:val="24"/>
          <w:szCs w:val="24"/>
        </w:rPr>
      </w:pPr>
      <w:r>
        <w:rPr>
          <w:rFonts w:ascii="Times New Roman" w:hAnsi="Times New Roman" w:cs="Times New Roman"/>
          <w:bCs/>
          <w:sz w:val="24"/>
          <w:szCs w:val="24"/>
        </w:rPr>
        <w:t xml:space="preserve">Early in the development of the NOPSEMA work program the Australian Petroleum Production and Exploration Association (APPEA), as a representative body of the oil and gas industry, requested an opportunity to contribute to improved consultation outcomes on behalf of its members. APPEA’s proposed contribution was to take the form of a standardised method for undertaking consultation </w:t>
      </w:r>
      <w:r w:rsidR="0011004F">
        <w:rPr>
          <w:rFonts w:ascii="Times New Roman" w:hAnsi="Times New Roman" w:cs="Times New Roman"/>
          <w:bCs/>
          <w:sz w:val="24"/>
          <w:szCs w:val="24"/>
        </w:rPr>
        <w:t>which could</w:t>
      </w:r>
      <w:r>
        <w:rPr>
          <w:rFonts w:ascii="Times New Roman" w:hAnsi="Times New Roman" w:cs="Times New Roman"/>
          <w:bCs/>
          <w:sz w:val="24"/>
          <w:szCs w:val="24"/>
        </w:rPr>
        <w:t xml:space="preserve"> be provided to titleholders for their </w:t>
      </w:r>
      <w:r w:rsidR="0011004F">
        <w:rPr>
          <w:rFonts w:ascii="Times New Roman" w:hAnsi="Times New Roman" w:cs="Times New Roman"/>
          <w:bCs/>
          <w:sz w:val="24"/>
          <w:szCs w:val="24"/>
        </w:rPr>
        <w:t xml:space="preserve">potential </w:t>
      </w:r>
      <w:r>
        <w:rPr>
          <w:rFonts w:ascii="Times New Roman" w:hAnsi="Times New Roman" w:cs="Times New Roman"/>
          <w:bCs/>
          <w:sz w:val="24"/>
          <w:szCs w:val="24"/>
        </w:rPr>
        <w:t xml:space="preserve">use in engaging with stakeholders. NOPSEMA agreed to APPEA making this contribution on </w:t>
      </w:r>
      <w:r w:rsidR="008434FA">
        <w:rPr>
          <w:rFonts w:ascii="Times New Roman" w:hAnsi="Times New Roman" w:cs="Times New Roman"/>
          <w:bCs/>
          <w:sz w:val="24"/>
          <w:szCs w:val="24"/>
        </w:rPr>
        <w:t>condition</w:t>
      </w:r>
      <w:r>
        <w:rPr>
          <w:rFonts w:ascii="Times New Roman" w:hAnsi="Times New Roman" w:cs="Times New Roman"/>
          <w:bCs/>
          <w:sz w:val="24"/>
          <w:szCs w:val="24"/>
        </w:rPr>
        <w:t xml:space="preserve"> that any industry</w:t>
      </w:r>
      <w:r w:rsidR="00114031">
        <w:rPr>
          <w:rFonts w:ascii="Times New Roman" w:hAnsi="Times New Roman" w:cs="Times New Roman"/>
          <w:bCs/>
          <w:sz w:val="24"/>
          <w:szCs w:val="24"/>
        </w:rPr>
        <w:t>-</w:t>
      </w:r>
      <w:r>
        <w:rPr>
          <w:rFonts w:ascii="Times New Roman" w:hAnsi="Times New Roman" w:cs="Times New Roman"/>
          <w:bCs/>
          <w:sz w:val="24"/>
          <w:szCs w:val="24"/>
        </w:rPr>
        <w:t xml:space="preserve">led method </w:t>
      </w:r>
      <w:r w:rsidR="008434FA">
        <w:rPr>
          <w:rFonts w:ascii="Times New Roman" w:hAnsi="Times New Roman" w:cs="Times New Roman"/>
          <w:bCs/>
          <w:sz w:val="24"/>
          <w:szCs w:val="24"/>
        </w:rPr>
        <w:t>was prepared collaboratively with relevant stakeholders to ensure that it met their needs</w:t>
      </w:r>
      <w:r w:rsidR="00F32E4F">
        <w:rPr>
          <w:rFonts w:ascii="Times New Roman" w:hAnsi="Times New Roman" w:cs="Times New Roman"/>
          <w:bCs/>
          <w:sz w:val="24"/>
          <w:szCs w:val="24"/>
        </w:rPr>
        <w:t>,</w:t>
      </w:r>
      <w:r w:rsidR="008434FA">
        <w:rPr>
          <w:rFonts w:ascii="Times New Roman" w:hAnsi="Times New Roman" w:cs="Times New Roman"/>
          <w:bCs/>
          <w:sz w:val="24"/>
          <w:szCs w:val="24"/>
        </w:rPr>
        <w:t xml:space="preserve"> that it sought to improve consistency and predictability in titleholder consultation practices and that it met the requirements of the relevant regulations and NOPSEMA</w:t>
      </w:r>
      <w:r w:rsidR="00E84009">
        <w:rPr>
          <w:rFonts w:ascii="Times New Roman" w:hAnsi="Times New Roman" w:cs="Times New Roman"/>
          <w:bCs/>
          <w:sz w:val="24"/>
          <w:szCs w:val="24"/>
        </w:rPr>
        <w:t>’s</w:t>
      </w:r>
      <w:r w:rsidR="008434FA">
        <w:rPr>
          <w:rFonts w:ascii="Times New Roman" w:hAnsi="Times New Roman" w:cs="Times New Roman"/>
          <w:bCs/>
          <w:sz w:val="24"/>
          <w:szCs w:val="24"/>
        </w:rPr>
        <w:t xml:space="preserve"> guid</w:t>
      </w:r>
      <w:r w:rsidR="00E84009">
        <w:rPr>
          <w:rFonts w:ascii="Times New Roman" w:hAnsi="Times New Roman" w:cs="Times New Roman"/>
          <w:bCs/>
          <w:sz w:val="24"/>
          <w:szCs w:val="24"/>
        </w:rPr>
        <w:t>eline</w:t>
      </w:r>
      <w:r w:rsidR="00A96D64">
        <w:rPr>
          <w:rFonts w:ascii="Times New Roman" w:hAnsi="Times New Roman" w:cs="Times New Roman"/>
          <w:bCs/>
          <w:sz w:val="24"/>
          <w:szCs w:val="24"/>
        </w:rPr>
        <w:t>s</w:t>
      </w:r>
      <w:r w:rsidR="008434FA">
        <w:rPr>
          <w:rFonts w:ascii="Times New Roman" w:hAnsi="Times New Roman" w:cs="Times New Roman"/>
          <w:bCs/>
          <w:sz w:val="24"/>
          <w:szCs w:val="24"/>
        </w:rPr>
        <w:t xml:space="preserve"> on stakeholder consultation. </w:t>
      </w:r>
    </w:p>
    <w:p w:rsidR="003B6B37" w:rsidRDefault="008434FA" w:rsidP="00B20709">
      <w:pPr>
        <w:spacing w:before="240"/>
        <w:rPr>
          <w:rFonts w:ascii="Times New Roman" w:hAnsi="Times New Roman" w:cs="Times New Roman"/>
          <w:bCs/>
          <w:sz w:val="24"/>
          <w:szCs w:val="24"/>
        </w:rPr>
      </w:pPr>
      <w:r>
        <w:rPr>
          <w:rFonts w:ascii="Times New Roman" w:hAnsi="Times New Roman" w:cs="Times New Roman"/>
          <w:bCs/>
          <w:sz w:val="24"/>
          <w:szCs w:val="24"/>
        </w:rPr>
        <w:t xml:space="preserve">APPEA </w:t>
      </w:r>
      <w:r w:rsidR="00F32E4F">
        <w:rPr>
          <w:rFonts w:ascii="Times New Roman" w:hAnsi="Times New Roman" w:cs="Times New Roman"/>
          <w:bCs/>
          <w:sz w:val="24"/>
          <w:szCs w:val="24"/>
        </w:rPr>
        <w:t xml:space="preserve">recently </w:t>
      </w:r>
      <w:r>
        <w:rPr>
          <w:rFonts w:ascii="Times New Roman" w:hAnsi="Times New Roman" w:cs="Times New Roman"/>
          <w:bCs/>
          <w:sz w:val="24"/>
          <w:szCs w:val="24"/>
        </w:rPr>
        <w:t>provided NOPSEMA with a draft of the proposed method. Following revi</w:t>
      </w:r>
      <w:r w:rsidR="00E84009">
        <w:rPr>
          <w:rFonts w:ascii="Times New Roman" w:hAnsi="Times New Roman" w:cs="Times New Roman"/>
          <w:bCs/>
          <w:sz w:val="24"/>
          <w:szCs w:val="24"/>
        </w:rPr>
        <w:t xml:space="preserve">ew of the method NOPSEMA has decided to </w:t>
      </w:r>
      <w:r w:rsidR="00114031">
        <w:rPr>
          <w:rFonts w:ascii="Times New Roman" w:hAnsi="Times New Roman" w:cs="Times New Roman"/>
          <w:bCs/>
          <w:sz w:val="24"/>
          <w:szCs w:val="24"/>
        </w:rPr>
        <w:t>progress</w:t>
      </w:r>
      <w:r w:rsidR="00E84009">
        <w:rPr>
          <w:rFonts w:ascii="Times New Roman" w:hAnsi="Times New Roman" w:cs="Times New Roman"/>
          <w:bCs/>
          <w:sz w:val="24"/>
          <w:szCs w:val="24"/>
        </w:rPr>
        <w:t xml:space="preserve"> this </w:t>
      </w:r>
      <w:r>
        <w:rPr>
          <w:rFonts w:ascii="Times New Roman" w:hAnsi="Times New Roman" w:cs="Times New Roman"/>
          <w:bCs/>
          <w:sz w:val="24"/>
          <w:szCs w:val="24"/>
        </w:rPr>
        <w:t xml:space="preserve">initiative </w:t>
      </w:r>
      <w:r w:rsidR="00E84009">
        <w:rPr>
          <w:rFonts w:ascii="Times New Roman" w:hAnsi="Times New Roman" w:cs="Times New Roman"/>
          <w:bCs/>
          <w:sz w:val="24"/>
          <w:szCs w:val="24"/>
        </w:rPr>
        <w:t>through</w:t>
      </w:r>
      <w:r>
        <w:rPr>
          <w:rFonts w:ascii="Times New Roman" w:hAnsi="Times New Roman" w:cs="Times New Roman"/>
          <w:bCs/>
          <w:sz w:val="24"/>
          <w:szCs w:val="24"/>
        </w:rPr>
        <w:t xml:space="preserve"> the newly established NOPSEMA environment plan transparency taskforce. The taskforce </w:t>
      </w:r>
      <w:r w:rsidR="0017094D">
        <w:rPr>
          <w:rFonts w:ascii="Times New Roman" w:hAnsi="Times New Roman" w:cs="Times New Roman"/>
          <w:bCs/>
          <w:sz w:val="24"/>
          <w:szCs w:val="24"/>
        </w:rPr>
        <w:t xml:space="preserve">was established in July 2017 to </w:t>
      </w:r>
      <w:r w:rsidR="0017094D" w:rsidRPr="0017094D">
        <w:rPr>
          <w:rFonts w:ascii="Times New Roman" w:hAnsi="Times New Roman" w:cs="Times New Roman"/>
          <w:bCs/>
          <w:sz w:val="24"/>
          <w:szCs w:val="24"/>
        </w:rPr>
        <w:t xml:space="preserve">align and coordinate </w:t>
      </w:r>
      <w:r w:rsidR="0017094D">
        <w:rPr>
          <w:rFonts w:ascii="Times New Roman" w:hAnsi="Times New Roman" w:cs="Times New Roman"/>
          <w:bCs/>
          <w:sz w:val="24"/>
          <w:szCs w:val="24"/>
        </w:rPr>
        <w:t xml:space="preserve">the range of activities underway </w:t>
      </w:r>
      <w:r w:rsidR="0017094D" w:rsidRPr="0017094D">
        <w:rPr>
          <w:rFonts w:ascii="Times New Roman" w:hAnsi="Times New Roman" w:cs="Times New Roman"/>
          <w:bCs/>
          <w:sz w:val="24"/>
          <w:szCs w:val="24"/>
        </w:rPr>
        <w:t>to improve community confidence in the offshore petroleum regime</w:t>
      </w:r>
      <w:r w:rsidR="0017094D">
        <w:rPr>
          <w:rFonts w:ascii="Times New Roman" w:hAnsi="Times New Roman" w:cs="Times New Roman"/>
          <w:bCs/>
          <w:sz w:val="24"/>
          <w:szCs w:val="24"/>
        </w:rPr>
        <w:t xml:space="preserve">. The taskforce </w:t>
      </w:r>
      <w:r w:rsidR="00BD45B9">
        <w:rPr>
          <w:rFonts w:ascii="Times New Roman" w:hAnsi="Times New Roman" w:cs="Times New Roman"/>
          <w:bCs/>
          <w:sz w:val="24"/>
          <w:szCs w:val="24"/>
        </w:rPr>
        <w:t>comprises</w:t>
      </w:r>
      <w:r>
        <w:rPr>
          <w:rFonts w:ascii="Times New Roman" w:hAnsi="Times New Roman" w:cs="Times New Roman"/>
          <w:bCs/>
          <w:sz w:val="24"/>
          <w:szCs w:val="24"/>
        </w:rPr>
        <w:t xml:space="preserve"> representati</w:t>
      </w:r>
      <w:r w:rsidR="00BD45B9">
        <w:rPr>
          <w:rFonts w:ascii="Times New Roman" w:hAnsi="Times New Roman" w:cs="Times New Roman"/>
          <w:bCs/>
          <w:sz w:val="24"/>
          <w:szCs w:val="24"/>
        </w:rPr>
        <w:t>ves</w:t>
      </w:r>
      <w:r>
        <w:rPr>
          <w:rFonts w:ascii="Times New Roman" w:hAnsi="Times New Roman" w:cs="Times New Roman"/>
          <w:bCs/>
          <w:sz w:val="24"/>
          <w:szCs w:val="24"/>
        </w:rPr>
        <w:t xml:space="preserve"> from </w:t>
      </w:r>
      <w:r w:rsidR="00F32E4F">
        <w:rPr>
          <w:rFonts w:ascii="Times New Roman" w:hAnsi="Times New Roman" w:cs="Times New Roman"/>
          <w:bCs/>
          <w:sz w:val="24"/>
          <w:szCs w:val="24"/>
        </w:rPr>
        <w:t xml:space="preserve">NOPSEMA, </w:t>
      </w:r>
      <w:r w:rsidR="0017094D">
        <w:rPr>
          <w:rFonts w:ascii="Times New Roman" w:hAnsi="Times New Roman" w:cs="Times New Roman"/>
          <w:bCs/>
          <w:sz w:val="24"/>
          <w:szCs w:val="24"/>
        </w:rPr>
        <w:t xml:space="preserve">Commonwealth, State and Northern Territory governments and </w:t>
      </w:r>
      <w:r>
        <w:rPr>
          <w:rFonts w:ascii="Times New Roman" w:hAnsi="Times New Roman" w:cs="Times New Roman"/>
          <w:bCs/>
          <w:sz w:val="24"/>
          <w:szCs w:val="24"/>
        </w:rPr>
        <w:t xml:space="preserve">relevant </w:t>
      </w:r>
      <w:r w:rsidR="0017094D">
        <w:rPr>
          <w:rFonts w:ascii="Times New Roman" w:hAnsi="Times New Roman" w:cs="Times New Roman"/>
          <w:bCs/>
          <w:sz w:val="24"/>
          <w:szCs w:val="24"/>
        </w:rPr>
        <w:t xml:space="preserve">industry and </w:t>
      </w:r>
      <w:r>
        <w:rPr>
          <w:rFonts w:ascii="Times New Roman" w:hAnsi="Times New Roman" w:cs="Times New Roman"/>
          <w:bCs/>
          <w:sz w:val="24"/>
          <w:szCs w:val="24"/>
        </w:rPr>
        <w:t>stakeholder groups</w:t>
      </w:r>
      <w:r w:rsidR="0017094D">
        <w:rPr>
          <w:rFonts w:ascii="Times New Roman" w:hAnsi="Times New Roman" w:cs="Times New Roman"/>
          <w:bCs/>
          <w:sz w:val="24"/>
          <w:szCs w:val="24"/>
        </w:rPr>
        <w:t>. It</w:t>
      </w:r>
      <w:r w:rsidR="008F6FC6">
        <w:rPr>
          <w:rFonts w:ascii="Times New Roman" w:hAnsi="Times New Roman" w:cs="Times New Roman"/>
          <w:bCs/>
          <w:sz w:val="24"/>
          <w:szCs w:val="24"/>
        </w:rPr>
        <w:t xml:space="preserve"> </w:t>
      </w:r>
      <w:r w:rsidR="005837E4">
        <w:rPr>
          <w:rFonts w:ascii="Times New Roman" w:hAnsi="Times New Roman" w:cs="Times New Roman"/>
          <w:bCs/>
          <w:sz w:val="24"/>
          <w:szCs w:val="24"/>
        </w:rPr>
        <w:t xml:space="preserve">will </w:t>
      </w:r>
      <w:r>
        <w:rPr>
          <w:rFonts w:ascii="Times New Roman" w:hAnsi="Times New Roman" w:cs="Times New Roman"/>
          <w:bCs/>
          <w:sz w:val="24"/>
          <w:szCs w:val="24"/>
        </w:rPr>
        <w:t xml:space="preserve">ensure that </w:t>
      </w:r>
      <w:r w:rsidR="0011004F">
        <w:rPr>
          <w:rFonts w:ascii="Times New Roman" w:hAnsi="Times New Roman" w:cs="Times New Roman"/>
          <w:bCs/>
          <w:sz w:val="24"/>
          <w:szCs w:val="24"/>
        </w:rPr>
        <w:t>the final</w:t>
      </w:r>
      <w:r>
        <w:rPr>
          <w:rFonts w:ascii="Times New Roman" w:hAnsi="Times New Roman" w:cs="Times New Roman"/>
          <w:bCs/>
          <w:sz w:val="24"/>
          <w:szCs w:val="24"/>
        </w:rPr>
        <w:t xml:space="preserve"> consultation method</w:t>
      </w:r>
      <w:r w:rsidR="0011004F">
        <w:rPr>
          <w:rFonts w:ascii="Times New Roman" w:hAnsi="Times New Roman" w:cs="Times New Roman"/>
          <w:bCs/>
          <w:sz w:val="24"/>
          <w:szCs w:val="24"/>
        </w:rPr>
        <w:t>(s)</w:t>
      </w:r>
      <w:r>
        <w:rPr>
          <w:rFonts w:ascii="Times New Roman" w:hAnsi="Times New Roman" w:cs="Times New Roman"/>
          <w:bCs/>
          <w:sz w:val="24"/>
          <w:szCs w:val="24"/>
        </w:rPr>
        <w:t xml:space="preserve"> appropriately addresses the needs of all relevant stakeholders.  </w:t>
      </w:r>
    </w:p>
    <w:p w:rsidR="00312110" w:rsidRDefault="00B20709" w:rsidP="00283885">
      <w:pPr>
        <w:pBdr>
          <w:top w:val="single" w:sz="4" w:space="1" w:color="auto"/>
          <w:left w:val="single" w:sz="4" w:space="4" w:color="auto"/>
          <w:bottom w:val="single" w:sz="4" w:space="1" w:color="auto"/>
          <w:right w:val="single" w:sz="4" w:space="4" w:color="auto"/>
        </w:pBdr>
        <w:shd w:val="clear" w:color="auto" w:fill="EDEDED" w:themeFill="accent3" w:themeFillTint="33"/>
        <w:rPr>
          <w:rFonts w:ascii="Times New Roman" w:hAnsi="Times New Roman" w:cs="Times New Roman"/>
          <w:bCs/>
          <w:sz w:val="24"/>
          <w:szCs w:val="24"/>
        </w:rPr>
      </w:pPr>
      <w:r>
        <w:rPr>
          <w:rFonts w:ascii="Times New Roman" w:hAnsi="Times New Roman" w:cs="Times New Roman"/>
          <w:b/>
          <w:bCs/>
          <w:sz w:val="24"/>
          <w:szCs w:val="24"/>
        </w:rPr>
        <w:t>Recommendation 6:</w:t>
      </w:r>
      <w:r w:rsidRPr="00C468B4">
        <w:rPr>
          <w:rFonts w:ascii="Times New Roman" w:hAnsi="Times New Roman" w:cs="Times New Roman"/>
          <w:bCs/>
          <w:sz w:val="24"/>
          <w:szCs w:val="24"/>
        </w:rPr>
        <w:t xml:space="preserve"> The</w:t>
      </w:r>
      <w:r w:rsidRPr="008B7EC4">
        <w:rPr>
          <w:rFonts w:ascii="Times New Roman" w:hAnsi="Times New Roman" w:cs="Times New Roman"/>
          <w:bCs/>
          <w:sz w:val="24"/>
          <w:szCs w:val="24"/>
        </w:rPr>
        <w:t xml:space="preserve"> Australian Greens recommend that the Australian Government amend the </w:t>
      </w:r>
      <w:r w:rsidRPr="00B55053">
        <w:rPr>
          <w:rFonts w:ascii="Times New Roman" w:hAnsi="Times New Roman" w:cs="Times New Roman"/>
          <w:i/>
          <w:sz w:val="24"/>
          <w:szCs w:val="24"/>
        </w:rPr>
        <w:t>Petroleum Resource Rent Tax Assessment Act 1987</w:t>
      </w:r>
      <w:r w:rsidRPr="008B7EC4">
        <w:rPr>
          <w:rFonts w:ascii="Times New Roman" w:hAnsi="Times New Roman" w:cs="Times New Roman"/>
          <w:bCs/>
          <w:sz w:val="24"/>
          <w:szCs w:val="24"/>
        </w:rPr>
        <w:t xml:space="preserve"> to prevent companies from claiming environmental remediation expenses as carry-forward expenditure for the purposes of assessing their tax liabilities.</w:t>
      </w:r>
    </w:p>
    <w:p w:rsidR="00D648A6" w:rsidRPr="00283885" w:rsidRDefault="00D648A6" w:rsidP="00283885">
      <w:pPr>
        <w:spacing w:before="240"/>
        <w:rPr>
          <w:rFonts w:ascii="Times New Roman" w:hAnsi="Times New Roman" w:cs="Times New Roman"/>
          <w:bCs/>
          <w:sz w:val="24"/>
          <w:szCs w:val="24"/>
        </w:rPr>
      </w:pPr>
      <w:r w:rsidRPr="00283885">
        <w:rPr>
          <w:rFonts w:ascii="Times New Roman" w:hAnsi="Times New Roman" w:cs="Times New Roman"/>
          <w:bCs/>
          <w:sz w:val="24"/>
          <w:szCs w:val="24"/>
        </w:rPr>
        <w:t>The Government does not accept this recommendation.</w:t>
      </w:r>
    </w:p>
    <w:p w:rsidR="00D648A6" w:rsidRPr="00283885" w:rsidRDefault="00D648A6" w:rsidP="00283885">
      <w:pPr>
        <w:spacing w:before="240"/>
        <w:rPr>
          <w:rFonts w:ascii="Times New Roman" w:hAnsi="Times New Roman" w:cs="Times New Roman"/>
          <w:bCs/>
          <w:sz w:val="24"/>
          <w:szCs w:val="24"/>
        </w:rPr>
      </w:pPr>
      <w:r w:rsidRPr="00283885">
        <w:rPr>
          <w:rFonts w:ascii="Times New Roman" w:hAnsi="Times New Roman" w:cs="Times New Roman"/>
          <w:bCs/>
          <w:sz w:val="24"/>
          <w:szCs w:val="24"/>
        </w:rPr>
        <w:t xml:space="preserve">The Petroleum Resource Rent Tax (PRRT) is a secondary tax designed to capture a return for the Australian community in relation to the value of the finite petroleum resources which they own. </w:t>
      </w:r>
    </w:p>
    <w:p w:rsidR="00D648A6" w:rsidRDefault="00D648A6" w:rsidP="00283885">
      <w:pPr>
        <w:spacing w:before="240"/>
        <w:rPr>
          <w:rFonts w:ascii="Times New Roman" w:hAnsi="Times New Roman" w:cs="Times New Roman"/>
          <w:bCs/>
          <w:sz w:val="24"/>
          <w:szCs w:val="24"/>
        </w:rPr>
      </w:pPr>
      <w:r w:rsidRPr="00283885">
        <w:rPr>
          <w:rFonts w:ascii="Times New Roman" w:hAnsi="Times New Roman" w:cs="Times New Roman"/>
          <w:bCs/>
          <w:sz w:val="24"/>
          <w:szCs w:val="24"/>
        </w:rPr>
        <w:t>The PRRT taxes the economic rent (profit) generated from a petroleum project. Taxable profit is calculated by removing deductible expenditure from assessable receipts. Excess deductible expenditure is able to be carried forward and uplifted to be deducted against future assessable receipts. The PRRT is levied at a rate of 40 per cent of taxable profit.</w:t>
      </w:r>
    </w:p>
    <w:p w:rsidR="00862E74" w:rsidRDefault="00862E74" w:rsidP="00283885">
      <w:pPr>
        <w:spacing w:before="240"/>
        <w:rPr>
          <w:rFonts w:ascii="Times New Roman" w:hAnsi="Times New Roman" w:cs="Times New Roman"/>
          <w:bCs/>
          <w:sz w:val="24"/>
          <w:szCs w:val="24"/>
        </w:rPr>
      </w:pPr>
      <w:r w:rsidRPr="00283885">
        <w:rPr>
          <w:rFonts w:ascii="Times New Roman" w:hAnsi="Times New Roman" w:cs="Times New Roman"/>
          <w:bCs/>
          <w:sz w:val="24"/>
          <w:szCs w:val="24"/>
        </w:rPr>
        <w:t>Where a business incurs costs in relation to environmental remediation, those costs will reduce the profit ultimately made by the business. Such costs should continue to remain deductible expenditure, as it represents expenditure that has a direct connection with the business of exploring and recovering a petroleum resource.</w:t>
      </w:r>
    </w:p>
    <w:p w:rsidR="00C62925" w:rsidRDefault="00C62925">
      <w:pPr>
        <w:rPr>
          <w:rFonts w:ascii="Times New Roman" w:hAnsi="Times New Roman" w:cs="Times New Roman"/>
          <w:bCs/>
          <w:sz w:val="24"/>
          <w:szCs w:val="24"/>
        </w:rPr>
      </w:pPr>
    </w:p>
    <w:p w:rsidR="003678B2" w:rsidRDefault="00D648A6">
      <w:pPr>
        <w:rPr>
          <w:rFonts w:ascii="Times New Roman" w:hAnsi="Times New Roman" w:cs="Times New Roman"/>
          <w:bCs/>
          <w:sz w:val="24"/>
          <w:szCs w:val="24"/>
        </w:rPr>
      </w:pPr>
      <w:r w:rsidRPr="00283885">
        <w:rPr>
          <w:rFonts w:ascii="Times New Roman" w:hAnsi="Times New Roman" w:cs="Times New Roman"/>
          <w:bCs/>
          <w:sz w:val="24"/>
          <w:szCs w:val="24"/>
        </w:rPr>
        <w:t>The Government notes that after receiving the Review of the Petroleum Resource Rent Tax (the Review) it has requested Treasury to undertake further consultation and provide advice on options to address the PRRT design issues identified in the Review. Treasury has been asked to report back by the end of September 2017. The Government will then consider its final response to the Review. The design issues identified by the Review include the rate at which deductible expenditures are carried forward.</w:t>
      </w:r>
    </w:p>
    <w:p w:rsidR="00312110" w:rsidRDefault="00312110" w:rsidP="002C75FD">
      <w:pPr>
        <w:pStyle w:val="Heading2"/>
      </w:pPr>
      <w:r w:rsidRPr="005D0BDF">
        <w:t xml:space="preserve">Recommendations in the </w:t>
      </w:r>
      <w:r w:rsidRPr="00641AAD">
        <w:t>additional comments from the Australian Greens and Senators Chisholm and Urquhart</w:t>
      </w:r>
    </w:p>
    <w:p w:rsidR="00507404" w:rsidRPr="00641AAD" w:rsidRDefault="00507404" w:rsidP="002C75FD">
      <w:pPr>
        <w:pStyle w:val="Heading3"/>
      </w:pPr>
      <w:r w:rsidRPr="00641AAD">
        <w:t>Australian Greens</w:t>
      </w:r>
    </w:p>
    <w:p w:rsidR="00312110" w:rsidRDefault="00312110" w:rsidP="00283885">
      <w:pPr>
        <w:pBdr>
          <w:top w:val="single" w:sz="4" w:space="1" w:color="auto"/>
          <w:left w:val="single" w:sz="4" w:space="4" w:color="auto"/>
          <w:bottom w:val="single" w:sz="4" w:space="1" w:color="auto"/>
          <w:right w:val="single" w:sz="4" w:space="4" w:color="auto"/>
        </w:pBdr>
        <w:shd w:val="clear" w:color="auto" w:fill="EDEDED" w:themeFill="accent3" w:themeFillTint="33"/>
        <w:rPr>
          <w:rFonts w:ascii="Times New Roman" w:hAnsi="Times New Roman" w:cs="Times New Roman"/>
          <w:bCs/>
          <w:sz w:val="24"/>
          <w:szCs w:val="24"/>
        </w:rPr>
      </w:pPr>
      <w:r>
        <w:rPr>
          <w:rFonts w:ascii="Times New Roman" w:hAnsi="Times New Roman" w:cs="Times New Roman"/>
          <w:b/>
          <w:bCs/>
          <w:sz w:val="24"/>
          <w:szCs w:val="24"/>
        </w:rPr>
        <w:t>Recommendation 3:</w:t>
      </w:r>
      <w:r w:rsidRPr="00283885">
        <w:rPr>
          <w:rFonts w:ascii="Times New Roman" w:hAnsi="Times New Roman" w:cs="Times New Roman"/>
          <w:bCs/>
          <w:sz w:val="24"/>
          <w:szCs w:val="24"/>
        </w:rPr>
        <w:t xml:space="preserve"> The Australian Greens recommend that the Offshore Petroleum and Greenhouse Gas Storage (Environment) Regulations 2009 be amended to include a requirement for oil proponents to release oil spill modelling and emergency response plans prior to conducting public consultation during the course of preparing or revising an Environment Plan.</w:t>
      </w:r>
    </w:p>
    <w:p w:rsidR="00507404" w:rsidRDefault="00507404" w:rsidP="00283885">
      <w:pPr>
        <w:pBdr>
          <w:top w:val="single" w:sz="4" w:space="1" w:color="auto"/>
          <w:left w:val="single" w:sz="4" w:space="4" w:color="auto"/>
          <w:bottom w:val="single" w:sz="4" w:space="1" w:color="auto"/>
          <w:right w:val="single" w:sz="4" w:space="4" w:color="auto"/>
        </w:pBdr>
        <w:shd w:val="clear" w:color="auto" w:fill="EDEDED" w:themeFill="accent3" w:themeFillTint="33"/>
        <w:rPr>
          <w:rFonts w:ascii="Times New Roman" w:hAnsi="Times New Roman" w:cs="Times New Roman"/>
          <w:bCs/>
          <w:sz w:val="24"/>
          <w:szCs w:val="24"/>
        </w:rPr>
      </w:pPr>
      <w:r>
        <w:rPr>
          <w:rFonts w:ascii="Times New Roman" w:hAnsi="Times New Roman" w:cs="Times New Roman"/>
          <w:b/>
          <w:bCs/>
          <w:sz w:val="24"/>
          <w:szCs w:val="24"/>
        </w:rPr>
        <w:t>Recommendation 4:</w:t>
      </w:r>
      <w:r w:rsidRPr="00F06A2F">
        <w:rPr>
          <w:rFonts w:ascii="Times New Roman" w:hAnsi="Times New Roman" w:cs="Times New Roman"/>
          <w:bCs/>
          <w:sz w:val="24"/>
          <w:szCs w:val="24"/>
        </w:rPr>
        <w:t xml:space="preserve"> </w:t>
      </w:r>
      <w:r w:rsidRPr="008B7EC4">
        <w:rPr>
          <w:rFonts w:ascii="Times New Roman" w:hAnsi="Times New Roman" w:cs="Times New Roman"/>
          <w:bCs/>
          <w:sz w:val="24"/>
          <w:szCs w:val="24"/>
        </w:rPr>
        <w:t>The Australian Greens recommend that the Offshore Petroleum and Greenhouse Gas Storage (Environment) Regulations 2009 be amended to include a mandatory period of public comment during the assessment process for Environment Plans.</w:t>
      </w:r>
    </w:p>
    <w:p w:rsidR="005D0BDF" w:rsidRDefault="00507404" w:rsidP="002C75FD">
      <w:pPr>
        <w:pStyle w:val="Heading3"/>
      </w:pPr>
      <w:r>
        <w:t>Senators Chisholm and Urquhart</w:t>
      </w:r>
    </w:p>
    <w:p w:rsidR="00312110" w:rsidRPr="00641AAD" w:rsidRDefault="00312110" w:rsidP="00641AAD">
      <w:pPr>
        <w:pBdr>
          <w:top w:val="single" w:sz="4" w:space="1" w:color="auto"/>
          <w:left w:val="single" w:sz="4" w:space="4" w:color="auto"/>
          <w:bottom w:val="single" w:sz="4" w:space="1" w:color="auto"/>
          <w:right w:val="single" w:sz="4" w:space="4" w:color="auto"/>
        </w:pBdr>
        <w:shd w:val="clear" w:color="auto" w:fill="EDEDED" w:themeFill="accent3" w:themeFillTint="33"/>
        <w:rPr>
          <w:rFonts w:ascii="Times New Roman" w:hAnsi="Times New Roman" w:cs="Times New Roman"/>
          <w:bCs/>
          <w:sz w:val="24"/>
          <w:szCs w:val="24"/>
        </w:rPr>
      </w:pPr>
      <w:r w:rsidRPr="00641AAD">
        <w:rPr>
          <w:rFonts w:ascii="Times New Roman" w:hAnsi="Times New Roman" w:cs="Times New Roman"/>
          <w:b/>
          <w:bCs/>
          <w:sz w:val="24"/>
          <w:szCs w:val="24"/>
        </w:rPr>
        <w:t xml:space="preserve">Recommendation </w:t>
      </w:r>
      <w:r w:rsidR="00507404" w:rsidRPr="00641AAD">
        <w:rPr>
          <w:rFonts w:ascii="Times New Roman" w:hAnsi="Times New Roman" w:cs="Times New Roman"/>
          <w:b/>
          <w:bCs/>
          <w:sz w:val="24"/>
          <w:szCs w:val="24"/>
        </w:rPr>
        <w:t>1</w:t>
      </w:r>
      <w:r w:rsidRPr="00641AAD">
        <w:rPr>
          <w:rFonts w:ascii="Times New Roman" w:hAnsi="Times New Roman" w:cs="Times New Roman"/>
          <w:b/>
          <w:bCs/>
          <w:sz w:val="24"/>
          <w:szCs w:val="24"/>
        </w:rPr>
        <w:t>:</w:t>
      </w:r>
      <w:r w:rsidRPr="00641AAD">
        <w:rPr>
          <w:rFonts w:ascii="Times New Roman" w:hAnsi="Times New Roman" w:cs="Times New Roman"/>
          <w:bCs/>
          <w:sz w:val="24"/>
          <w:szCs w:val="24"/>
        </w:rPr>
        <w:t xml:space="preserve"> To address the issue of consultation, Labor recommends that the Offshore Petroleum and Greenhouse Gas Storage (Environment) Regulations 2009 be amended to include a mandatory period of public comment during the final assessment process for Environment Plans.</w:t>
      </w:r>
    </w:p>
    <w:p w:rsidR="00507404" w:rsidRPr="00641AAD" w:rsidRDefault="00507404" w:rsidP="00641AAD">
      <w:pPr>
        <w:pBdr>
          <w:top w:val="single" w:sz="4" w:space="1" w:color="auto"/>
          <w:left w:val="single" w:sz="4" w:space="4" w:color="auto"/>
          <w:bottom w:val="single" w:sz="4" w:space="1" w:color="auto"/>
          <w:right w:val="single" w:sz="4" w:space="4" w:color="auto"/>
        </w:pBdr>
        <w:shd w:val="clear" w:color="auto" w:fill="EDEDED" w:themeFill="accent3" w:themeFillTint="33"/>
        <w:rPr>
          <w:rFonts w:ascii="Times New Roman" w:hAnsi="Times New Roman" w:cs="Times New Roman"/>
          <w:bCs/>
          <w:sz w:val="24"/>
          <w:szCs w:val="24"/>
        </w:rPr>
      </w:pPr>
      <w:r w:rsidRPr="00641AAD">
        <w:rPr>
          <w:rFonts w:ascii="Times New Roman" w:hAnsi="Times New Roman" w:cs="Times New Roman"/>
          <w:b/>
          <w:bCs/>
          <w:sz w:val="24"/>
          <w:szCs w:val="24"/>
        </w:rPr>
        <w:t>Recommendation 2:</w:t>
      </w:r>
      <w:r w:rsidRPr="00641AAD">
        <w:rPr>
          <w:rFonts w:ascii="Times New Roman" w:hAnsi="Times New Roman" w:cs="Times New Roman"/>
          <w:bCs/>
          <w:sz w:val="24"/>
          <w:szCs w:val="24"/>
        </w:rPr>
        <w:t xml:space="preserve"> To improve community confidence in NOPSEMA processes, Labor recommends that the Offshore Petroleum and Greenhouse Gas (Environment) Regulation 2009 be amended to include a requirement for oil proponents to publically release oil spill modelling and emergency response plans when final assessments are being made and before public consultation is finalised.</w:t>
      </w:r>
    </w:p>
    <w:p w:rsidR="00312110" w:rsidRDefault="00312110" w:rsidP="00312110">
      <w:pPr>
        <w:rPr>
          <w:rFonts w:ascii="Times New Roman" w:hAnsi="Times New Roman" w:cs="Times New Roman"/>
          <w:bCs/>
          <w:sz w:val="24"/>
          <w:szCs w:val="24"/>
        </w:rPr>
      </w:pPr>
      <w:r w:rsidRPr="008B7EC4">
        <w:rPr>
          <w:rFonts w:ascii="Times New Roman" w:hAnsi="Times New Roman" w:cs="Times New Roman"/>
          <w:bCs/>
          <w:sz w:val="24"/>
          <w:szCs w:val="24"/>
        </w:rPr>
        <w:t xml:space="preserve">The Government </w:t>
      </w:r>
      <w:r>
        <w:rPr>
          <w:rFonts w:ascii="Times New Roman" w:hAnsi="Times New Roman" w:cs="Times New Roman"/>
          <w:bCs/>
          <w:sz w:val="24"/>
          <w:szCs w:val="24"/>
        </w:rPr>
        <w:t>notes</w:t>
      </w:r>
      <w:r w:rsidRPr="008B7EC4">
        <w:rPr>
          <w:rFonts w:ascii="Times New Roman" w:hAnsi="Times New Roman" w:cs="Times New Roman"/>
          <w:bCs/>
          <w:sz w:val="24"/>
          <w:szCs w:val="24"/>
        </w:rPr>
        <w:t xml:space="preserve"> th</w:t>
      </w:r>
      <w:r w:rsidR="005D0BDF">
        <w:rPr>
          <w:rFonts w:ascii="Times New Roman" w:hAnsi="Times New Roman" w:cs="Times New Roman"/>
          <w:bCs/>
          <w:sz w:val="24"/>
          <w:szCs w:val="24"/>
        </w:rPr>
        <w:t>ese</w:t>
      </w:r>
      <w:r w:rsidRPr="008B7EC4">
        <w:rPr>
          <w:rFonts w:ascii="Times New Roman" w:hAnsi="Times New Roman" w:cs="Times New Roman"/>
          <w:bCs/>
          <w:sz w:val="24"/>
          <w:szCs w:val="24"/>
        </w:rPr>
        <w:t xml:space="preserve"> recommendation.</w:t>
      </w:r>
      <w:r>
        <w:rPr>
          <w:rFonts w:ascii="Times New Roman" w:hAnsi="Times New Roman" w:cs="Times New Roman"/>
          <w:bCs/>
          <w:sz w:val="24"/>
          <w:szCs w:val="24"/>
        </w:rPr>
        <w:t xml:space="preserve"> </w:t>
      </w:r>
    </w:p>
    <w:p w:rsidR="00507404" w:rsidRDefault="00312110" w:rsidP="00507404">
      <w:pPr>
        <w:rPr>
          <w:rFonts w:ascii="Times New Roman" w:hAnsi="Times New Roman" w:cs="Times New Roman"/>
          <w:bCs/>
          <w:i/>
          <w:iCs/>
        </w:rPr>
      </w:pPr>
      <w:r w:rsidRPr="007A4C19">
        <w:rPr>
          <w:rFonts w:ascii="Times New Roman" w:hAnsi="Times New Roman" w:cs="Times New Roman"/>
          <w:bCs/>
          <w:sz w:val="24"/>
          <w:szCs w:val="24"/>
        </w:rPr>
        <w:t xml:space="preserve">In 2016, </w:t>
      </w:r>
      <w:r w:rsidR="00507404">
        <w:rPr>
          <w:rFonts w:ascii="Times New Roman" w:hAnsi="Times New Roman" w:cs="Times New Roman"/>
          <w:bCs/>
          <w:sz w:val="24"/>
          <w:szCs w:val="24"/>
        </w:rPr>
        <w:t>t</w:t>
      </w:r>
      <w:r w:rsidR="00507404" w:rsidRPr="00641AAD">
        <w:rPr>
          <w:rFonts w:ascii="Times New Roman" w:hAnsi="Times New Roman" w:cs="Times New Roman"/>
          <w:bCs/>
          <w:sz w:val="24"/>
          <w:szCs w:val="24"/>
        </w:rPr>
        <w:t xml:space="preserve">he </w:t>
      </w:r>
      <w:r w:rsidR="00641AAD">
        <w:rPr>
          <w:rFonts w:ascii="Times New Roman" w:hAnsi="Times New Roman" w:cs="Times New Roman"/>
          <w:bCs/>
          <w:sz w:val="24"/>
          <w:szCs w:val="24"/>
        </w:rPr>
        <w:t>Australian Government</w:t>
      </w:r>
      <w:r w:rsidR="00507404" w:rsidRPr="00641AAD">
        <w:rPr>
          <w:rFonts w:ascii="Times New Roman" w:hAnsi="Times New Roman" w:cs="Times New Roman"/>
          <w:bCs/>
          <w:sz w:val="24"/>
          <w:szCs w:val="24"/>
        </w:rPr>
        <w:t xml:space="preserve"> </w:t>
      </w:r>
      <w:r w:rsidR="00507404">
        <w:rPr>
          <w:rFonts w:ascii="Times New Roman" w:hAnsi="Times New Roman" w:cs="Times New Roman"/>
          <w:bCs/>
          <w:sz w:val="24"/>
          <w:szCs w:val="24"/>
        </w:rPr>
        <w:t xml:space="preserve">undertook a review of the </w:t>
      </w:r>
      <w:r w:rsidR="00507404" w:rsidRPr="00641AAD">
        <w:rPr>
          <w:rFonts w:ascii="Times New Roman" w:hAnsi="Times New Roman" w:cs="Times New Roman"/>
          <w:bCs/>
          <w:sz w:val="24"/>
          <w:szCs w:val="24"/>
        </w:rPr>
        <w:t>consultation and transparency requirements currently in place under the Offshore Petroleum and Greenhouse Gas Storage (Environment) Regulations 2009 (the Environment Regulations).</w:t>
      </w:r>
      <w:r w:rsidR="00507404">
        <w:rPr>
          <w:rFonts w:ascii="Times New Roman" w:hAnsi="Times New Roman" w:cs="Times New Roman"/>
          <w:bCs/>
          <w:i/>
          <w:iCs/>
        </w:rPr>
        <w:t xml:space="preserve"> </w:t>
      </w:r>
    </w:p>
    <w:p w:rsidR="00507404" w:rsidRPr="00641AAD" w:rsidRDefault="00507404" w:rsidP="00507404">
      <w:pPr>
        <w:rPr>
          <w:rFonts w:ascii="Times New Roman" w:hAnsi="Times New Roman" w:cs="Times New Roman"/>
          <w:bCs/>
        </w:rPr>
      </w:pPr>
      <w:r>
        <w:rPr>
          <w:rFonts w:ascii="Times New Roman" w:hAnsi="Times New Roman"/>
          <w:sz w:val="24"/>
          <w:szCs w:val="24"/>
        </w:rPr>
        <w:t xml:space="preserve">The purpose of the review </w:t>
      </w:r>
      <w:r w:rsidRPr="00550A59">
        <w:rPr>
          <w:rFonts w:ascii="Times New Roman" w:hAnsi="Times New Roman"/>
          <w:sz w:val="24"/>
          <w:szCs w:val="24"/>
        </w:rPr>
        <w:t xml:space="preserve">was to identify and examine issues that could impact the effectiveness of the consultation and transparency requirements under the Environment Regulations, and invite comment on draft options to address these issues, including on their potential impact to stakeholders. </w:t>
      </w:r>
      <w:r>
        <w:rPr>
          <w:rFonts w:ascii="Times New Roman" w:hAnsi="Times New Roman" w:cs="Times New Roman"/>
          <w:bCs/>
          <w:sz w:val="24"/>
          <w:szCs w:val="24"/>
        </w:rPr>
        <w:t xml:space="preserve">The review aimed to </w:t>
      </w:r>
      <w:r w:rsidR="00B55053">
        <w:rPr>
          <w:rFonts w:ascii="Times New Roman" w:hAnsi="Times New Roman" w:cs="Times New Roman"/>
          <w:bCs/>
          <w:sz w:val="24"/>
          <w:szCs w:val="24"/>
        </w:rPr>
        <w:t>increase</w:t>
      </w:r>
      <w:r w:rsidRPr="00641AAD">
        <w:rPr>
          <w:rFonts w:ascii="Times New Roman" w:hAnsi="Times New Roman" w:cs="Times New Roman"/>
          <w:bCs/>
          <w:sz w:val="24"/>
          <w:szCs w:val="24"/>
        </w:rPr>
        <w:t xml:space="preserve"> community confidence in the offshore petroleum regime and NOPSEMA’s decision making processes</w:t>
      </w:r>
      <w:r w:rsidR="00B55053">
        <w:rPr>
          <w:rFonts w:ascii="Times New Roman" w:hAnsi="Times New Roman" w:cs="Times New Roman"/>
          <w:bCs/>
          <w:sz w:val="24"/>
          <w:szCs w:val="24"/>
        </w:rPr>
        <w:t>,</w:t>
      </w:r>
      <w:r w:rsidRPr="00641AAD">
        <w:rPr>
          <w:rFonts w:ascii="Times New Roman" w:hAnsi="Times New Roman" w:cs="Times New Roman"/>
          <w:bCs/>
          <w:sz w:val="24"/>
          <w:szCs w:val="24"/>
        </w:rPr>
        <w:t xml:space="preserve"> in support of NOPSEMA’s work program on stakeholder engagement and transparency.</w:t>
      </w:r>
    </w:p>
    <w:p w:rsidR="00C62925" w:rsidRDefault="00C62925" w:rsidP="00507404">
      <w:pPr>
        <w:spacing w:after="240"/>
        <w:rPr>
          <w:rFonts w:ascii="Times New Roman" w:hAnsi="Times New Roman"/>
          <w:sz w:val="24"/>
          <w:szCs w:val="24"/>
        </w:rPr>
      </w:pPr>
    </w:p>
    <w:p w:rsidR="00507404" w:rsidRPr="00550A59" w:rsidRDefault="00507404" w:rsidP="00507404">
      <w:pPr>
        <w:spacing w:after="240"/>
        <w:rPr>
          <w:rFonts w:ascii="Times New Roman" w:hAnsi="Times New Roman"/>
          <w:sz w:val="24"/>
          <w:szCs w:val="24"/>
        </w:rPr>
      </w:pPr>
      <w:r>
        <w:rPr>
          <w:rFonts w:ascii="Times New Roman" w:hAnsi="Times New Roman"/>
          <w:sz w:val="24"/>
          <w:szCs w:val="24"/>
        </w:rPr>
        <w:t>An</w:t>
      </w:r>
      <w:r w:rsidRPr="00550A59">
        <w:rPr>
          <w:rFonts w:ascii="Times New Roman" w:hAnsi="Times New Roman"/>
          <w:sz w:val="24"/>
          <w:szCs w:val="24"/>
        </w:rPr>
        <w:t xml:space="preserve"> issues paper was available for public consultation from 22 March 2016 to 30 April 2016. </w:t>
      </w:r>
      <w:r w:rsidR="00641AAD">
        <w:rPr>
          <w:rFonts w:ascii="Times New Roman" w:hAnsi="Times New Roman"/>
          <w:sz w:val="24"/>
          <w:szCs w:val="24"/>
        </w:rPr>
        <w:t>P</w:t>
      </w:r>
      <w:r w:rsidRPr="00550A59">
        <w:rPr>
          <w:rFonts w:ascii="Times New Roman" w:hAnsi="Times New Roman"/>
          <w:sz w:val="24"/>
          <w:szCs w:val="24"/>
        </w:rPr>
        <w:t>ublic consultation sessions</w:t>
      </w:r>
      <w:r w:rsidR="00641AAD">
        <w:rPr>
          <w:rFonts w:ascii="Times New Roman" w:hAnsi="Times New Roman"/>
          <w:sz w:val="24"/>
          <w:szCs w:val="24"/>
        </w:rPr>
        <w:t xml:space="preserve"> were held </w:t>
      </w:r>
      <w:r w:rsidRPr="00550A59">
        <w:rPr>
          <w:rFonts w:ascii="Times New Roman" w:hAnsi="Times New Roman"/>
          <w:sz w:val="24"/>
          <w:szCs w:val="24"/>
        </w:rPr>
        <w:t>in Darwin, Melbourne, Adelaide and Perth that were attend</w:t>
      </w:r>
      <w:r w:rsidR="00B55053">
        <w:rPr>
          <w:rFonts w:ascii="Times New Roman" w:hAnsi="Times New Roman"/>
          <w:sz w:val="24"/>
          <w:szCs w:val="24"/>
        </w:rPr>
        <w:t>ed</w:t>
      </w:r>
      <w:r w:rsidRPr="00550A59">
        <w:rPr>
          <w:rFonts w:ascii="Times New Roman" w:hAnsi="Times New Roman"/>
          <w:sz w:val="24"/>
          <w:szCs w:val="24"/>
        </w:rPr>
        <w:t xml:space="preserve"> by industry, environmental groups, members of the fishing industry and State and Territory government officials. </w:t>
      </w:r>
    </w:p>
    <w:p w:rsidR="00312110" w:rsidRPr="00641AAD" w:rsidRDefault="083DFEB3" w:rsidP="00641AAD">
      <w:pPr>
        <w:spacing w:after="240"/>
        <w:rPr>
          <w:rFonts w:ascii="Times New Roman" w:hAnsi="Times New Roman"/>
          <w:sz w:val="24"/>
          <w:szCs w:val="24"/>
        </w:rPr>
      </w:pPr>
      <w:r w:rsidRPr="0017094D">
        <w:rPr>
          <w:rFonts w:ascii="Times New Roman" w:eastAsia="Times New Roman" w:hAnsi="Times New Roman" w:cs="Times New Roman"/>
          <w:sz w:val="24"/>
          <w:szCs w:val="24"/>
        </w:rPr>
        <w:t xml:space="preserve">Twenty six </w:t>
      </w:r>
      <w:r w:rsidR="00507404" w:rsidRPr="0017094D">
        <w:rPr>
          <w:rFonts w:ascii="Times New Roman" w:eastAsia="Times New Roman" w:hAnsi="Times New Roman" w:cs="Times New Roman"/>
          <w:sz w:val="24"/>
          <w:szCs w:val="24"/>
        </w:rPr>
        <w:t>submissions</w:t>
      </w:r>
      <w:r w:rsidR="00641AAD">
        <w:rPr>
          <w:rFonts w:ascii="Times New Roman" w:hAnsi="Times New Roman"/>
          <w:sz w:val="24"/>
          <w:szCs w:val="24"/>
        </w:rPr>
        <w:t xml:space="preserve"> were received</w:t>
      </w:r>
      <w:r w:rsidR="00507404" w:rsidRPr="00550A59">
        <w:rPr>
          <w:rFonts w:ascii="Times New Roman" w:hAnsi="Times New Roman"/>
          <w:sz w:val="24"/>
          <w:szCs w:val="24"/>
        </w:rPr>
        <w:t xml:space="preserve"> from a range of government, industry and community stakeholders</w:t>
      </w:r>
      <w:r w:rsidR="00641AAD">
        <w:rPr>
          <w:rFonts w:ascii="Times New Roman" w:hAnsi="Times New Roman"/>
          <w:sz w:val="24"/>
          <w:szCs w:val="24"/>
        </w:rPr>
        <w:t xml:space="preserve">. The Australian Government </w:t>
      </w:r>
      <w:r w:rsidR="00507404" w:rsidRPr="00550A59">
        <w:rPr>
          <w:rFonts w:ascii="Times New Roman" w:hAnsi="Times New Roman"/>
          <w:sz w:val="24"/>
          <w:szCs w:val="24"/>
        </w:rPr>
        <w:t>has considered the submissions and issues raised during the consultation period</w:t>
      </w:r>
      <w:r w:rsidR="00641AAD">
        <w:rPr>
          <w:rFonts w:ascii="Times New Roman" w:hAnsi="Times New Roman"/>
          <w:sz w:val="24"/>
          <w:szCs w:val="24"/>
        </w:rPr>
        <w:t xml:space="preserve"> and </w:t>
      </w:r>
      <w:r w:rsidR="00ED32F5">
        <w:rPr>
          <w:rFonts w:ascii="Times New Roman" w:hAnsi="Times New Roman"/>
          <w:sz w:val="24"/>
          <w:szCs w:val="24"/>
        </w:rPr>
        <w:t>is currently considering the outcomes of th</w:t>
      </w:r>
      <w:r w:rsidR="00620CBF">
        <w:rPr>
          <w:rFonts w:ascii="Times New Roman" w:hAnsi="Times New Roman"/>
          <w:sz w:val="24"/>
          <w:szCs w:val="24"/>
        </w:rPr>
        <w:t>e</w:t>
      </w:r>
      <w:r w:rsidR="00ED32F5">
        <w:rPr>
          <w:rFonts w:ascii="Times New Roman" w:hAnsi="Times New Roman"/>
          <w:sz w:val="24"/>
          <w:szCs w:val="24"/>
        </w:rPr>
        <w:t xml:space="preserve"> review</w:t>
      </w:r>
      <w:r w:rsidR="003B6B37">
        <w:rPr>
          <w:rFonts w:ascii="Times New Roman" w:hAnsi="Times New Roman"/>
          <w:sz w:val="24"/>
          <w:szCs w:val="24"/>
        </w:rPr>
        <w:t>.</w:t>
      </w:r>
    </w:p>
    <w:p w:rsidR="00641AAD" w:rsidRPr="00641AAD" w:rsidRDefault="00641AAD" w:rsidP="00641AAD">
      <w:pPr>
        <w:spacing w:after="240"/>
        <w:rPr>
          <w:rFonts w:ascii="Times New Roman" w:hAnsi="Times New Roman"/>
          <w:sz w:val="24"/>
          <w:szCs w:val="24"/>
        </w:rPr>
      </w:pPr>
      <w:r w:rsidRPr="00641AAD">
        <w:rPr>
          <w:rFonts w:ascii="Times New Roman" w:hAnsi="Times New Roman"/>
          <w:sz w:val="24"/>
          <w:szCs w:val="24"/>
        </w:rPr>
        <w:t xml:space="preserve">It is expected that the outcomes will be finalised in 2017. </w:t>
      </w:r>
    </w:p>
    <w:p w:rsidR="00C468B4" w:rsidRPr="001F526F" w:rsidRDefault="00C468B4" w:rsidP="002C75FD">
      <w:pPr>
        <w:pStyle w:val="Heading2"/>
      </w:pPr>
      <w:r w:rsidRPr="00FF54D4">
        <w:t xml:space="preserve">Recommendations contained in the </w:t>
      </w:r>
      <w:r>
        <w:t>additional comments from the Nick Xenophon Team</w:t>
      </w:r>
    </w:p>
    <w:p w:rsidR="00C468B4" w:rsidRPr="0006108B" w:rsidRDefault="00C468B4" w:rsidP="00C468B4">
      <w:pPr>
        <w:pBdr>
          <w:top w:val="single" w:sz="4" w:space="1" w:color="auto"/>
          <w:left w:val="single" w:sz="4" w:space="4" w:color="auto"/>
          <w:bottom w:val="single" w:sz="4" w:space="1" w:color="auto"/>
          <w:right w:val="single" w:sz="4" w:space="4" w:color="auto"/>
        </w:pBdr>
        <w:shd w:val="clear" w:color="auto" w:fill="EDEDED" w:themeFill="accent3" w:themeFillTint="33"/>
        <w:rPr>
          <w:rFonts w:ascii="Times New Roman" w:hAnsi="Times New Roman" w:cs="Times New Roman"/>
          <w:bCs/>
          <w:sz w:val="24"/>
          <w:szCs w:val="24"/>
        </w:rPr>
      </w:pPr>
      <w:r>
        <w:rPr>
          <w:rFonts w:ascii="Times New Roman" w:hAnsi="Times New Roman" w:cs="Times New Roman"/>
          <w:b/>
          <w:bCs/>
          <w:sz w:val="24"/>
          <w:szCs w:val="24"/>
        </w:rPr>
        <w:t>Recommendation:</w:t>
      </w:r>
      <w:r w:rsidRPr="00F06A2F">
        <w:rPr>
          <w:rFonts w:ascii="Times New Roman" w:hAnsi="Times New Roman" w:cs="Times New Roman"/>
          <w:bCs/>
          <w:sz w:val="24"/>
          <w:szCs w:val="24"/>
        </w:rPr>
        <w:t xml:space="preserve"> </w:t>
      </w:r>
      <w:r w:rsidRPr="0006108B">
        <w:rPr>
          <w:rFonts w:ascii="Times New Roman" w:hAnsi="Times New Roman" w:cs="Times New Roman"/>
          <w:bCs/>
          <w:sz w:val="24"/>
          <w:szCs w:val="24"/>
        </w:rPr>
        <w:t>Nick Xenophon Team</w:t>
      </w:r>
      <w:r>
        <w:rPr>
          <w:rFonts w:ascii="Times New Roman" w:hAnsi="Times New Roman" w:cs="Times New Roman"/>
          <w:bCs/>
          <w:sz w:val="24"/>
          <w:szCs w:val="24"/>
        </w:rPr>
        <w:t xml:space="preserve"> recommend d</w:t>
      </w:r>
      <w:r w:rsidRPr="00A57586">
        <w:rPr>
          <w:rFonts w:ascii="Times New Roman" w:hAnsi="Times New Roman" w:cs="Times New Roman"/>
          <w:bCs/>
          <w:sz w:val="24"/>
          <w:szCs w:val="24"/>
        </w:rPr>
        <w:t>rilling in the Great Australian Bight should not proceed as it fails to meet the burden of proof required by the precautionary principle.</w:t>
      </w:r>
    </w:p>
    <w:p w:rsidR="00C468B4" w:rsidRPr="00283885" w:rsidRDefault="00C468B4" w:rsidP="0006108B">
      <w:pPr>
        <w:rPr>
          <w:rFonts w:ascii="Times New Roman" w:hAnsi="Times New Roman" w:cs="Times New Roman"/>
          <w:bCs/>
          <w:sz w:val="24"/>
          <w:szCs w:val="24"/>
        </w:rPr>
      </w:pPr>
      <w:r w:rsidRPr="00283885">
        <w:rPr>
          <w:rFonts w:ascii="Times New Roman" w:hAnsi="Times New Roman" w:cs="Times New Roman"/>
          <w:bCs/>
          <w:sz w:val="24"/>
          <w:szCs w:val="24"/>
        </w:rPr>
        <w:t xml:space="preserve">The </w:t>
      </w:r>
      <w:r>
        <w:rPr>
          <w:rFonts w:ascii="Times New Roman" w:hAnsi="Times New Roman" w:cs="Times New Roman"/>
          <w:bCs/>
          <w:sz w:val="24"/>
          <w:szCs w:val="24"/>
        </w:rPr>
        <w:t>Government do</w:t>
      </w:r>
      <w:r w:rsidR="003B6B37">
        <w:rPr>
          <w:rFonts w:ascii="Times New Roman" w:hAnsi="Times New Roman" w:cs="Times New Roman"/>
          <w:bCs/>
          <w:sz w:val="24"/>
          <w:szCs w:val="24"/>
        </w:rPr>
        <w:t>es</w:t>
      </w:r>
      <w:r>
        <w:rPr>
          <w:rFonts w:ascii="Times New Roman" w:hAnsi="Times New Roman" w:cs="Times New Roman"/>
          <w:bCs/>
          <w:sz w:val="24"/>
          <w:szCs w:val="24"/>
        </w:rPr>
        <w:t xml:space="preserve"> not support this recommendation</w:t>
      </w:r>
      <w:r w:rsidR="00356B9E">
        <w:rPr>
          <w:rFonts w:ascii="Times New Roman" w:hAnsi="Times New Roman" w:cs="Times New Roman"/>
          <w:bCs/>
          <w:sz w:val="24"/>
          <w:szCs w:val="24"/>
        </w:rPr>
        <w:t xml:space="preserve">. Refer to the response provided to </w:t>
      </w:r>
      <w:r w:rsidR="00F32E4F">
        <w:rPr>
          <w:rFonts w:ascii="Times New Roman" w:hAnsi="Times New Roman" w:cs="Times New Roman"/>
          <w:bCs/>
          <w:sz w:val="24"/>
          <w:szCs w:val="24"/>
        </w:rPr>
        <w:t xml:space="preserve">additional </w:t>
      </w:r>
      <w:r w:rsidR="00356B9E">
        <w:rPr>
          <w:rFonts w:ascii="Times New Roman" w:hAnsi="Times New Roman" w:cs="Times New Roman"/>
          <w:bCs/>
          <w:sz w:val="24"/>
          <w:szCs w:val="24"/>
        </w:rPr>
        <w:t xml:space="preserve">comments from the Australian Greens, </w:t>
      </w:r>
      <w:r>
        <w:rPr>
          <w:rFonts w:ascii="Times New Roman" w:hAnsi="Times New Roman" w:cs="Times New Roman"/>
          <w:bCs/>
          <w:sz w:val="24"/>
          <w:szCs w:val="24"/>
        </w:rPr>
        <w:t>Recommendation 1</w:t>
      </w:r>
      <w:r w:rsidR="00356B9E">
        <w:rPr>
          <w:rFonts w:ascii="Times New Roman" w:hAnsi="Times New Roman" w:cs="Times New Roman"/>
          <w:bCs/>
          <w:sz w:val="24"/>
          <w:szCs w:val="24"/>
        </w:rPr>
        <w:t>, above</w:t>
      </w:r>
      <w:r>
        <w:rPr>
          <w:rFonts w:ascii="Times New Roman" w:hAnsi="Times New Roman" w:cs="Times New Roman"/>
          <w:bCs/>
          <w:sz w:val="24"/>
          <w:szCs w:val="24"/>
        </w:rPr>
        <w:t>.</w:t>
      </w:r>
    </w:p>
    <w:p w:rsidR="00C52228" w:rsidRPr="00641AAD" w:rsidRDefault="00C52228" w:rsidP="00641AAD">
      <w:r>
        <w:rPr>
          <w:rFonts w:ascii="Times New Roman" w:hAnsi="Times New Roman" w:cs="Times New Roman"/>
          <w:bCs/>
          <w:sz w:val="24"/>
          <w:szCs w:val="24"/>
        </w:rPr>
        <w:t xml:space="preserve">The </w:t>
      </w:r>
      <w:r w:rsidR="0055746A">
        <w:rPr>
          <w:rFonts w:ascii="Times New Roman" w:hAnsi="Times New Roman" w:cs="Times New Roman"/>
          <w:bCs/>
          <w:sz w:val="24"/>
          <w:szCs w:val="24"/>
        </w:rPr>
        <w:t xml:space="preserve">objectives of the </w:t>
      </w:r>
      <w:r>
        <w:rPr>
          <w:rFonts w:ascii="Times New Roman" w:hAnsi="Times New Roman" w:cs="Times New Roman"/>
          <w:bCs/>
          <w:sz w:val="24"/>
          <w:szCs w:val="24"/>
        </w:rPr>
        <w:t xml:space="preserve">Environment Regulations </w:t>
      </w:r>
      <w:r w:rsidRPr="00641AAD" w:rsidDel="00F32E4F">
        <w:rPr>
          <w:rFonts w:ascii="Times New Roman" w:hAnsi="Times New Roman" w:cs="Times New Roman"/>
          <w:bCs/>
          <w:sz w:val="24"/>
          <w:szCs w:val="24"/>
        </w:rPr>
        <w:t xml:space="preserve">are </w:t>
      </w:r>
      <w:r w:rsidRPr="00641AAD">
        <w:rPr>
          <w:rFonts w:ascii="Times New Roman" w:hAnsi="Times New Roman" w:cs="Times New Roman"/>
          <w:bCs/>
          <w:sz w:val="24"/>
          <w:szCs w:val="24"/>
        </w:rPr>
        <w:t>to ensure all offshore petroleum and greenhouse gas storage activities are carried out in a manner consistent with the principles of ecologically sustainable development.</w:t>
      </w:r>
      <w:r>
        <w:rPr>
          <w:rFonts w:ascii="Times New Roman" w:hAnsi="Times New Roman" w:cs="Times New Roman"/>
          <w:bCs/>
          <w:sz w:val="24"/>
          <w:szCs w:val="24"/>
        </w:rPr>
        <w:t xml:space="preserve"> The</w:t>
      </w:r>
      <w:r w:rsidRPr="00641AAD">
        <w:rPr>
          <w:rFonts w:ascii="Times New Roman" w:hAnsi="Times New Roman" w:cs="Times New Roman"/>
          <w:bCs/>
          <w:sz w:val="24"/>
          <w:szCs w:val="24"/>
        </w:rPr>
        <w:t xml:space="preserve"> objective-based regulatory framework ensures activities are carried out in accordance with an Environment Plan that has appropriate environmental performance outcomes and environmental performance standards. </w:t>
      </w:r>
      <w:r w:rsidR="004D431F">
        <w:rPr>
          <w:rFonts w:ascii="Times New Roman" w:hAnsi="Times New Roman" w:cs="Times New Roman"/>
          <w:bCs/>
          <w:sz w:val="24"/>
          <w:szCs w:val="24"/>
        </w:rPr>
        <w:t>These</w:t>
      </w:r>
      <w:r w:rsidRPr="00641AAD">
        <w:rPr>
          <w:rFonts w:ascii="Times New Roman" w:hAnsi="Times New Roman" w:cs="Times New Roman"/>
          <w:bCs/>
          <w:sz w:val="24"/>
          <w:szCs w:val="24"/>
        </w:rPr>
        <w:t xml:space="preserve"> performance outcomes and performance standards must take into account all relevant information. </w:t>
      </w:r>
    </w:p>
    <w:p w:rsidR="00C52228" w:rsidRDefault="003B6B37" w:rsidP="00641AAD">
      <w:pPr>
        <w:rPr>
          <w:rFonts w:ascii="Times New Roman" w:hAnsi="Times New Roman" w:cs="Times New Roman"/>
          <w:bCs/>
          <w:sz w:val="24"/>
          <w:szCs w:val="24"/>
        </w:rPr>
      </w:pPr>
      <w:r w:rsidRPr="00641AAD">
        <w:rPr>
          <w:rFonts w:ascii="Times New Roman" w:hAnsi="Times New Roman" w:cs="Times New Roman"/>
          <w:bCs/>
          <w:sz w:val="24"/>
          <w:szCs w:val="24"/>
        </w:rPr>
        <w:t xml:space="preserve">Under the Environment Regulations, a titleholder must </w:t>
      </w:r>
      <w:r w:rsidR="00C52228">
        <w:rPr>
          <w:rFonts w:ascii="Times New Roman" w:hAnsi="Times New Roman" w:cs="Times New Roman"/>
          <w:bCs/>
          <w:sz w:val="24"/>
          <w:szCs w:val="24"/>
        </w:rPr>
        <w:t xml:space="preserve">prepare an Environment Plan for assessment and acceptance by NOPSEMA for all petroleum activities. As part of the Environment Plan, the titleholder must </w:t>
      </w:r>
      <w:r w:rsidR="00C52228" w:rsidRPr="00641AAD">
        <w:rPr>
          <w:rFonts w:ascii="Times New Roman" w:hAnsi="Times New Roman" w:cs="Times New Roman"/>
          <w:bCs/>
          <w:sz w:val="24"/>
          <w:szCs w:val="24"/>
        </w:rPr>
        <w:t>describe and evaluate</w:t>
      </w:r>
      <w:r w:rsidRPr="00641AAD">
        <w:rPr>
          <w:rFonts w:ascii="Times New Roman" w:hAnsi="Times New Roman" w:cs="Times New Roman"/>
          <w:bCs/>
          <w:sz w:val="24"/>
          <w:szCs w:val="24"/>
        </w:rPr>
        <w:t xml:space="preserve"> all environmental impacts and risks that could occur as result (in whole or in part) of the activity, and demonstrate that those impacts and risks are of an acceptable level and reduced to as low as reasonably practicable</w:t>
      </w:r>
      <w:r w:rsidR="00C52228">
        <w:rPr>
          <w:rFonts w:ascii="Times New Roman" w:hAnsi="Times New Roman" w:cs="Times New Roman"/>
          <w:bCs/>
          <w:sz w:val="24"/>
          <w:szCs w:val="24"/>
        </w:rPr>
        <w:t xml:space="preserve"> (ALARP)</w:t>
      </w:r>
      <w:r w:rsidRPr="00641AAD">
        <w:rPr>
          <w:rFonts w:ascii="Times New Roman" w:hAnsi="Times New Roman" w:cs="Times New Roman"/>
          <w:bCs/>
          <w:sz w:val="24"/>
          <w:szCs w:val="24"/>
        </w:rPr>
        <w:t>.</w:t>
      </w:r>
    </w:p>
    <w:p w:rsidR="00C52228" w:rsidRPr="00641AAD" w:rsidRDefault="00C52228" w:rsidP="00641AAD">
      <w:pPr>
        <w:rPr>
          <w:rFonts w:ascii="Times New Roman" w:hAnsi="Times New Roman" w:cs="Times New Roman"/>
          <w:bCs/>
          <w:sz w:val="24"/>
          <w:szCs w:val="24"/>
        </w:rPr>
      </w:pPr>
      <w:r w:rsidRPr="00641AAD">
        <w:rPr>
          <w:rFonts w:ascii="Times New Roman" w:hAnsi="Times New Roman" w:cs="Times New Roman"/>
          <w:bCs/>
          <w:sz w:val="24"/>
          <w:szCs w:val="24"/>
        </w:rPr>
        <w:t xml:space="preserve">An </w:t>
      </w:r>
      <w:r>
        <w:rPr>
          <w:rFonts w:ascii="Times New Roman" w:hAnsi="Times New Roman" w:cs="Times New Roman"/>
          <w:bCs/>
          <w:sz w:val="24"/>
          <w:szCs w:val="24"/>
        </w:rPr>
        <w:t>ALARP</w:t>
      </w:r>
      <w:r w:rsidRPr="00641AAD">
        <w:rPr>
          <w:rFonts w:ascii="Times New Roman" w:hAnsi="Times New Roman" w:cs="Times New Roman"/>
          <w:bCs/>
          <w:sz w:val="24"/>
          <w:szCs w:val="24"/>
        </w:rPr>
        <w:t xml:space="preserve"> objective allows titleholders to adopt environmental practices and technologies that are suited to individual circumstances, activities and locations, while taking into account costs and other factors to ensure a reasonable approach to environmental impact and risk improvements. The titleholder must show how impacts and risks will continue to be reduced to ALARP for the life of the activity. Demonstration of ALARP requires assessment of impacts and risks in the particular environmental context of the activity.</w:t>
      </w:r>
    </w:p>
    <w:p w:rsidR="00696D4E" w:rsidRPr="0006108B" w:rsidRDefault="003B6B37" w:rsidP="00C468B4">
      <w:pPr>
        <w:rPr>
          <w:rFonts w:ascii="Times New Roman" w:hAnsi="Times New Roman" w:cs="Times New Roman"/>
          <w:bCs/>
          <w:sz w:val="24"/>
          <w:szCs w:val="24"/>
        </w:rPr>
      </w:pPr>
      <w:r w:rsidRPr="00641AAD">
        <w:rPr>
          <w:rFonts w:ascii="Times New Roman" w:hAnsi="Times New Roman" w:cs="Times New Roman"/>
          <w:bCs/>
          <w:sz w:val="24"/>
          <w:szCs w:val="24"/>
        </w:rPr>
        <w:t xml:space="preserve">NOPSEMA must not accept </w:t>
      </w:r>
      <w:r w:rsidR="00C52228">
        <w:rPr>
          <w:rFonts w:ascii="Times New Roman" w:hAnsi="Times New Roman" w:cs="Times New Roman"/>
          <w:bCs/>
          <w:sz w:val="24"/>
          <w:szCs w:val="24"/>
        </w:rPr>
        <w:t>an</w:t>
      </w:r>
      <w:r w:rsidRPr="00641AAD">
        <w:rPr>
          <w:rFonts w:ascii="Times New Roman" w:hAnsi="Times New Roman" w:cs="Times New Roman"/>
          <w:bCs/>
          <w:sz w:val="24"/>
          <w:szCs w:val="24"/>
        </w:rPr>
        <w:t xml:space="preserve"> Environment Plan if it is not reasonably satisfied with this demonstration. Therefore, in the event that there is not sufficient scientific certainty in relation to an environmental impact or risk – or the impacts and risks of any mitigation measures, the Environment Plan will not be accepted</w:t>
      </w:r>
      <w:r w:rsidR="00657DB3">
        <w:rPr>
          <w:rFonts w:ascii="Times New Roman" w:hAnsi="Times New Roman" w:cs="Times New Roman"/>
          <w:bCs/>
          <w:sz w:val="24"/>
          <w:szCs w:val="24"/>
        </w:rPr>
        <w:t xml:space="preserve"> and the activity cannot proceed</w:t>
      </w:r>
      <w:r w:rsidRPr="00641AAD">
        <w:rPr>
          <w:rFonts w:ascii="Times New Roman" w:hAnsi="Times New Roman" w:cs="Times New Roman"/>
          <w:bCs/>
          <w:sz w:val="24"/>
          <w:szCs w:val="24"/>
        </w:rPr>
        <w:t>.</w:t>
      </w:r>
    </w:p>
    <w:sectPr w:rsidR="00696D4E" w:rsidRPr="0006108B" w:rsidSect="00A247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1B4" w:rsidRDefault="00F501B4" w:rsidP="00424D01">
      <w:pPr>
        <w:spacing w:after="0" w:line="240" w:lineRule="auto"/>
      </w:pPr>
      <w:r>
        <w:separator/>
      </w:r>
    </w:p>
  </w:endnote>
  <w:endnote w:type="continuationSeparator" w:id="0">
    <w:p w:rsidR="00F501B4" w:rsidRDefault="00F501B4" w:rsidP="00424D01">
      <w:pPr>
        <w:spacing w:after="0" w:line="240" w:lineRule="auto"/>
      </w:pPr>
      <w:r>
        <w:continuationSeparator/>
      </w:r>
    </w:p>
  </w:endnote>
  <w:endnote w:type="continuationNotice" w:id="1">
    <w:p w:rsidR="00F501B4" w:rsidRDefault="00F501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1B4" w:rsidRDefault="00F501B4" w:rsidP="00424D01">
      <w:pPr>
        <w:spacing w:after="0" w:line="240" w:lineRule="auto"/>
      </w:pPr>
      <w:r>
        <w:separator/>
      </w:r>
    </w:p>
  </w:footnote>
  <w:footnote w:type="continuationSeparator" w:id="0">
    <w:p w:rsidR="00F501B4" w:rsidRDefault="00F501B4" w:rsidP="00424D01">
      <w:pPr>
        <w:spacing w:after="0" w:line="240" w:lineRule="auto"/>
      </w:pPr>
      <w:r>
        <w:continuationSeparator/>
      </w:r>
    </w:p>
  </w:footnote>
  <w:footnote w:type="continuationNotice" w:id="1">
    <w:p w:rsidR="00F501B4" w:rsidRDefault="00F501B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412BE"/>
    <w:multiLevelType w:val="hybridMultilevel"/>
    <w:tmpl w:val="6C8EE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B91B0A"/>
    <w:multiLevelType w:val="hybridMultilevel"/>
    <w:tmpl w:val="1D0E17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24B1BEE"/>
    <w:multiLevelType w:val="hybridMultilevel"/>
    <w:tmpl w:val="87D43CA8"/>
    <w:lvl w:ilvl="0" w:tplc="0C0EEEB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5D35CF"/>
    <w:multiLevelType w:val="hybridMultilevel"/>
    <w:tmpl w:val="68EE0888"/>
    <w:lvl w:ilvl="0" w:tplc="A4143F68">
      <w:start w:val="1"/>
      <w:numFmt w:val="decimal"/>
      <w:pStyle w:val="Numberlist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7404708"/>
    <w:multiLevelType w:val="hybridMultilevel"/>
    <w:tmpl w:val="8786863A"/>
    <w:lvl w:ilvl="0" w:tplc="F9FE174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0AB2721"/>
    <w:multiLevelType w:val="hybridMultilevel"/>
    <w:tmpl w:val="3A26397E"/>
    <w:lvl w:ilvl="0" w:tplc="39840100">
      <w:start w:val="1"/>
      <w:numFmt w:val="bullet"/>
      <w:lvlText w:val=""/>
      <w:lvlJc w:val="left"/>
      <w:pPr>
        <w:ind w:left="360" w:hanging="360"/>
      </w:pPr>
      <w:rPr>
        <w:rFonts w:ascii="Symbol" w:hAnsi="Symbol" w:hint="default"/>
      </w:rPr>
    </w:lvl>
    <w:lvl w:ilvl="1" w:tplc="94A86170">
      <w:start w:val="1"/>
      <w:numFmt w:val="bullet"/>
      <w:lvlText w:val="-"/>
      <w:lvlJc w:val="left"/>
      <w:pPr>
        <w:ind w:left="1080" w:hanging="360"/>
      </w:pPr>
      <w:rPr>
        <w:rFonts w:ascii="Courier New" w:hAnsi="Courier New" w:hint="default"/>
      </w:rPr>
    </w:lvl>
    <w:lvl w:ilvl="2" w:tplc="934A15B6">
      <w:start w:val="1"/>
      <w:numFmt w:val="bullet"/>
      <w:lvlText w:val=""/>
      <w:lvlJc w:val="left"/>
      <w:pPr>
        <w:ind w:left="1800" w:hanging="360"/>
      </w:pPr>
      <w:rPr>
        <w:rFonts w:ascii="Wingdings" w:hAnsi="Wingdings" w:hint="default"/>
      </w:rPr>
    </w:lvl>
    <w:lvl w:ilvl="3" w:tplc="281AE804" w:tentative="1">
      <w:start w:val="1"/>
      <w:numFmt w:val="bullet"/>
      <w:lvlText w:val=""/>
      <w:lvlJc w:val="left"/>
      <w:pPr>
        <w:ind w:left="2520" w:hanging="360"/>
      </w:pPr>
      <w:rPr>
        <w:rFonts w:ascii="Symbol" w:hAnsi="Symbol" w:hint="default"/>
      </w:rPr>
    </w:lvl>
    <w:lvl w:ilvl="4" w:tplc="81E2589C" w:tentative="1">
      <w:start w:val="1"/>
      <w:numFmt w:val="bullet"/>
      <w:lvlText w:val="o"/>
      <w:lvlJc w:val="left"/>
      <w:pPr>
        <w:ind w:left="3240" w:hanging="360"/>
      </w:pPr>
      <w:rPr>
        <w:rFonts w:ascii="Courier New" w:hAnsi="Courier New" w:cs="Courier New" w:hint="default"/>
      </w:rPr>
    </w:lvl>
    <w:lvl w:ilvl="5" w:tplc="D12888DA" w:tentative="1">
      <w:start w:val="1"/>
      <w:numFmt w:val="bullet"/>
      <w:lvlText w:val=""/>
      <w:lvlJc w:val="left"/>
      <w:pPr>
        <w:ind w:left="3960" w:hanging="360"/>
      </w:pPr>
      <w:rPr>
        <w:rFonts w:ascii="Wingdings" w:hAnsi="Wingdings" w:hint="default"/>
      </w:rPr>
    </w:lvl>
    <w:lvl w:ilvl="6" w:tplc="79E835E6" w:tentative="1">
      <w:start w:val="1"/>
      <w:numFmt w:val="bullet"/>
      <w:lvlText w:val=""/>
      <w:lvlJc w:val="left"/>
      <w:pPr>
        <w:ind w:left="4680" w:hanging="360"/>
      </w:pPr>
      <w:rPr>
        <w:rFonts w:ascii="Symbol" w:hAnsi="Symbol" w:hint="default"/>
      </w:rPr>
    </w:lvl>
    <w:lvl w:ilvl="7" w:tplc="28DCDA0E" w:tentative="1">
      <w:start w:val="1"/>
      <w:numFmt w:val="bullet"/>
      <w:lvlText w:val="o"/>
      <w:lvlJc w:val="left"/>
      <w:pPr>
        <w:ind w:left="5400" w:hanging="360"/>
      </w:pPr>
      <w:rPr>
        <w:rFonts w:ascii="Courier New" w:hAnsi="Courier New" w:cs="Courier New" w:hint="default"/>
      </w:rPr>
    </w:lvl>
    <w:lvl w:ilvl="8" w:tplc="085E8360" w:tentative="1">
      <w:start w:val="1"/>
      <w:numFmt w:val="bullet"/>
      <w:lvlText w:val=""/>
      <w:lvlJc w:val="left"/>
      <w:pPr>
        <w:ind w:left="6120" w:hanging="360"/>
      </w:pPr>
      <w:rPr>
        <w:rFonts w:ascii="Wingdings" w:hAnsi="Wingdings" w:hint="default"/>
      </w:rPr>
    </w:lvl>
  </w:abstractNum>
  <w:abstractNum w:abstractNumId="6" w15:restartNumberingAfterBreak="0">
    <w:nsid w:val="54AE6ECC"/>
    <w:multiLevelType w:val="hybridMultilevel"/>
    <w:tmpl w:val="9322FBA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5D97409"/>
    <w:multiLevelType w:val="hybridMultilevel"/>
    <w:tmpl w:val="9322FBA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6E53269"/>
    <w:multiLevelType w:val="multilevel"/>
    <w:tmpl w:val="2556AFF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8AA71D9"/>
    <w:multiLevelType w:val="hybridMultilevel"/>
    <w:tmpl w:val="0D42E4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FA657B7"/>
    <w:multiLevelType w:val="hybridMultilevel"/>
    <w:tmpl w:val="999697C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10"/>
  </w:num>
  <w:num w:numId="5">
    <w:abstractNumId w:val="7"/>
  </w:num>
  <w:num w:numId="6">
    <w:abstractNumId w:val="6"/>
  </w:num>
  <w:num w:numId="7">
    <w:abstractNumId w:val="9"/>
  </w:num>
  <w:num w:numId="8">
    <w:abstractNumId w:val="2"/>
  </w:num>
  <w:num w:numId="9">
    <w:abstractNumId w:val="5"/>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D2"/>
    <w:rsid w:val="000168B4"/>
    <w:rsid w:val="00021D7A"/>
    <w:rsid w:val="000275A3"/>
    <w:rsid w:val="00042AFF"/>
    <w:rsid w:val="0006108B"/>
    <w:rsid w:val="00076DEE"/>
    <w:rsid w:val="000972D2"/>
    <w:rsid w:val="000C3856"/>
    <w:rsid w:val="000D3F3F"/>
    <w:rsid w:val="0011004F"/>
    <w:rsid w:val="00114031"/>
    <w:rsid w:val="00127609"/>
    <w:rsid w:val="00132E18"/>
    <w:rsid w:val="00140A39"/>
    <w:rsid w:val="00155E59"/>
    <w:rsid w:val="00167868"/>
    <w:rsid w:val="00167C68"/>
    <w:rsid w:val="0017094D"/>
    <w:rsid w:val="00177C54"/>
    <w:rsid w:val="00194D41"/>
    <w:rsid w:val="00197E8F"/>
    <w:rsid w:val="001D0459"/>
    <w:rsid w:val="001F0657"/>
    <w:rsid w:val="001F526F"/>
    <w:rsid w:val="00260C4D"/>
    <w:rsid w:val="00283885"/>
    <w:rsid w:val="00287E01"/>
    <w:rsid w:val="002A72C5"/>
    <w:rsid w:val="002C18BB"/>
    <w:rsid w:val="002C40A8"/>
    <w:rsid w:val="002C75FD"/>
    <w:rsid w:val="002D4314"/>
    <w:rsid w:val="002D4457"/>
    <w:rsid w:val="00305E10"/>
    <w:rsid w:val="00312110"/>
    <w:rsid w:val="00320E8E"/>
    <w:rsid w:val="00334032"/>
    <w:rsid w:val="00356B9E"/>
    <w:rsid w:val="00361115"/>
    <w:rsid w:val="00367763"/>
    <w:rsid w:val="003678B2"/>
    <w:rsid w:val="003713BE"/>
    <w:rsid w:val="00392AFB"/>
    <w:rsid w:val="00394786"/>
    <w:rsid w:val="003A1086"/>
    <w:rsid w:val="003B1835"/>
    <w:rsid w:val="003B6B37"/>
    <w:rsid w:val="003C7BA1"/>
    <w:rsid w:val="003E159E"/>
    <w:rsid w:val="003F6B07"/>
    <w:rsid w:val="00405369"/>
    <w:rsid w:val="00421F66"/>
    <w:rsid w:val="00421F6A"/>
    <w:rsid w:val="00424D01"/>
    <w:rsid w:val="00445B1F"/>
    <w:rsid w:val="00477563"/>
    <w:rsid w:val="00487427"/>
    <w:rsid w:val="00496370"/>
    <w:rsid w:val="004B7C51"/>
    <w:rsid w:val="004D431F"/>
    <w:rsid w:val="004D5156"/>
    <w:rsid w:val="004F7CB3"/>
    <w:rsid w:val="00507404"/>
    <w:rsid w:val="0055746A"/>
    <w:rsid w:val="0056038D"/>
    <w:rsid w:val="005837E4"/>
    <w:rsid w:val="0058766E"/>
    <w:rsid w:val="00592EF6"/>
    <w:rsid w:val="005B5137"/>
    <w:rsid w:val="005D0BDF"/>
    <w:rsid w:val="005F28F1"/>
    <w:rsid w:val="005F4ECE"/>
    <w:rsid w:val="00620CBF"/>
    <w:rsid w:val="00627C4A"/>
    <w:rsid w:val="00634CE7"/>
    <w:rsid w:val="00640446"/>
    <w:rsid w:val="00641AAD"/>
    <w:rsid w:val="00643ECC"/>
    <w:rsid w:val="00645D4D"/>
    <w:rsid w:val="00646B42"/>
    <w:rsid w:val="006474A4"/>
    <w:rsid w:val="00657DB3"/>
    <w:rsid w:val="00671695"/>
    <w:rsid w:val="00671DBE"/>
    <w:rsid w:val="00676642"/>
    <w:rsid w:val="00680D29"/>
    <w:rsid w:val="006810A8"/>
    <w:rsid w:val="00681DF9"/>
    <w:rsid w:val="0069159C"/>
    <w:rsid w:val="00696D4E"/>
    <w:rsid w:val="006B2477"/>
    <w:rsid w:val="007219F1"/>
    <w:rsid w:val="007412BE"/>
    <w:rsid w:val="0074281B"/>
    <w:rsid w:val="007632EC"/>
    <w:rsid w:val="00797BB8"/>
    <w:rsid w:val="007A4C19"/>
    <w:rsid w:val="007C4781"/>
    <w:rsid w:val="007D0E7C"/>
    <w:rsid w:val="007D7E88"/>
    <w:rsid w:val="007E1D96"/>
    <w:rsid w:val="007F03C7"/>
    <w:rsid w:val="0081569A"/>
    <w:rsid w:val="00815F28"/>
    <w:rsid w:val="008434FA"/>
    <w:rsid w:val="00845643"/>
    <w:rsid w:val="00862E74"/>
    <w:rsid w:val="008657FD"/>
    <w:rsid w:val="00866CD9"/>
    <w:rsid w:val="00885AEA"/>
    <w:rsid w:val="00892E4D"/>
    <w:rsid w:val="008B5D2C"/>
    <w:rsid w:val="008B7EC4"/>
    <w:rsid w:val="008F4D79"/>
    <w:rsid w:val="008F6FC6"/>
    <w:rsid w:val="00905A9D"/>
    <w:rsid w:val="00955F83"/>
    <w:rsid w:val="00972767"/>
    <w:rsid w:val="00992702"/>
    <w:rsid w:val="00996A0A"/>
    <w:rsid w:val="009A7AC9"/>
    <w:rsid w:val="009B5E9B"/>
    <w:rsid w:val="009F74AF"/>
    <w:rsid w:val="00A044EA"/>
    <w:rsid w:val="00A2474B"/>
    <w:rsid w:val="00A57586"/>
    <w:rsid w:val="00A71B49"/>
    <w:rsid w:val="00A959CA"/>
    <w:rsid w:val="00A96D64"/>
    <w:rsid w:val="00AA2272"/>
    <w:rsid w:val="00AB0C25"/>
    <w:rsid w:val="00AE1B08"/>
    <w:rsid w:val="00AF3BE8"/>
    <w:rsid w:val="00B03191"/>
    <w:rsid w:val="00B07C57"/>
    <w:rsid w:val="00B115E7"/>
    <w:rsid w:val="00B20709"/>
    <w:rsid w:val="00B32976"/>
    <w:rsid w:val="00B34AC4"/>
    <w:rsid w:val="00B42E41"/>
    <w:rsid w:val="00B50000"/>
    <w:rsid w:val="00B55053"/>
    <w:rsid w:val="00BA2D83"/>
    <w:rsid w:val="00BB31EC"/>
    <w:rsid w:val="00BD45B9"/>
    <w:rsid w:val="00BE4C34"/>
    <w:rsid w:val="00BF6AA1"/>
    <w:rsid w:val="00C06BEB"/>
    <w:rsid w:val="00C12310"/>
    <w:rsid w:val="00C30F5B"/>
    <w:rsid w:val="00C468B4"/>
    <w:rsid w:val="00C5149F"/>
    <w:rsid w:val="00C52228"/>
    <w:rsid w:val="00C62925"/>
    <w:rsid w:val="00C804AD"/>
    <w:rsid w:val="00C964A0"/>
    <w:rsid w:val="00CB3E0E"/>
    <w:rsid w:val="00CB53A9"/>
    <w:rsid w:val="00D0121C"/>
    <w:rsid w:val="00D05A4A"/>
    <w:rsid w:val="00D25925"/>
    <w:rsid w:val="00D575AB"/>
    <w:rsid w:val="00D648A6"/>
    <w:rsid w:val="00D846C8"/>
    <w:rsid w:val="00DA6CA1"/>
    <w:rsid w:val="00DC7B9F"/>
    <w:rsid w:val="00DD18CD"/>
    <w:rsid w:val="00DE20DF"/>
    <w:rsid w:val="00DE3E5A"/>
    <w:rsid w:val="00E00256"/>
    <w:rsid w:val="00E36F98"/>
    <w:rsid w:val="00E57A34"/>
    <w:rsid w:val="00E84009"/>
    <w:rsid w:val="00E87220"/>
    <w:rsid w:val="00E946C2"/>
    <w:rsid w:val="00EA0937"/>
    <w:rsid w:val="00EB3660"/>
    <w:rsid w:val="00EB6B0C"/>
    <w:rsid w:val="00ED32F5"/>
    <w:rsid w:val="00ED67E0"/>
    <w:rsid w:val="00EE690F"/>
    <w:rsid w:val="00EE6F9F"/>
    <w:rsid w:val="00F06A2F"/>
    <w:rsid w:val="00F22E98"/>
    <w:rsid w:val="00F26085"/>
    <w:rsid w:val="00F26207"/>
    <w:rsid w:val="00F26DA7"/>
    <w:rsid w:val="00F32E4F"/>
    <w:rsid w:val="00F35C23"/>
    <w:rsid w:val="00F421E9"/>
    <w:rsid w:val="00F501B4"/>
    <w:rsid w:val="00F62EB4"/>
    <w:rsid w:val="00F818E1"/>
    <w:rsid w:val="00F93A1B"/>
    <w:rsid w:val="00FB5234"/>
    <w:rsid w:val="00FF54D4"/>
    <w:rsid w:val="0310B4B4"/>
    <w:rsid w:val="083DFE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05792C-CA41-4DFD-AA54-34B12497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4EA"/>
  </w:style>
  <w:style w:type="paragraph" w:styleId="Heading1">
    <w:name w:val="heading 1"/>
    <w:basedOn w:val="Normal"/>
    <w:next w:val="Normal"/>
    <w:link w:val="Heading1Char"/>
    <w:uiPriority w:val="9"/>
    <w:qFormat/>
    <w:rsid w:val="00B115E7"/>
    <w:pPr>
      <w:keepNext/>
      <w:keepLines/>
      <w:spacing w:before="240" w:after="120"/>
      <w:outlineLvl w:val="0"/>
    </w:pPr>
    <w:rPr>
      <w:rFonts w:ascii="Times New Roman" w:eastAsiaTheme="majorEastAsia" w:hAnsi="Times New Roman" w:cstheme="majorBidi"/>
      <w:b/>
      <w:sz w:val="36"/>
      <w:szCs w:val="32"/>
    </w:rPr>
  </w:style>
  <w:style w:type="paragraph" w:styleId="Heading2">
    <w:name w:val="heading 2"/>
    <w:basedOn w:val="Normal"/>
    <w:next w:val="Normal"/>
    <w:link w:val="Heading2Char"/>
    <w:uiPriority w:val="9"/>
    <w:unhideWhenUsed/>
    <w:qFormat/>
    <w:rsid w:val="00477563"/>
    <w:pPr>
      <w:keepNext/>
      <w:keepLines/>
      <w:spacing w:before="40" w:after="120"/>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uiPriority w:val="9"/>
    <w:unhideWhenUsed/>
    <w:qFormat/>
    <w:rsid w:val="005D0BDF"/>
    <w:pPr>
      <w:keepNext/>
      <w:keepLines/>
      <w:spacing w:before="240" w:after="12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507404"/>
    <w:pPr>
      <w:keepNext/>
      <w:keepLines/>
      <w:spacing w:before="40" w:after="240"/>
      <w:outlineLvl w:val="3"/>
    </w:pPr>
    <w:rPr>
      <w:rFonts w:ascii="Times New Roman" w:eastAsiaTheme="majorEastAsia" w:hAnsi="Times New Roman"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D01"/>
  </w:style>
  <w:style w:type="paragraph" w:styleId="Footer">
    <w:name w:val="footer"/>
    <w:basedOn w:val="Normal"/>
    <w:link w:val="FooterChar"/>
    <w:uiPriority w:val="99"/>
    <w:unhideWhenUsed/>
    <w:rsid w:val="00424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D01"/>
  </w:style>
  <w:style w:type="paragraph" w:customStyle="1" w:styleId="Default">
    <w:name w:val="Default"/>
    <w:rsid w:val="002A72C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L,List Paragraph1,List Paragraph11,Recommendation,bullet point list,1 heading,Bulleted Para,CV text,Dot pt,F5 List Paragraph,FooterText,List Paragraph111,List Paragraph2,Medium Grid 1 - Accent 21,NFP GP Bulleted List,Numbered Paragraph"/>
    <w:basedOn w:val="Normal"/>
    <w:link w:val="ListParagraphChar"/>
    <w:uiPriority w:val="34"/>
    <w:qFormat/>
    <w:rsid w:val="003A1086"/>
    <w:pPr>
      <w:ind w:left="720"/>
      <w:contextualSpacing/>
    </w:pPr>
  </w:style>
  <w:style w:type="table" w:styleId="TableGrid">
    <w:name w:val="Table Grid"/>
    <w:basedOn w:val="TableNormal"/>
    <w:uiPriority w:val="39"/>
    <w:rsid w:val="00A57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7427"/>
    <w:rPr>
      <w:sz w:val="16"/>
      <w:szCs w:val="16"/>
    </w:rPr>
  </w:style>
  <w:style w:type="paragraph" w:styleId="CommentText">
    <w:name w:val="annotation text"/>
    <w:basedOn w:val="Normal"/>
    <w:link w:val="CommentTextChar"/>
    <w:uiPriority w:val="99"/>
    <w:unhideWhenUsed/>
    <w:rsid w:val="00487427"/>
    <w:pPr>
      <w:spacing w:line="240" w:lineRule="auto"/>
    </w:pPr>
    <w:rPr>
      <w:sz w:val="20"/>
      <w:szCs w:val="20"/>
    </w:rPr>
  </w:style>
  <w:style w:type="character" w:customStyle="1" w:styleId="CommentTextChar">
    <w:name w:val="Comment Text Char"/>
    <w:basedOn w:val="DefaultParagraphFont"/>
    <w:link w:val="CommentText"/>
    <w:uiPriority w:val="99"/>
    <w:rsid w:val="00487427"/>
    <w:rPr>
      <w:sz w:val="20"/>
      <w:szCs w:val="20"/>
    </w:rPr>
  </w:style>
  <w:style w:type="paragraph" w:styleId="CommentSubject">
    <w:name w:val="annotation subject"/>
    <w:basedOn w:val="CommentText"/>
    <w:next w:val="CommentText"/>
    <w:link w:val="CommentSubjectChar"/>
    <w:uiPriority w:val="99"/>
    <w:semiHidden/>
    <w:unhideWhenUsed/>
    <w:rsid w:val="00487427"/>
    <w:rPr>
      <w:b/>
      <w:bCs/>
    </w:rPr>
  </w:style>
  <w:style w:type="character" w:customStyle="1" w:styleId="CommentSubjectChar">
    <w:name w:val="Comment Subject Char"/>
    <w:basedOn w:val="CommentTextChar"/>
    <w:link w:val="CommentSubject"/>
    <w:uiPriority w:val="99"/>
    <w:semiHidden/>
    <w:rsid w:val="00487427"/>
    <w:rPr>
      <w:b/>
      <w:bCs/>
      <w:sz w:val="20"/>
      <w:szCs w:val="20"/>
    </w:rPr>
  </w:style>
  <w:style w:type="paragraph" w:styleId="BalloonText">
    <w:name w:val="Balloon Text"/>
    <w:basedOn w:val="Normal"/>
    <w:link w:val="BalloonTextChar"/>
    <w:uiPriority w:val="99"/>
    <w:semiHidden/>
    <w:unhideWhenUsed/>
    <w:rsid w:val="0048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427"/>
    <w:rPr>
      <w:rFonts w:ascii="Segoe UI" w:hAnsi="Segoe UI" w:cs="Segoe UI"/>
      <w:sz w:val="18"/>
      <w:szCs w:val="18"/>
    </w:rPr>
  </w:style>
  <w:style w:type="paragraph" w:styleId="FootnoteText">
    <w:name w:val="footnote text"/>
    <w:basedOn w:val="Normal"/>
    <w:link w:val="FootnoteTextChar"/>
    <w:uiPriority w:val="99"/>
    <w:semiHidden/>
    <w:unhideWhenUsed/>
    <w:rsid w:val="00C804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04AD"/>
    <w:rPr>
      <w:sz w:val="20"/>
      <w:szCs w:val="20"/>
    </w:rPr>
  </w:style>
  <w:style w:type="character" w:styleId="FootnoteReference">
    <w:name w:val="footnote reference"/>
    <w:basedOn w:val="DefaultParagraphFont"/>
    <w:uiPriority w:val="99"/>
    <w:semiHidden/>
    <w:unhideWhenUsed/>
    <w:rsid w:val="00C804AD"/>
    <w:rPr>
      <w:vertAlign w:val="superscript"/>
    </w:rPr>
  </w:style>
  <w:style w:type="character" w:customStyle="1" w:styleId="Heading1Char">
    <w:name w:val="Heading 1 Char"/>
    <w:basedOn w:val="DefaultParagraphFont"/>
    <w:link w:val="Heading1"/>
    <w:uiPriority w:val="9"/>
    <w:rsid w:val="00B115E7"/>
    <w:rPr>
      <w:rFonts w:ascii="Times New Roman" w:eastAsiaTheme="majorEastAsia" w:hAnsi="Times New Roman" w:cstheme="majorBidi"/>
      <w:b/>
      <w:sz w:val="36"/>
      <w:szCs w:val="32"/>
    </w:rPr>
  </w:style>
  <w:style w:type="paragraph" w:styleId="IntenseQuote">
    <w:name w:val="Intense Quote"/>
    <w:basedOn w:val="Normal"/>
    <w:next w:val="Normal"/>
    <w:link w:val="IntenseQuoteChar"/>
    <w:uiPriority w:val="30"/>
    <w:qFormat/>
    <w:rsid w:val="0031211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12110"/>
    <w:rPr>
      <w:i/>
      <w:iCs/>
      <w:color w:val="5B9BD5" w:themeColor="accent1"/>
    </w:rPr>
  </w:style>
  <w:style w:type="character" w:styleId="IntenseEmphasis">
    <w:name w:val="Intense Emphasis"/>
    <w:basedOn w:val="DefaultParagraphFont"/>
    <w:uiPriority w:val="21"/>
    <w:qFormat/>
    <w:rsid w:val="00312110"/>
    <w:rPr>
      <w:i/>
      <w:iCs/>
      <w:color w:val="5B9BD5" w:themeColor="accent1"/>
    </w:rPr>
  </w:style>
  <w:style w:type="paragraph" w:styleId="Subtitle">
    <w:name w:val="Subtitle"/>
    <w:basedOn w:val="Normal"/>
    <w:next w:val="Normal"/>
    <w:link w:val="SubtitleChar"/>
    <w:uiPriority w:val="11"/>
    <w:qFormat/>
    <w:rsid w:val="0031211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12110"/>
    <w:rPr>
      <w:rFonts w:eastAsiaTheme="minorEastAsia"/>
      <w:color w:val="5A5A5A" w:themeColor="text1" w:themeTint="A5"/>
      <w:spacing w:val="15"/>
    </w:rPr>
  </w:style>
  <w:style w:type="paragraph" w:styleId="Revision">
    <w:name w:val="Revision"/>
    <w:hidden/>
    <w:uiPriority w:val="99"/>
    <w:semiHidden/>
    <w:rsid w:val="00C468B4"/>
    <w:pPr>
      <w:spacing w:after="0" w:line="240" w:lineRule="auto"/>
    </w:pPr>
  </w:style>
  <w:style w:type="character" w:customStyle="1" w:styleId="ListParagraphChar">
    <w:name w:val="List Paragraph Char"/>
    <w:aliases w:val="L Char,List Paragraph1 Char,List Paragraph11 Char,Recommendation Char,bullet point list Char,1 heading Char,Bulleted Para Char,CV text Char,Dot pt Char,F5 List Paragraph Char,FooterText Char,List Paragraph111 Char"/>
    <w:link w:val="ListParagraph"/>
    <w:uiPriority w:val="34"/>
    <w:rsid w:val="00356B9E"/>
  </w:style>
  <w:style w:type="character" w:styleId="Emphasis">
    <w:name w:val="Emphasis"/>
    <w:basedOn w:val="DefaultParagraphFont"/>
    <w:uiPriority w:val="20"/>
    <w:qFormat/>
    <w:rsid w:val="00E00256"/>
    <w:rPr>
      <w:i/>
      <w:iCs/>
      <w:sz w:val="24"/>
      <w:szCs w:val="24"/>
      <w:bdr w:val="none" w:sz="0" w:space="0" w:color="auto" w:frame="1"/>
      <w:vertAlign w:val="baseline"/>
    </w:rPr>
  </w:style>
  <w:style w:type="character" w:customStyle="1" w:styleId="Heading2Char">
    <w:name w:val="Heading 2 Char"/>
    <w:basedOn w:val="DefaultParagraphFont"/>
    <w:link w:val="Heading2"/>
    <w:uiPriority w:val="9"/>
    <w:rsid w:val="0047756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5D0BDF"/>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507404"/>
    <w:rPr>
      <w:rFonts w:ascii="Times New Roman" w:eastAsiaTheme="majorEastAsia" w:hAnsi="Times New Roman" w:cstheme="majorBidi"/>
      <w:i/>
      <w:iCs/>
    </w:rPr>
  </w:style>
  <w:style w:type="paragraph" w:customStyle="1" w:styleId="Numberlist1">
    <w:name w:val="Number list 1"/>
    <w:basedOn w:val="ListParagraph"/>
    <w:autoRedefine/>
    <w:qFormat/>
    <w:rsid w:val="002D4457"/>
    <w:pPr>
      <w:numPr>
        <w:numId w:val="11"/>
      </w:numPr>
      <w:spacing w:before="120" w:after="120" w:line="240" w:lineRule="auto"/>
      <w:ind w:left="567" w:hanging="567"/>
      <w:contextualSpacing w:val="0"/>
      <w:mirrorIndents/>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16248">
      <w:bodyDiv w:val="1"/>
      <w:marLeft w:val="0"/>
      <w:marRight w:val="0"/>
      <w:marTop w:val="0"/>
      <w:marBottom w:val="0"/>
      <w:divBdr>
        <w:top w:val="none" w:sz="0" w:space="0" w:color="auto"/>
        <w:left w:val="none" w:sz="0" w:space="0" w:color="auto"/>
        <w:bottom w:val="none" w:sz="0" w:space="0" w:color="auto"/>
        <w:right w:val="none" w:sz="0" w:space="0" w:color="auto"/>
      </w:divBdr>
    </w:div>
    <w:div w:id="1101611892">
      <w:bodyDiv w:val="1"/>
      <w:marLeft w:val="0"/>
      <w:marRight w:val="0"/>
      <w:marTop w:val="0"/>
      <w:marBottom w:val="0"/>
      <w:divBdr>
        <w:top w:val="none" w:sz="0" w:space="0" w:color="auto"/>
        <w:left w:val="none" w:sz="0" w:space="0" w:color="auto"/>
        <w:bottom w:val="none" w:sz="0" w:space="0" w:color="auto"/>
        <w:right w:val="none" w:sz="0" w:space="0" w:color="auto"/>
      </w:divBdr>
    </w:div>
    <w:div w:id="1662344504">
      <w:bodyDiv w:val="1"/>
      <w:marLeft w:val="0"/>
      <w:marRight w:val="0"/>
      <w:marTop w:val="0"/>
      <w:marBottom w:val="0"/>
      <w:divBdr>
        <w:top w:val="none" w:sz="0" w:space="0" w:color="auto"/>
        <w:left w:val="none" w:sz="0" w:space="0" w:color="auto"/>
        <w:bottom w:val="none" w:sz="0" w:space="0" w:color="auto"/>
        <w:right w:val="none" w:sz="0" w:space="0" w:color="auto"/>
      </w:divBdr>
      <w:divsChild>
        <w:div w:id="1855799600">
          <w:marLeft w:val="0"/>
          <w:marRight w:val="0"/>
          <w:marTop w:val="0"/>
          <w:marBottom w:val="0"/>
          <w:divBdr>
            <w:top w:val="none" w:sz="0" w:space="0" w:color="auto"/>
            <w:left w:val="none" w:sz="0" w:space="0" w:color="auto"/>
            <w:bottom w:val="none" w:sz="0" w:space="0" w:color="auto"/>
            <w:right w:val="none" w:sz="0" w:space="0" w:color="auto"/>
          </w:divBdr>
          <w:divsChild>
            <w:div w:id="1520659686">
              <w:marLeft w:val="0"/>
              <w:marRight w:val="0"/>
              <w:marTop w:val="0"/>
              <w:marBottom w:val="0"/>
              <w:divBdr>
                <w:top w:val="none" w:sz="0" w:space="0" w:color="auto"/>
                <w:left w:val="none" w:sz="0" w:space="0" w:color="auto"/>
                <w:bottom w:val="none" w:sz="0" w:space="0" w:color="auto"/>
                <w:right w:val="none" w:sz="0" w:space="0" w:color="auto"/>
              </w:divBdr>
              <w:divsChild>
                <w:div w:id="820079429">
                  <w:marLeft w:val="0"/>
                  <w:marRight w:val="0"/>
                  <w:marTop w:val="0"/>
                  <w:marBottom w:val="0"/>
                  <w:divBdr>
                    <w:top w:val="none" w:sz="0" w:space="0" w:color="auto"/>
                    <w:left w:val="none" w:sz="0" w:space="0" w:color="auto"/>
                    <w:bottom w:val="none" w:sz="0" w:space="0" w:color="auto"/>
                    <w:right w:val="none" w:sz="0" w:space="0" w:color="auto"/>
                  </w:divBdr>
                  <w:divsChild>
                    <w:div w:id="1941714185">
                      <w:marLeft w:val="0"/>
                      <w:marRight w:val="0"/>
                      <w:marTop w:val="0"/>
                      <w:marBottom w:val="0"/>
                      <w:divBdr>
                        <w:top w:val="none" w:sz="0" w:space="0" w:color="auto"/>
                        <w:left w:val="none" w:sz="0" w:space="0" w:color="auto"/>
                        <w:bottom w:val="none" w:sz="0" w:space="0" w:color="auto"/>
                        <w:right w:val="none" w:sz="0" w:space="0" w:color="auto"/>
                      </w:divBdr>
                      <w:divsChild>
                        <w:div w:id="1407537514">
                          <w:marLeft w:val="0"/>
                          <w:marRight w:val="0"/>
                          <w:marTop w:val="0"/>
                          <w:marBottom w:val="0"/>
                          <w:divBdr>
                            <w:top w:val="none" w:sz="0" w:space="0" w:color="auto"/>
                            <w:left w:val="none" w:sz="0" w:space="0" w:color="auto"/>
                            <w:bottom w:val="none" w:sz="0" w:space="0" w:color="auto"/>
                            <w:right w:val="none" w:sz="0" w:space="0" w:color="auto"/>
                          </w:divBdr>
                          <w:divsChild>
                            <w:div w:id="942344838">
                              <w:marLeft w:val="0"/>
                              <w:marRight w:val="0"/>
                              <w:marTop w:val="0"/>
                              <w:marBottom w:val="0"/>
                              <w:divBdr>
                                <w:top w:val="none" w:sz="0" w:space="0" w:color="auto"/>
                                <w:left w:val="none" w:sz="0" w:space="0" w:color="auto"/>
                                <w:bottom w:val="none" w:sz="0" w:space="0" w:color="auto"/>
                                <w:right w:val="none" w:sz="0" w:space="0" w:color="auto"/>
                              </w:divBdr>
                              <w:divsChild>
                                <w:div w:id="1553812593">
                                  <w:marLeft w:val="0"/>
                                  <w:marRight w:val="0"/>
                                  <w:marTop w:val="0"/>
                                  <w:marBottom w:val="0"/>
                                  <w:divBdr>
                                    <w:top w:val="none" w:sz="0" w:space="0" w:color="auto"/>
                                    <w:left w:val="none" w:sz="0" w:space="0" w:color="auto"/>
                                    <w:bottom w:val="none" w:sz="0" w:space="0" w:color="auto"/>
                                    <w:right w:val="none" w:sz="0" w:space="0" w:color="auto"/>
                                  </w:divBdr>
                                  <w:divsChild>
                                    <w:div w:id="21053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cludeInContentRollups xmlns="c4a3916f-4974-4445-8e28-65ef974bd5bf">false</IncludeInContentRollups>
    <CorePublishingDocumentCategory xmlns="c0b4bd0a-f6ac-422c-a0b2-ddc3a705a698" xsi:nil="true"/>
    <CorePublishingComments xmlns="c4a3916f-4974-4445-8e28-65ef974bd5bf" xsi:nil="true"/>
    <CorePublishingFileReference xmlns="c4a3916f-4974-4445-8e28-65ef974bd5bf" xsi:nil="true"/>
    <CorePublishingDocumentChangeDescription xmlns="c4a3916f-4974-4445-8e28-65ef974bd5bf" xsi:nil="true"/>
    <KeywordsLookupField xmlns="c0b4bd0a-f6ac-422c-a0b2-ddc3a705a698"/>
    <IncludeInRSSFeeds xmlns="c4a3916f-4974-4445-8e28-65ef974bd5bf">false</IncludeInRSSFeeds>
    <CorePublishingDocumentContact xmlns="c4a3916f-4974-4445-8e28-65ef974bd5bf">
      <UserInfo>
        <DisplayName/>
        <AccountId xsi:nil="true"/>
        <AccountType/>
      </UserInfo>
    </CorePublishingDocumentContact>
    <SubjectLookupField xmlns="c0b4bd0a-f6ac-422c-a0b2-ddc3a705a698"/>
    <PublishingExpirationDate xmlns="http://schemas.microsoft.com/sharepoint/v3" xsi:nil="true"/>
    <PublishingStartDate xmlns="http://schemas.microsoft.com/sharepoint/v3" xsi:nil="true"/>
    <IPSCategory xmlns="c4a3916f-4974-4445-8e28-65ef974bd5bf" xsi:nil="true"/>
    <IncludeInNotificationsAndUpdates xmlns="c4a3916f-4974-4445-8e28-65ef974bd5bf">true</IncludeInNotificationsAndUpdates>
    <DocumentRollupCategory xmlns="c0b4bd0a-f6ac-422c-a0b2-ddc3a705a69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99B676633A19C5458A29197B44F27C6D" ma:contentTypeVersion="77" ma:contentTypeDescription="Core Publishing Document, inherited from OOTB document." ma:contentTypeScope="" ma:versionID="c77a13f111e1b0bcff99a3a8829dac67">
  <xsd:schema xmlns:xsd="http://www.w3.org/2001/XMLSchema" xmlns:xs="http://www.w3.org/2001/XMLSchema" xmlns:p="http://schemas.microsoft.com/office/2006/metadata/properties" xmlns:ns1="http://schemas.microsoft.com/sharepoint/v3" xmlns:ns2="c4a3916f-4974-4445-8e28-65ef974bd5bf" xmlns:ns3="c0b4bd0a-f6ac-422c-a0b2-ddc3a705a698" targetNamespace="http://schemas.microsoft.com/office/2006/metadata/properties" ma:root="true" ma:fieldsID="aaa353d672ba266f32eba82562fb2a26" ns1:_="" ns2:_="" ns3:_="">
    <xsd:import namespace="http://schemas.microsoft.com/sharepoint/v3"/>
    <xsd:import namespace="c4a3916f-4974-4445-8e28-65ef974bd5bf"/>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a3916f-4974-4445-8e28-65ef974bd5bf"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C97B86-75A8-4A00-929B-4CC51C6F9126}">
  <ds:schemaRefs>
    <ds:schemaRef ds:uri="http://schemas.microsoft.com/sharepoint/v3"/>
    <ds:schemaRef ds:uri="http://purl.org/dc/terms/"/>
    <ds:schemaRef ds:uri="http://schemas.openxmlformats.org/package/2006/metadata/core-properties"/>
    <ds:schemaRef ds:uri="http://schemas.microsoft.com/office/2006/documentManagement/types"/>
    <ds:schemaRef ds:uri="c4a3916f-4974-4445-8e28-65ef974bd5bf"/>
    <ds:schemaRef ds:uri="http://purl.org/dc/elements/1.1/"/>
    <ds:schemaRef ds:uri="http://schemas.microsoft.com/office/2006/metadata/properties"/>
    <ds:schemaRef ds:uri="http://schemas.microsoft.com/office/infopath/2007/PartnerControls"/>
    <ds:schemaRef ds:uri="c0b4bd0a-f6ac-422c-a0b2-ddc3a705a698"/>
    <ds:schemaRef ds:uri="http://www.w3.org/XML/1998/namespace"/>
    <ds:schemaRef ds:uri="http://purl.org/dc/dcmitype/"/>
  </ds:schemaRefs>
</ds:datastoreItem>
</file>

<file path=customXml/itemProps2.xml><?xml version="1.0" encoding="utf-8"?>
<ds:datastoreItem xmlns:ds="http://schemas.openxmlformats.org/officeDocument/2006/customXml" ds:itemID="{EEA457EF-91CF-411B-8A4E-88C9B2C9718F}">
  <ds:schemaRefs>
    <ds:schemaRef ds:uri="http://schemas.microsoft.com/sharepoint/v3/contenttype/forms"/>
  </ds:schemaRefs>
</ds:datastoreItem>
</file>

<file path=customXml/itemProps3.xml><?xml version="1.0" encoding="utf-8"?>
<ds:datastoreItem xmlns:ds="http://schemas.openxmlformats.org/officeDocument/2006/customXml" ds:itemID="{E32AC84D-7E57-4FD8-9F96-228CE2589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a3916f-4974-4445-8e28-65ef974bd5bf"/>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3236</Words>
  <Characters>18449</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Artup, Grace</dc:creator>
  <cp:keywords/>
  <dc:description/>
  <cp:lastModifiedBy>Francis, Sophie</cp:lastModifiedBy>
  <cp:revision>2</cp:revision>
  <cp:lastPrinted>2017-07-30T22:55:00Z</cp:lastPrinted>
  <dcterms:created xsi:type="dcterms:W3CDTF">2019-03-07T21:27:00Z</dcterms:created>
  <dcterms:modified xsi:type="dcterms:W3CDTF">2019-03-07T21:27:00Z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0x01010097F86F0C24D64525B252BB20BD9D45A70099B676633A19C5458A29197B44F27C6D</vt:lpwstr>
  </property>
  <property fmtid="{D5CDD505-2E9C-101B-9397-08002B2CF9AE}" pid="3" name="_dlc_DocIdItemGuid">
    <vt:lpwstr>1d3f17bd-bcac-458a-af3e-132b8b1b5ff3</vt:lpwstr>
  </property>
  <property fmtid="{D5CDD505-2E9C-101B-9397-08002B2CF9AE}" pid="4" name="DocHub_Year">
    <vt:lpwstr>571;#2017|5f6de30b-6e1e-4c09-9e51-982258231536</vt:lpwstr>
  </property>
  <property fmtid="{D5CDD505-2E9C-101B-9397-08002B2CF9AE}" pid="5" name="DocHub_RegionCountry">
    <vt:lpwstr/>
  </property>
  <property fmtid="{D5CDD505-2E9C-101B-9397-08002B2CF9AE}" pid="6" name="DocHub_DocumentType">
    <vt:lpwstr>576;#Response|7897ed89-a3ff-48a8-b822-42f8261dd490</vt:lpwstr>
  </property>
  <property fmtid="{D5CDD505-2E9C-101B-9397-08002B2CF9AE}" pid="7" name="DocHub_GroupsOtherEntities">
    <vt:lpwstr/>
  </property>
  <property fmtid="{D5CDD505-2E9C-101B-9397-08002B2CF9AE}" pid="8" name="DocHub_MineName">
    <vt:lpwstr/>
  </property>
  <property fmtid="{D5CDD505-2E9C-101B-9397-08002B2CF9AE}" pid="9" name="DocHub_SecurityClassification">
    <vt:lpwstr>1;#UNCLASSIFIED|6106d03b-a1a0-4e30-9d91-d5e9fb4314f9</vt:lpwstr>
  </property>
  <property fmtid="{D5CDD505-2E9C-101B-9397-08002B2CF9AE}" pid="10" name="DocHub_GovernmentEntities">
    <vt:lpwstr/>
  </property>
  <property fmtid="{D5CDD505-2E9C-101B-9397-08002B2CF9AE}" pid="11" name="DocHub_OrganisationEntities">
    <vt:lpwstr/>
  </property>
  <property fmtid="{D5CDD505-2E9C-101B-9397-08002B2CF9AE}" pid="12" name="DocHub_WorkActivity">
    <vt:lpwstr>61;#Reporting|12af97d0-e555-43d0-b3d2-0f0b8e33cc04</vt:lpwstr>
  </property>
  <property fmtid="{D5CDD505-2E9C-101B-9397-08002B2CF9AE}" pid="13" name="DocHub_WorkTopic">
    <vt:lpwstr>365;#Senate Inquiry|d21074c9-1461-4654-993c-6bec2fa6b792</vt:lpwstr>
  </property>
  <property fmtid="{D5CDD505-2E9C-101B-9397-08002B2CF9AE}" pid="14" name="DocHub_EnergyMineralResources">
    <vt:lpwstr/>
  </property>
  <property fmtid="{D5CDD505-2E9C-101B-9397-08002B2CF9AE}" pid="15" name="DocHub_Keywords">
    <vt:lpwstr/>
  </property>
  <property fmtid="{D5CDD505-2E9C-101B-9397-08002B2CF9AE}" pid="16" name="DocHub_State">
    <vt:lpwstr/>
  </property>
  <property fmtid="{D5CDD505-2E9C-101B-9397-08002B2CF9AE}" pid="17" name="Objective-Id">
    <vt:lpwstr>A560452</vt:lpwstr>
  </property>
  <property fmtid="{D5CDD505-2E9C-101B-9397-08002B2CF9AE}" pid="18" name="Objective-Title">
    <vt:lpwstr>Response - Australian Government response to the Environment and Communications References Committee Report - NOPSEMA comment</vt:lpwstr>
  </property>
  <property fmtid="{D5CDD505-2E9C-101B-9397-08002B2CF9AE}" pid="19" name="Objective-Comment">
    <vt:lpwstr/>
  </property>
  <property fmtid="{D5CDD505-2E9C-101B-9397-08002B2CF9AE}" pid="20" name="Objective-CreationStamp">
    <vt:filetime>2017-07-12T07:45:53Z</vt:filetime>
  </property>
  <property fmtid="{D5CDD505-2E9C-101B-9397-08002B2CF9AE}" pid="21" name="Objective-IsApproved">
    <vt:bool>false</vt:bool>
  </property>
  <property fmtid="{D5CDD505-2E9C-101B-9397-08002B2CF9AE}" pid="22" name="Objective-IsPublished">
    <vt:bool>true</vt:bool>
  </property>
  <property fmtid="{D5CDD505-2E9C-101B-9397-08002B2CF9AE}" pid="23" name="Objective-DatePublished">
    <vt:filetime>2017-07-13T09:34:23Z</vt:filetime>
  </property>
  <property fmtid="{D5CDD505-2E9C-101B-9397-08002B2CF9AE}" pid="24" name="Objective-ModificationStamp">
    <vt:filetime>2017-07-13T09:34:23Z</vt:filetime>
  </property>
  <property fmtid="{D5CDD505-2E9C-101B-9397-08002B2CF9AE}" pid="25" name="Objective-Owner">
    <vt:lpwstr>Owen Wilson</vt:lpwstr>
  </property>
  <property fmtid="{D5CDD505-2E9C-101B-9397-08002B2CF9AE}" pid="26" name="Objective-Path">
    <vt:lpwstr>Objective Global Folder:File Plan:Interagency Co-ordination and Relations:Inquiries:Inquiries directly related to NOPSEMA's functions:Senate Standing Committee on Environment and Communications Inquiry - Oil or Gas Production in the Great Australian Bight</vt:lpwstr>
  </property>
  <property fmtid="{D5CDD505-2E9C-101B-9397-08002B2CF9AE}" pid="27" name="Objective-Parent">
    <vt:lpwstr>Senate Standing Committee on Environment and Communications Inquiry - Oil or Gas Production in the Great Australian Bight</vt:lpwstr>
  </property>
  <property fmtid="{D5CDD505-2E9C-101B-9397-08002B2CF9AE}" pid="28" name="Objective-State">
    <vt:lpwstr>Published</vt:lpwstr>
  </property>
  <property fmtid="{D5CDD505-2E9C-101B-9397-08002B2CF9AE}" pid="29" name="Objective-Version">
    <vt:lpwstr>2.0</vt:lpwstr>
  </property>
  <property fmtid="{D5CDD505-2E9C-101B-9397-08002B2CF9AE}" pid="30" name="Objective-VersionNumber">
    <vt:r8>4</vt:r8>
  </property>
  <property fmtid="{D5CDD505-2E9C-101B-9397-08002B2CF9AE}" pid="31" name="Objective-VersionComment">
    <vt:lpwstr/>
  </property>
  <property fmtid="{D5CDD505-2E9C-101B-9397-08002B2CF9AE}" pid="32" name="Objective-FileNumber">
    <vt:lpwstr>C13116</vt:lpwstr>
  </property>
  <property fmtid="{D5CDD505-2E9C-101B-9397-08002B2CF9AE}" pid="33" name="Objective-Classification">
    <vt:lpwstr>[Inherited - none]</vt:lpwstr>
  </property>
  <property fmtid="{D5CDD505-2E9C-101B-9397-08002B2CF9AE}" pid="34" name="Objective-Caveats">
    <vt:lpwstr/>
  </property>
  <property fmtid="{D5CDD505-2E9C-101B-9397-08002B2CF9AE}" pid="35" name="Objective-DLM [system]">
    <vt:lpwstr/>
  </property>
  <property fmtid="{D5CDD505-2E9C-101B-9397-08002B2CF9AE}" pid="36" name="Objective-Internal Author [system]">
    <vt:lpwstr>Owen Wilson</vt:lpwstr>
  </property>
  <property fmtid="{D5CDD505-2E9C-101B-9397-08002B2CF9AE}" pid="37" name="Objective-Addressee [system]">
    <vt:lpwstr/>
  </property>
  <property fmtid="{D5CDD505-2E9C-101B-9397-08002B2CF9AE}" pid="38" name="Objective-Date Sent [system]">
    <vt:lpwstr/>
  </property>
  <property fmtid="{D5CDD505-2E9C-101B-9397-08002B2CF9AE}" pid="39" name="Objective-Sent By [system]">
    <vt:lpwstr/>
  </property>
  <property fmtid="{D5CDD505-2E9C-101B-9397-08002B2CF9AE}" pid="40" name="Objective-Duty Holders and Organisations [system]">
    <vt:lpwstr/>
  </property>
  <property fmtid="{D5CDD505-2E9C-101B-9397-08002B2CF9AE}" pid="41" name="Objective-Facility [system]">
    <vt:lpwstr/>
  </property>
  <property fmtid="{D5CDD505-2E9C-101B-9397-08002B2CF9AE}" pid="42" name="Objective-RMS ID [system]">
    <vt:lpwstr/>
  </property>
  <property fmtid="{D5CDD505-2E9C-101B-9397-08002B2CF9AE}" pid="43" name="Objective-Reply To [system]">
    <vt:lpwstr/>
  </property>
  <property fmtid="{D5CDD505-2E9C-101B-9397-08002B2CF9AE}" pid="44" name="Objective-External Reference [system]">
    <vt:lpwstr/>
  </property>
  <property fmtid="{D5CDD505-2E9C-101B-9397-08002B2CF9AE}" pid="45" name="Objective-RMS Tags [system]">
    <vt:lpwstr/>
  </property>
  <property fmtid="{D5CDD505-2E9C-101B-9397-08002B2CF9AE}" pid="46" name="Objective-Regulatory Object [system]">
    <vt:lpwstr/>
  </property>
  <property fmtid="{D5CDD505-2E9C-101B-9397-08002B2CF9AE}" pid="47" name="Objective-Regulatory Object RMS ID [system]">
    <vt:lpwstr/>
  </property>
  <property fmtid="{D5CDD505-2E9C-101B-9397-08002B2CF9AE}" pid="48" name="Objective-Organisation [system]">
    <vt:lpwstr/>
  </property>
  <property fmtid="{D5CDD505-2E9C-101B-9397-08002B2CF9AE}" pid="49" name="Objective-Signature Authorisation Number (SAN) [system]">
    <vt:lpwstr/>
  </property>
  <property fmtid="{D5CDD505-2E9C-101B-9397-08002B2CF9AE}" pid="50" name="Objective-Signing Officer [system]">
    <vt:lpwstr/>
  </property>
</Properties>
</file>