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B44C1" w14:textId="77777777" w:rsidR="000972D2" w:rsidRPr="000972D2" w:rsidRDefault="000972D2" w:rsidP="000972D2">
      <w:pPr>
        <w:spacing w:before="360" w:after="0" w:line="240" w:lineRule="auto"/>
        <w:jc w:val="center"/>
        <w:rPr>
          <w:rFonts w:ascii="Times New Roman" w:eastAsia="Times New Roman" w:hAnsi="Times New Roman" w:cs="Times New Roman"/>
          <w:sz w:val="24"/>
          <w:szCs w:val="24"/>
        </w:rPr>
      </w:pPr>
      <w:bookmarkStart w:id="0" w:name="_GoBack"/>
      <w:bookmarkEnd w:id="0"/>
      <w:r w:rsidRPr="000972D2">
        <w:rPr>
          <w:rFonts w:ascii="Times New Roman" w:eastAsia="Times New Roman" w:hAnsi="Times New Roman" w:cs="Times New Roman"/>
          <w:caps/>
          <w:noProof/>
          <w:sz w:val="24"/>
          <w:szCs w:val="24"/>
          <w:lang w:eastAsia="en-AU"/>
        </w:rPr>
        <w:drawing>
          <wp:inline distT="0" distB="0" distL="0" distR="0" wp14:anchorId="11EE21A0" wp14:editId="778CA162">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7F499A51" w14:textId="77777777" w:rsidR="000972D2" w:rsidRPr="000972D2" w:rsidRDefault="000972D2" w:rsidP="00367763">
      <w:pPr>
        <w:spacing w:before="1560" w:after="0" w:line="240" w:lineRule="auto"/>
        <w:jc w:val="center"/>
        <w:rPr>
          <w:rFonts w:ascii="Times New Roman" w:eastAsia="Times New Roman" w:hAnsi="Times New Roman" w:cs="Times New Roman"/>
          <w:sz w:val="36"/>
          <w:szCs w:val="36"/>
        </w:rPr>
      </w:pPr>
      <w:r w:rsidRPr="000972D2">
        <w:rPr>
          <w:rFonts w:ascii="Times New Roman" w:eastAsia="Times New Roman" w:hAnsi="Times New Roman" w:cs="Times New Roman"/>
          <w:sz w:val="36"/>
          <w:szCs w:val="36"/>
        </w:rPr>
        <w:t xml:space="preserve">Australian Government response to the </w:t>
      </w:r>
      <w:r w:rsidRPr="000972D2">
        <w:rPr>
          <w:rFonts w:ascii="Times New Roman" w:eastAsia="Times New Roman" w:hAnsi="Times New Roman" w:cs="Times New Roman"/>
          <w:sz w:val="36"/>
          <w:szCs w:val="36"/>
        </w:rPr>
        <w:br/>
      </w:r>
      <w:r w:rsidR="009F16B5">
        <w:rPr>
          <w:rFonts w:ascii="Times New Roman" w:eastAsia="Times New Roman" w:hAnsi="Times New Roman" w:cs="Times New Roman"/>
          <w:sz w:val="36"/>
          <w:szCs w:val="36"/>
        </w:rPr>
        <w:t xml:space="preserve"> Senate Education and Employment</w:t>
      </w:r>
      <w:r w:rsidR="00132E18" w:rsidRPr="00132E18">
        <w:rPr>
          <w:rFonts w:ascii="Times New Roman" w:eastAsia="Times New Roman" w:hAnsi="Times New Roman" w:cs="Times New Roman"/>
          <w:sz w:val="36"/>
          <w:szCs w:val="36"/>
        </w:rPr>
        <w:t xml:space="preserve"> </w:t>
      </w:r>
      <w:r w:rsidR="009F16B5">
        <w:rPr>
          <w:rFonts w:ascii="Times New Roman" w:eastAsia="Times New Roman" w:hAnsi="Times New Roman" w:cs="Times New Roman"/>
          <w:sz w:val="36"/>
          <w:szCs w:val="36"/>
        </w:rPr>
        <w:t xml:space="preserve">References </w:t>
      </w:r>
      <w:r w:rsidR="00132E18" w:rsidRPr="00132E18">
        <w:rPr>
          <w:rFonts w:ascii="Times New Roman" w:eastAsia="Times New Roman" w:hAnsi="Times New Roman" w:cs="Times New Roman"/>
          <w:sz w:val="36"/>
          <w:szCs w:val="36"/>
        </w:rPr>
        <w:t>Committee</w:t>
      </w:r>
      <w:r w:rsidR="00FF54D4">
        <w:rPr>
          <w:rFonts w:ascii="Times New Roman" w:eastAsia="Times New Roman" w:hAnsi="Times New Roman" w:cs="Times New Roman"/>
          <w:sz w:val="36"/>
          <w:szCs w:val="36"/>
        </w:rPr>
        <w:t xml:space="preserve"> </w:t>
      </w:r>
      <w:r w:rsidRPr="000972D2">
        <w:rPr>
          <w:rFonts w:ascii="Times New Roman" w:eastAsia="Times New Roman" w:hAnsi="Times New Roman" w:cs="Times New Roman"/>
          <w:sz w:val="36"/>
          <w:szCs w:val="36"/>
        </w:rPr>
        <w:t>report:</w:t>
      </w:r>
    </w:p>
    <w:p w14:paraId="45B21F72" w14:textId="77777777" w:rsidR="000972D2" w:rsidRDefault="009F16B5" w:rsidP="000972D2">
      <w:pPr>
        <w:spacing w:before="240" w:after="0" w:line="240" w:lineRule="auto"/>
        <w:jc w:val="center"/>
        <w:rPr>
          <w:rFonts w:ascii="Times New Roman" w:eastAsia="Times New Roman" w:hAnsi="Times New Roman" w:cs="Times New Roman"/>
          <w:sz w:val="36"/>
          <w:szCs w:val="36"/>
        </w:rPr>
      </w:pPr>
      <w:r w:rsidRPr="009F16B5">
        <w:rPr>
          <w:rFonts w:ascii="Times New Roman" w:eastAsia="Times New Roman" w:hAnsi="Times New Roman" w:cs="Times New Roman"/>
          <w:sz w:val="36"/>
          <w:szCs w:val="36"/>
        </w:rPr>
        <w:t xml:space="preserve">Work health and </w:t>
      </w:r>
      <w:r w:rsidR="00E62C42" w:rsidRPr="009F16B5">
        <w:rPr>
          <w:rFonts w:ascii="Times New Roman" w:eastAsia="Times New Roman" w:hAnsi="Times New Roman" w:cs="Times New Roman"/>
          <w:sz w:val="36"/>
          <w:szCs w:val="36"/>
        </w:rPr>
        <w:t>safety</w:t>
      </w:r>
      <w:r w:rsidRPr="009F16B5">
        <w:rPr>
          <w:rFonts w:ascii="Times New Roman" w:eastAsia="Times New Roman" w:hAnsi="Times New Roman" w:cs="Times New Roman"/>
          <w:sz w:val="36"/>
          <w:szCs w:val="36"/>
        </w:rPr>
        <w:t xml:space="preserve"> of workers involved in the offshore petroleum industry </w:t>
      </w:r>
      <w:r w:rsidR="00E62C42" w:rsidRPr="009F16B5">
        <w:rPr>
          <w:rFonts w:ascii="Times New Roman" w:eastAsia="Times New Roman" w:hAnsi="Times New Roman" w:cs="Times New Roman"/>
          <w:sz w:val="36"/>
          <w:szCs w:val="36"/>
        </w:rPr>
        <w:t xml:space="preserve"> </w:t>
      </w:r>
    </w:p>
    <w:p w14:paraId="5D6D225E" w14:textId="64B36EAF" w:rsidR="00B115E7" w:rsidRPr="000972D2" w:rsidRDefault="00BA617E" w:rsidP="000972D2">
      <w:pPr>
        <w:spacing w:before="240"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January</w:t>
      </w:r>
      <w:r w:rsidR="00E62C42">
        <w:rPr>
          <w:rFonts w:ascii="Times New Roman" w:eastAsia="Times New Roman" w:hAnsi="Times New Roman" w:cs="Times New Roman"/>
          <w:sz w:val="36"/>
          <w:szCs w:val="36"/>
        </w:rPr>
        <w:t xml:space="preserve"> 201</w:t>
      </w:r>
      <w:r>
        <w:rPr>
          <w:rFonts w:ascii="Times New Roman" w:eastAsia="Times New Roman" w:hAnsi="Times New Roman" w:cs="Times New Roman"/>
          <w:sz w:val="36"/>
          <w:szCs w:val="36"/>
        </w:rPr>
        <w:t>9</w:t>
      </w:r>
    </w:p>
    <w:p w14:paraId="3ECC54B4" w14:textId="77777777" w:rsidR="00367763" w:rsidRDefault="00367763" w:rsidP="000972D2">
      <w:pPr>
        <w:jc w:val="right"/>
      </w:pPr>
    </w:p>
    <w:p w14:paraId="3FDA4E17" w14:textId="77777777" w:rsidR="00367763" w:rsidRDefault="00367763">
      <w:r>
        <w:br w:type="page"/>
      </w:r>
    </w:p>
    <w:p w14:paraId="34F293E2" w14:textId="77777777" w:rsidR="00167868" w:rsidRPr="009E5E72" w:rsidRDefault="00424D01" w:rsidP="00C32BB5">
      <w:pPr>
        <w:pStyle w:val="Heading2"/>
      </w:pPr>
      <w:r w:rsidRPr="009E5E72">
        <w:lastRenderedPageBreak/>
        <w:t>Introduction</w:t>
      </w:r>
    </w:p>
    <w:p w14:paraId="59202289" w14:textId="01A047AD" w:rsidR="00E55F4A" w:rsidRDefault="002A72C5" w:rsidP="00490C5C">
      <w:pPr>
        <w:rPr>
          <w:rFonts w:ascii="Times New Roman" w:hAnsi="Times New Roman" w:cs="Times New Roman"/>
          <w:bCs/>
          <w:sz w:val="24"/>
          <w:szCs w:val="24"/>
        </w:rPr>
      </w:pPr>
      <w:r w:rsidRPr="002A72C5">
        <w:rPr>
          <w:rFonts w:ascii="Times New Roman" w:hAnsi="Times New Roman" w:cs="Times New Roman"/>
          <w:bCs/>
          <w:sz w:val="24"/>
          <w:szCs w:val="24"/>
        </w:rPr>
        <w:t xml:space="preserve">The </w:t>
      </w:r>
      <w:r w:rsidR="00127609">
        <w:rPr>
          <w:rFonts w:ascii="Times New Roman" w:hAnsi="Times New Roman" w:cs="Times New Roman"/>
          <w:bCs/>
          <w:sz w:val="24"/>
          <w:szCs w:val="24"/>
        </w:rPr>
        <w:t>Australian Government</w:t>
      </w:r>
      <w:r w:rsidRPr="002A72C5">
        <w:rPr>
          <w:rFonts w:ascii="Times New Roman" w:hAnsi="Times New Roman" w:cs="Times New Roman"/>
          <w:bCs/>
          <w:sz w:val="24"/>
          <w:szCs w:val="24"/>
        </w:rPr>
        <w:t xml:space="preserve"> welcomes </w:t>
      </w:r>
      <w:r w:rsidR="00127609">
        <w:rPr>
          <w:rFonts w:ascii="Times New Roman" w:hAnsi="Times New Roman" w:cs="Times New Roman"/>
          <w:bCs/>
          <w:sz w:val="24"/>
          <w:szCs w:val="24"/>
        </w:rPr>
        <w:t xml:space="preserve">the report by the Senate </w:t>
      </w:r>
      <w:r w:rsidR="009F16B5">
        <w:rPr>
          <w:rFonts w:ascii="Times New Roman" w:hAnsi="Times New Roman" w:cs="Times New Roman"/>
          <w:bCs/>
          <w:sz w:val="24"/>
          <w:szCs w:val="24"/>
        </w:rPr>
        <w:t>Education and Employment</w:t>
      </w:r>
      <w:r w:rsidR="00127609">
        <w:rPr>
          <w:rFonts w:ascii="Times New Roman" w:hAnsi="Times New Roman" w:cs="Times New Roman"/>
          <w:bCs/>
          <w:sz w:val="24"/>
          <w:szCs w:val="24"/>
        </w:rPr>
        <w:t xml:space="preserve"> Reference</w:t>
      </w:r>
      <w:r w:rsidR="00713D4C">
        <w:rPr>
          <w:rFonts w:ascii="Times New Roman" w:hAnsi="Times New Roman" w:cs="Times New Roman"/>
          <w:bCs/>
          <w:sz w:val="24"/>
          <w:szCs w:val="24"/>
        </w:rPr>
        <w:t>s Committee in relation to the i</w:t>
      </w:r>
      <w:r w:rsidR="00127609">
        <w:rPr>
          <w:rFonts w:ascii="Times New Roman" w:hAnsi="Times New Roman" w:cs="Times New Roman"/>
          <w:bCs/>
          <w:sz w:val="24"/>
          <w:szCs w:val="24"/>
        </w:rPr>
        <w:t>nquiry into</w:t>
      </w:r>
      <w:r w:rsidR="00EA4CE3">
        <w:rPr>
          <w:rFonts w:ascii="Times New Roman" w:hAnsi="Times New Roman" w:cs="Times New Roman"/>
          <w:bCs/>
          <w:sz w:val="24"/>
          <w:szCs w:val="24"/>
        </w:rPr>
        <w:t xml:space="preserve"> the</w:t>
      </w:r>
      <w:r w:rsidR="00127609">
        <w:rPr>
          <w:rFonts w:ascii="Times New Roman" w:hAnsi="Times New Roman" w:cs="Times New Roman"/>
          <w:bCs/>
          <w:sz w:val="24"/>
          <w:szCs w:val="24"/>
        </w:rPr>
        <w:t xml:space="preserve"> </w:t>
      </w:r>
      <w:r w:rsidR="009F16B5">
        <w:rPr>
          <w:rFonts w:ascii="Times New Roman" w:hAnsi="Times New Roman" w:cs="Times New Roman"/>
          <w:bCs/>
          <w:sz w:val="24"/>
          <w:szCs w:val="24"/>
        </w:rPr>
        <w:t>work health and safety of offshore workers involved in the offshore petroleum industry</w:t>
      </w:r>
      <w:r w:rsidR="00E55F4A">
        <w:rPr>
          <w:rFonts w:ascii="Times New Roman" w:hAnsi="Times New Roman" w:cs="Times New Roman"/>
          <w:bCs/>
          <w:sz w:val="24"/>
          <w:szCs w:val="24"/>
        </w:rPr>
        <w:t>, and thanks the Committee for the work it has done in preparing this report</w:t>
      </w:r>
      <w:r w:rsidR="00F96C22">
        <w:rPr>
          <w:rFonts w:ascii="Times New Roman" w:hAnsi="Times New Roman" w:cs="Times New Roman"/>
          <w:bCs/>
          <w:sz w:val="24"/>
          <w:szCs w:val="24"/>
        </w:rPr>
        <w:t xml:space="preserve">. This work </w:t>
      </w:r>
      <w:r w:rsidR="00C32BB5">
        <w:rPr>
          <w:rFonts w:ascii="Times New Roman" w:hAnsi="Times New Roman" w:cs="Times New Roman"/>
          <w:bCs/>
          <w:sz w:val="24"/>
          <w:szCs w:val="24"/>
        </w:rPr>
        <w:t>is important</w:t>
      </w:r>
      <w:r w:rsidR="00E55F4A">
        <w:rPr>
          <w:rFonts w:ascii="Times New Roman" w:hAnsi="Times New Roman" w:cs="Times New Roman"/>
          <w:bCs/>
          <w:sz w:val="24"/>
          <w:szCs w:val="24"/>
        </w:rPr>
        <w:t xml:space="preserve"> for offshore workers, the government and the offshore oil and gas industry</w:t>
      </w:r>
      <w:r w:rsidR="00C32BB5">
        <w:rPr>
          <w:rFonts w:ascii="Times New Roman" w:hAnsi="Times New Roman" w:cs="Times New Roman"/>
          <w:bCs/>
          <w:sz w:val="24"/>
          <w:szCs w:val="24"/>
        </w:rPr>
        <w:t>.</w:t>
      </w:r>
    </w:p>
    <w:p w14:paraId="40D9CF04" w14:textId="68941C6E" w:rsidR="006C2A8C" w:rsidRDefault="00931498" w:rsidP="00490C5C">
      <w:pPr>
        <w:rPr>
          <w:rFonts w:ascii="Times New Roman" w:hAnsi="Times New Roman" w:cs="Times New Roman"/>
          <w:bCs/>
          <w:sz w:val="24"/>
          <w:szCs w:val="24"/>
        </w:rPr>
      </w:pPr>
      <w:r>
        <w:rPr>
          <w:rFonts w:ascii="Times New Roman" w:hAnsi="Times New Roman" w:cs="Times New Roman"/>
          <w:bCs/>
          <w:sz w:val="24"/>
          <w:szCs w:val="24"/>
        </w:rPr>
        <w:t xml:space="preserve">The Government would like to </w:t>
      </w:r>
      <w:r w:rsidR="00E55F4A">
        <w:rPr>
          <w:rFonts w:ascii="Times New Roman" w:hAnsi="Times New Roman" w:cs="Times New Roman"/>
          <w:bCs/>
          <w:sz w:val="24"/>
          <w:szCs w:val="24"/>
        </w:rPr>
        <w:t xml:space="preserve">acknowledge the contribution </w:t>
      </w:r>
      <w:r w:rsidR="00127609">
        <w:rPr>
          <w:rFonts w:ascii="Times New Roman" w:hAnsi="Times New Roman" w:cs="Times New Roman"/>
          <w:bCs/>
          <w:sz w:val="24"/>
          <w:szCs w:val="24"/>
        </w:rPr>
        <w:t xml:space="preserve">individuals and organisations </w:t>
      </w:r>
      <w:r w:rsidR="00E55F4A">
        <w:rPr>
          <w:rFonts w:ascii="Times New Roman" w:hAnsi="Times New Roman" w:cs="Times New Roman"/>
          <w:bCs/>
          <w:sz w:val="24"/>
          <w:szCs w:val="24"/>
        </w:rPr>
        <w:t>have made</w:t>
      </w:r>
      <w:r w:rsidR="00127609">
        <w:rPr>
          <w:rFonts w:ascii="Times New Roman" w:hAnsi="Times New Roman" w:cs="Times New Roman"/>
          <w:bCs/>
          <w:sz w:val="24"/>
          <w:szCs w:val="24"/>
        </w:rPr>
        <w:t xml:space="preserve"> to this inquiry in preparing written submissions </w:t>
      </w:r>
      <w:r w:rsidR="00EA4CE3">
        <w:rPr>
          <w:rFonts w:ascii="Times New Roman" w:hAnsi="Times New Roman" w:cs="Times New Roman"/>
          <w:bCs/>
          <w:sz w:val="24"/>
          <w:szCs w:val="24"/>
        </w:rPr>
        <w:t>and</w:t>
      </w:r>
      <w:r w:rsidR="00127609">
        <w:rPr>
          <w:rFonts w:ascii="Times New Roman" w:hAnsi="Times New Roman" w:cs="Times New Roman"/>
          <w:bCs/>
          <w:sz w:val="24"/>
          <w:szCs w:val="24"/>
        </w:rPr>
        <w:t xml:space="preserve"> appearing at public hearings</w:t>
      </w:r>
      <w:r w:rsidR="002A72C5" w:rsidRPr="002A72C5">
        <w:rPr>
          <w:rFonts w:ascii="Times New Roman" w:hAnsi="Times New Roman" w:cs="Times New Roman"/>
          <w:bCs/>
          <w:sz w:val="24"/>
          <w:szCs w:val="24"/>
        </w:rPr>
        <w:t xml:space="preserve">. </w:t>
      </w:r>
    </w:p>
    <w:p w14:paraId="7EE79FD8" w14:textId="77777777" w:rsidR="00E55F4A" w:rsidRDefault="009E5E72" w:rsidP="00490C5C">
      <w:pPr>
        <w:rPr>
          <w:rFonts w:ascii="Times New Roman" w:hAnsi="Times New Roman" w:cs="Times New Roman"/>
          <w:bCs/>
          <w:sz w:val="24"/>
          <w:szCs w:val="24"/>
        </w:rPr>
      </w:pPr>
      <w:r w:rsidRPr="00F1256C">
        <w:rPr>
          <w:rFonts w:ascii="Times New Roman" w:hAnsi="Times New Roman" w:cs="Times New Roman"/>
          <w:bCs/>
          <w:sz w:val="24"/>
          <w:szCs w:val="24"/>
        </w:rPr>
        <w:t xml:space="preserve">The Government notes </w:t>
      </w:r>
      <w:r>
        <w:rPr>
          <w:rFonts w:ascii="Times New Roman" w:hAnsi="Times New Roman" w:cs="Times New Roman"/>
          <w:bCs/>
          <w:sz w:val="24"/>
          <w:szCs w:val="24"/>
        </w:rPr>
        <w:t xml:space="preserve">that </w:t>
      </w:r>
      <w:r w:rsidRPr="00F1256C">
        <w:rPr>
          <w:rFonts w:ascii="Times New Roman" w:hAnsi="Times New Roman" w:cs="Times New Roman"/>
          <w:bCs/>
          <w:sz w:val="24"/>
          <w:szCs w:val="24"/>
        </w:rPr>
        <w:t xml:space="preserve">the report includes </w:t>
      </w:r>
      <w:r w:rsidR="00C32BB5">
        <w:rPr>
          <w:rFonts w:ascii="Times New Roman" w:hAnsi="Times New Roman" w:cs="Times New Roman"/>
          <w:bCs/>
          <w:sz w:val="24"/>
          <w:szCs w:val="24"/>
        </w:rPr>
        <w:t xml:space="preserve">analysis and a number of </w:t>
      </w:r>
      <w:r w:rsidRPr="00F1256C">
        <w:rPr>
          <w:rFonts w:ascii="Times New Roman" w:hAnsi="Times New Roman" w:cs="Times New Roman"/>
          <w:bCs/>
          <w:sz w:val="24"/>
          <w:szCs w:val="24"/>
        </w:rPr>
        <w:t xml:space="preserve">recommendations </w:t>
      </w:r>
      <w:r w:rsidR="00C32BB5">
        <w:rPr>
          <w:rFonts w:ascii="Times New Roman" w:hAnsi="Times New Roman" w:cs="Times New Roman"/>
          <w:bCs/>
          <w:sz w:val="24"/>
          <w:szCs w:val="24"/>
        </w:rPr>
        <w:t xml:space="preserve">from the </w:t>
      </w:r>
      <w:r w:rsidR="005C0E19">
        <w:rPr>
          <w:rFonts w:ascii="Times New Roman" w:hAnsi="Times New Roman" w:cs="Times New Roman"/>
          <w:bCs/>
          <w:sz w:val="24"/>
          <w:szCs w:val="24"/>
        </w:rPr>
        <w:t>Committee</w:t>
      </w:r>
      <w:r w:rsidR="00C32BB5">
        <w:rPr>
          <w:rFonts w:ascii="Times New Roman" w:hAnsi="Times New Roman" w:cs="Times New Roman"/>
          <w:bCs/>
          <w:sz w:val="24"/>
          <w:szCs w:val="24"/>
        </w:rPr>
        <w:t xml:space="preserve">, and </w:t>
      </w:r>
      <w:r w:rsidR="002427CF">
        <w:rPr>
          <w:rFonts w:ascii="Times New Roman" w:hAnsi="Times New Roman" w:cs="Times New Roman"/>
          <w:bCs/>
          <w:sz w:val="24"/>
          <w:szCs w:val="24"/>
        </w:rPr>
        <w:t xml:space="preserve">a dissenting report </w:t>
      </w:r>
      <w:r w:rsidR="005C0E19">
        <w:rPr>
          <w:rFonts w:ascii="Times New Roman" w:hAnsi="Times New Roman" w:cs="Times New Roman"/>
          <w:bCs/>
          <w:sz w:val="24"/>
          <w:szCs w:val="24"/>
        </w:rPr>
        <w:t>by</w:t>
      </w:r>
      <w:r>
        <w:rPr>
          <w:rFonts w:ascii="Times New Roman" w:hAnsi="Times New Roman" w:cs="Times New Roman"/>
          <w:bCs/>
          <w:sz w:val="24"/>
          <w:szCs w:val="24"/>
        </w:rPr>
        <w:t xml:space="preserve"> </w:t>
      </w:r>
      <w:r w:rsidR="00EA4CE3">
        <w:rPr>
          <w:rFonts w:ascii="Times New Roman" w:hAnsi="Times New Roman" w:cs="Times New Roman"/>
          <w:bCs/>
          <w:sz w:val="24"/>
          <w:szCs w:val="24"/>
        </w:rPr>
        <w:t>Government</w:t>
      </w:r>
      <w:r w:rsidR="00EA4CE3" w:rsidRPr="00F1256C">
        <w:rPr>
          <w:rFonts w:ascii="Times New Roman" w:hAnsi="Times New Roman" w:cs="Times New Roman"/>
          <w:bCs/>
          <w:sz w:val="24"/>
          <w:szCs w:val="24"/>
        </w:rPr>
        <w:t xml:space="preserve"> </w:t>
      </w:r>
      <w:r w:rsidRPr="00F1256C">
        <w:rPr>
          <w:rFonts w:ascii="Times New Roman" w:hAnsi="Times New Roman" w:cs="Times New Roman"/>
          <w:bCs/>
          <w:sz w:val="24"/>
          <w:szCs w:val="24"/>
        </w:rPr>
        <w:t>Senators.</w:t>
      </w:r>
      <w:r>
        <w:rPr>
          <w:rFonts w:ascii="Times New Roman" w:hAnsi="Times New Roman" w:cs="Times New Roman"/>
          <w:bCs/>
          <w:sz w:val="24"/>
          <w:szCs w:val="24"/>
        </w:rPr>
        <w:t xml:space="preserve"> </w:t>
      </w:r>
    </w:p>
    <w:p w14:paraId="16EC280B" w14:textId="77777777" w:rsidR="000F640C" w:rsidRDefault="000F640C" w:rsidP="00E42DAA">
      <w:pPr>
        <w:pStyle w:val="Heading2"/>
      </w:pPr>
      <w:r>
        <w:t>Government Response to Committee Recommendations</w:t>
      </w:r>
    </w:p>
    <w:p w14:paraId="51F469BB" w14:textId="7A8A8420" w:rsidR="001F080C" w:rsidRDefault="001F080C" w:rsidP="00490C5C">
      <w:pPr>
        <w:rPr>
          <w:rFonts w:ascii="Times New Roman" w:hAnsi="Times New Roman" w:cs="Times New Roman"/>
          <w:bCs/>
          <w:sz w:val="24"/>
          <w:szCs w:val="24"/>
        </w:rPr>
      </w:pPr>
      <w:r w:rsidRPr="003E7B07">
        <w:rPr>
          <w:rFonts w:ascii="Times New Roman" w:hAnsi="Times New Roman" w:cs="Times New Roman"/>
          <w:bCs/>
          <w:sz w:val="24"/>
          <w:szCs w:val="24"/>
        </w:rPr>
        <w:t xml:space="preserve">The safety of workers and operations are of the utmost importance to the Australian Government, and we are committed to ensuring the offshore petroleum industry is supported by an effective and robust </w:t>
      </w:r>
      <w:r w:rsidR="0010551C">
        <w:rPr>
          <w:rFonts w:ascii="Times New Roman" w:hAnsi="Times New Roman" w:cs="Times New Roman"/>
          <w:bCs/>
          <w:sz w:val="24"/>
          <w:szCs w:val="24"/>
        </w:rPr>
        <w:t xml:space="preserve">occupational </w:t>
      </w:r>
      <w:r w:rsidRPr="003E7B07">
        <w:rPr>
          <w:rFonts w:ascii="Times New Roman" w:hAnsi="Times New Roman" w:cs="Times New Roman"/>
          <w:bCs/>
          <w:sz w:val="24"/>
          <w:szCs w:val="24"/>
        </w:rPr>
        <w:t>health and safety</w:t>
      </w:r>
      <w:r w:rsidR="0010551C">
        <w:rPr>
          <w:rFonts w:ascii="Times New Roman" w:hAnsi="Times New Roman" w:cs="Times New Roman"/>
          <w:bCs/>
          <w:sz w:val="24"/>
          <w:szCs w:val="24"/>
        </w:rPr>
        <w:t xml:space="preserve"> (OHS)</w:t>
      </w:r>
      <w:r w:rsidRPr="003E7B07">
        <w:rPr>
          <w:rFonts w:ascii="Times New Roman" w:hAnsi="Times New Roman" w:cs="Times New Roman"/>
          <w:bCs/>
          <w:sz w:val="24"/>
          <w:szCs w:val="24"/>
        </w:rPr>
        <w:t xml:space="preserve"> regime.</w:t>
      </w:r>
    </w:p>
    <w:p w14:paraId="7CC8EA29" w14:textId="79429C62" w:rsidR="009E5E72" w:rsidRDefault="00E55F4A" w:rsidP="00490C5C">
      <w:pPr>
        <w:rPr>
          <w:rFonts w:ascii="Times New Roman" w:hAnsi="Times New Roman" w:cs="Times New Roman"/>
          <w:bCs/>
          <w:sz w:val="24"/>
          <w:szCs w:val="24"/>
        </w:rPr>
      </w:pPr>
      <w:r>
        <w:rPr>
          <w:rFonts w:ascii="Times New Roman" w:hAnsi="Times New Roman" w:cs="Times New Roman"/>
          <w:bCs/>
          <w:sz w:val="24"/>
          <w:szCs w:val="24"/>
        </w:rPr>
        <w:t xml:space="preserve">The Government notes </w:t>
      </w:r>
      <w:r w:rsidR="000F640C">
        <w:rPr>
          <w:rFonts w:ascii="Times New Roman" w:hAnsi="Times New Roman" w:cs="Times New Roman"/>
          <w:bCs/>
          <w:sz w:val="24"/>
          <w:szCs w:val="24"/>
        </w:rPr>
        <w:t>that the current OHS regulatory regime delivers high safety performance outcomes</w:t>
      </w:r>
      <w:r w:rsidR="003A6CA4">
        <w:rPr>
          <w:rFonts w:ascii="Times New Roman" w:hAnsi="Times New Roman" w:cs="Times New Roman"/>
          <w:bCs/>
          <w:sz w:val="24"/>
          <w:szCs w:val="24"/>
        </w:rPr>
        <w:t>, and consistently performs well</w:t>
      </w:r>
      <w:r w:rsidR="005C0E19">
        <w:rPr>
          <w:rFonts w:ascii="Times New Roman" w:hAnsi="Times New Roman" w:cs="Times New Roman"/>
          <w:bCs/>
          <w:sz w:val="24"/>
          <w:szCs w:val="24"/>
        </w:rPr>
        <w:t xml:space="preserve"> compared to other high-</w:t>
      </w:r>
      <w:r w:rsidR="000F640C">
        <w:rPr>
          <w:rFonts w:ascii="Times New Roman" w:hAnsi="Times New Roman" w:cs="Times New Roman"/>
          <w:bCs/>
          <w:sz w:val="24"/>
          <w:szCs w:val="24"/>
        </w:rPr>
        <w:t>hazard industries in Australia</w:t>
      </w:r>
      <w:r w:rsidR="005C0E19">
        <w:rPr>
          <w:rFonts w:ascii="Times New Roman" w:hAnsi="Times New Roman" w:cs="Times New Roman"/>
          <w:bCs/>
          <w:sz w:val="24"/>
          <w:szCs w:val="24"/>
        </w:rPr>
        <w:t>,</w:t>
      </w:r>
      <w:r w:rsidR="000F640C">
        <w:rPr>
          <w:rFonts w:ascii="Times New Roman" w:hAnsi="Times New Roman" w:cs="Times New Roman"/>
          <w:bCs/>
          <w:sz w:val="24"/>
          <w:szCs w:val="24"/>
        </w:rPr>
        <w:t xml:space="preserve"> and </w:t>
      </w:r>
      <w:r w:rsidR="003A6CA4">
        <w:rPr>
          <w:rFonts w:ascii="Times New Roman" w:hAnsi="Times New Roman" w:cs="Times New Roman"/>
          <w:bCs/>
          <w:sz w:val="24"/>
          <w:szCs w:val="24"/>
        </w:rPr>
        <w:t xml:space="preserve">overseas </w:t>
      </w:r>
      <w:r w:rsidR="000F640C">
        <w:rPr>
          <w:rFonts w:ascii="Times New Roman" w:hAnsi="Times New Roman" w:cs="Times New Roman"/>
          <w:bCs/>
          <w:sz w:val="24"/>
          <w:szCs w:val="24"/>
        </w:rPr>
        <w:t xml:space="preserve">offshore petroleum </w:t>
      </w:r>
      <w:r w:rsidR="005C0E19">
        <w:rPr>
          <w:rFonts w:ascii="Times New Roman" w:hAnsi="Times New Roman" w:cs="Times New Roman"/>
          <w:bCs/>
          <w:sz w:val="24"/>
          <w:szCs w:val="24"/>
        </w:rPr>
        <w:t>sectors.</w:t>
      </w:r>
    </w:p>
    <w:p w14:paraId="42CC21A1" w14:textId="77777777" w:rsidR="006A026E" w:rsidRDefault="000F640C" w:rsidP="00490C5C">
      <w:pPr>
        <w:rPr>
          <w:rFonts w:ascii="Times New Roman" w:hAnsi="Times New Roman" w:cs="Times New Roman"/>
          <w:bCs/>
          <w:sz w:val="24"/>
          <w:szCs w:val="24"/>
        </w:rPr>
      </w:pPr>
      <w:r>
        <w:rPr>
          <w:rFonts w:ascii="Times New Roman" w:hAnsi="Times New Roman" w:cs="Times New Roman"/>
          <w:bCs/>
          <w:sz w:val="24"/>
          <w:szCs w:val="24"/>
        </w:rPr>
        <w:t xml:space="preserve">Australia’s </w:t>
      </w:r>
      <w:r w:rsidR="005C0E19">
        <w:rPr>
          <w:rFonts w:ascii="Times New Roman" w:hAnsi="Times New Roman" w:cs="Times New Roman"/>
          <w:bCs/>
          <w:sz w:val="24"/>
          <w:szCs w:val="24"/>
        </w:rPr>
        <w:t xml:space="preserve">offshore </w:t>
      </w:r>
      <w:r>
        <w:rPr>
          <w:rFonts w:ascii="Times New Roman" w:hAnsi="Times New Roman" w:cs="Times New Roman"/>
          <w:bCs/>
          <w:sz w:val="24"/>
          <w:szCs w:val="24"/>
        </w:rPr>
        <w:t>OHS</w:t>
      </w:r>
      <w:r w:rsidR="005C0E19">
        <w:rPr>
          <w:rFonts w:ascii="Times New Roman" w:hAnsi="Times New Roman" w:cs="Times New Roman"/>
          <w:bCs/>
          <w:sz w:val="24"/>
          <w:szCs w:val="24"/>
        </w:rPr>
        <w:t xml:space="preserve"> regime has</w:t>
      </w:r>
      <w:r w:rsidR="00092263">
        <w:rPr>
          <w:rFonts w:ascii="Times New Roman" w:hAnsi="Times New Roman" w:cs="Times New Roman"/>
          <w:bCs/>
          <w:sz w:val="24"/>
          <w:szCs w:val="24"/>
        </w:rPr>
        <w:t xml:space="preserve"> evolved over many years and ha</w:t>
      </w:r>
      <w:r w:rsidR="005C0E19">
        <w:rPr>
          <w:rFonts w:ascii="Times New Roman" w:hAnsi="Times New Roman" w:cs="Times New Roman"/>
          <w:bCs/>
          <w:sz w:val="24"/>
          <w:szCs w:val="24"/>
        </w:rPr>
        <w:t>s</w:t>
      </w:r>
      <w:r w:rsidR="00092263">
        <w:rPr>
          <w:rFonts w:ascii="Times New Roman" w:hAnsi="Times New Roman" w:cs="Times New Roman"/>
          <w:bCs/>
          <w:sz w:val="24"/>
          <w:szCs w:val="24"/>
        </w:rPr>
        <w:t xml:space="preserve"> been </w:t>
      </w:r>
      <w:r>
        <w:rPr>
          <w:rFonts w:ascii="Times New Roman" w:hAnsi="Times New Roman" w:cs="Times New Roman"/>
          <w:bCs/>
          <w:sz w:val="24"/>
          <w:szCs w:val="24"/>
        </w:rPr>
        <w:t>shaped by lessons learned from major accident events</w:t>
      </w:r>
      <w:r w:rsidR="003A6CA4">
        <w:rPr>
          <w:rFonts w:ascii="Times New Roman" w:hAnsi="Times New Roman" w:cs="Times New Roman"/>
          <w:bCs/>
          <w:sz w:val="24"/>
          <w:szCs w:val="24"/>
        </w:rPr>
        <w:t xml:space="preserve"> </w:t>
      </w:r>
      <w:r w:rsidR="00A75E70">
        <w:rPr>
          <w:rFonts w:ascii="Times New Roman" w:hAnsi="Times New Roman" w:cs="Times New Roman"/>
          <w:bCs/>
          <w:sz w:val="24"/>
          <w:szCs w:val="24"/>
        </w:rPr>
        <w:t>in Australia and internationally</w:t>
      </w:r>
      <w:r w:rsidR="005C0E19">
        <w:rPr>
          <w:rFonts w:ascii="Times New Roman" w:hAnsi="Times New Roman" w:cs="Times New Roman"/>
          <w:bCs/>
          <w:sz w:val="24"/>
          <w:szCs w:val="24"/>
        </w:rPr>
        <w:t xml:space="preserve">. It </w:t>
      </w:r>
      <w:r w:rsidR="00092263">
        <w:rPr>
          <w:rFonts w:ascii="Times New Roman" w:hAnsi="Times New Roman" w:cs="Times New Roman"/>
          <w:bCs/>
          <w:sz w:val="24"/>
          <w:szCs w:val="24"/>
        </w:rPr>
        <w:t xml:space="preserve">seeks to protect the personal safety of workers </w:t>
      </w:r>
      <w:r w:rsidR="00284DC9">
        <w:rPr>
          <w:rFonts w:ascii="Times New Roman" w:hAnsi="Times New Roman" w:cs="Times New Roman"/>
          <w:bCs/>
          <w:sz w:val="24"/>
          <w:szCs w:val="24"/>
        </w:rPr>
        <w:t>and to</w:t>
      </w:r>
      <w:r w:rsidR="00092263">
        <w:rPr>
          <w:rFonts w:ascii="Times New Roman" w:hAnsi="Times New Roman" w:cs="Times New Roman"/>
          <w:bCs/>
          <w:sz w:val="24"/>
          <w:szCs w:val="24"/>
        </w:rPr>
        <w:t xml:space="preserve"> prevent major accident events through process safety. </w:t>
      </w:r>
    </w:p>
    <w:p w14:paraId="2C32E559" w14:textId="7FF4A512" w:rsidR="00E42DAA" w:rsidRDefault="00092263" w:rsidP="00490C5C">
      <w:pPr>
        <w:rPr>
          <w:rFonts w:ascii="Times New Roman" w:hAnsi="Times New Roman" w:cs="Times New Roman"/>
          <w:bCs/>
          <w:sz w:val="24"/>
          <w:szCs w:val="24"/>
        </w:rPr>
      </w:pPr>
      <w:r>
        <w:rPr>
          <w:rFonts w:ascii="Times New Roman" w:hAnsi="Times New Roman" w:cs="Times New Roman"/>
          <w:bCs/>
          <w:sz w:val="24"/>
          <w:szCs w:val="24"/>
        </w:rPr>
        <w:t xml:space="preserve">The Government recognises that a leading practice OHS regime must </w:t>
      </w:r>
      <w:r w:rsidR="003A6CA4">
        <w:rPr>
          <w:rFonts w:ascii="Times New Roman" w:hAnsi="Times New Roman" w:cs="Times New Roman"/>
          <w:bCs/>
          <w:sz w:val="24"/>
          <w:szCs w:val="24"/>
        </w:rPr>
        <w:t>incorporate</w:t>
      </w:r>
      <w:r>
        <w:rPr>
          <w:rFonts w:ascii="Times New Roman" w:hAnsi="Times New Roman" w:cs="Times New Roman"/>
          <w:bCs/>
          <w:sz w:val="24"/>
          <w:szCs w:val="24"/>
        </w:rPr>
        <w:t xml:space="preserve"> an effective regulatory and legislative framework, </w:t>
      </w:r>
      <w:r w:rsidR="00E42DAA">
        <w:rPr>
          <w:rFonts w:ascii="Times New Roman" w:hAnsi="Times New Roman" w:cs="Times New Roman"/>
          <w:bCs/>
          <w:sz w:val="24"/>
          <w:szCs w:val="24"/>
        </w:rPr>
        <w:t>an independent and comp</w:t>
      </w:r>
      <w:r>
        <w:rPr>
          <w:rFonts w:ascii="Times New Roman" w:hAnsi="Times New Roman" w:cs="Times New Roman"/>
          <w:bCs/>
          <w:sz w:val="24"/>
          <w:szCs w:val="24"/>
        </w:rPr>
        <w:t>etent regulator and involvement of all relevant stakeholder</w:t>
      </w:r>
      <w:r w:rsidR="00020DAC">
        <w:rPr>
          <w:rFonts w:ascii="Times New Roman" w:hAnsi="Times New Roman" w:cs="Times New Roman"/>
          <w:bCs/>
          <w:sz w:val="24"/>
          <w:szCs w:val="24"/>
        </w:rPr>
        <w:t>s</w:t>
      </w:r>
      <w:r>
        <w:rPr>
          <w:rFonts w:ascii="Times New Roman" w:hAnsi="Times New Roman" w:cs="Times New Roman"/>
          <w:bCs/>
          <w:sz w:val="24"/>
          <w:szCs w:val="24"/>
        </w:rPr>
        <w:t xml:space="preserve"> in health and safety issues.</w:t>
      </w:r>
      <w:r w:rsidR="00E42DAA">
        <w:rPr>
          <w:rFonts w:ascii="Times New Roman" w:hAnsi="Times New Roman" w:cs="Times New Roman"/>
          <w:bCs/>
          <w:sz w:val="24"/>
          <w:szCs w:val="24"/>
        </w:rPr>
        <w:t xml:space="preserve"> The Government notes that the current regulatory regime provides for these principles, specifically through:</w:t>
      </w:r>
    </w:p>
    <w:p w14:paraId="3795423A" w14:textId="77777777" w:rsidR="00E42DAA" w:rsidRDefault="00E42DAA" w:rsidP="00E42DAA">
      <w:pPr>
        <w:pStyle w:val="ListParagraph"/>
        <w:numPr>
          <w:ilvl w:val="0"/>
          <w:numId w:val="19"/>
        </w:numPr>
        <w:rPr>
          <w:rFonts w:ascii="Times New Roman" w:hAnsi="Times New Roman" w:cs="Times New Roman"/>
          <w:bCs/>
          <w:sz w:val="24"/>
          <w:szCs w:val="24"/>
        </w:rPr>
      </w:pPr>
      <w:r w:rsidRPr="00E42DAA">
        <w:rPr>
          <w:rFonts w:ascii="Times New Roman" w:hAnsi="Times New Roman" w:cs="Times New Roman"/>
          <w:bCs/>
          <w:sz w:val="24"/>
          <w:szCs w:val="24"/>
        </w:rPr>
        <w:t xml:space="preserve">the adoption of </w:t>
      </w:r>
      <w:r w:rsidR="000F640C" w:rsidRPr="00E42DAA">
        <w:rPr>
          <w:rFonts w:ascii="Times New Roman" w:hAnsi="Times New Roman" w:cs="Times New Roman"/>
          <w:bCs/>
          <w:sz w:val="24"/>
          <w:szCs w:val="24"/>
        </w:rPr>
        <w:t>objective-based regulation</w:t>
      </w:r>
      <w:r w:rsidRPr="00E42DAA">
        <w:rPr>
          <w:rFonts w:ascii="Times New Roman" w:hAnsi="Times New Roman" w:cs="Times New Roman"/>
          <w:bCs/>
          <w:sz w:val="24"/>
          <w:szCs w:val="24"/>
        </w:rPr>
        <w:t xml:space="preserve"> and </w:t>
      </w:r>
      <w:r w:rsidR="00A30E64" w:rsidRPr="00E42DAA">
        <w:rPr>
          <w:rFonts w:ascii="Times New Roman" w:hAnsi="Times New Roman" w:cs="Times New Roman"/>
          <w:bCs/>
          <w:sz w:val="24"/>
          <w:szCs w:val="24"/>
        </w:rPr>
        <w:t>a safety case model where risk owners must demonstrate how they control risks to health and safety</w:t>
      </w:r>
      <w:r w:rsidRPr="00E42DAA">
        <w:rPr>
          <w:rFonts w:ascii="Times New Roman" w:hAnsi="Times New Roman" w:cs="Times New Roman"/>
          <w:bCs/>
          <w:sz w:val="24"/>
          <w:szCs w:val="24"/>
        </w:rPr>
        <w:t xml:space="preserve">; </w:t>
      </w:r>
    </w:p>
    <w:p w14:paraId="025752D8" w14:textId="5FBD79C7" w:rsidR="004C219C" w:rsidRDefault="00E42DAA" w:rsidP="00020DAC">
      <w:pPr>
        <w:pStyle w:val="ListParagraph"/>
        <w:numPr>
          <w:ilvl w:val="0"/>
          <w:numId w:val="19"/>
        </w:numPr>
        <w:rPr>
          <w:rFonts w:ascii="Times New Roman" w:hAnsi="Times New Roman" w:cs="Times New Roman"/>
          <w:bCs/>
          <w:sz w:val="24"/>
          <w:szCs w:val="24"/>
        </w:rPr>
      </w:pPr>
      <w:r w:rsidRPr="00020DAC">
        <w:rPr>
          <w:rFonts w:ascii="Times New Roman" w:hAnsi="Times New Roman" w:cs="Times New Roman"/>
          <w:bCs/>
          <w:sz w:val="24"/>
          <w:szCs w:val="24"/>
        </w:rPr>
        <w:t xml:space="preserve">the </w:t>
      </w:r>
      <w:r w:rsidR="005C0E19" w:rsidRPr="00020DAC">
        <w:rPr>
          <w:rFonts w:ascii="Times New Roman" w:hAnsi="Times New Roman" w:cs="Times New Roman"/>
          <w:bCs/>
          <w:sz w:val="24"/>
          <w:szCs w:val="24"/>
        </w:rPr>
        <w:t>establishment</w:t>
      </w:r>
      <w:r w:rsidRPr="00020DAC">
        <w:rPr>
          <w:rFonts w:ascii="Times New Roman" w:hAnsi="Times New Roman" w:cs="Times New Roman"/>
          <w:bCs/>
          <w:sz w:val="24"/>
          <w:szCs w:val="24"/>
        </w:rPr>
        <w:t xml:space="preserve"> of the National Offshore Petroleum Safety and Environmental Management Authority (NOPSEMA) and its role in promoting health and safety, monitoring and enforcement and stakeholder engagement; and</w:t>
      </w:r>
      <w:r w:rsidR="00020DAC" w:rsidRPr="00020DAC">
        <w:rPr>
          <w:rFonts w:ascii="Times New Roman" w:hAnsi="Times New Roman" w:cs="Times New Roman"/>
          <w:bCs/>
          <w:sz w:val="24"/>
          <w:szCs w:val="24"/>
        </w:rPr>
        <w:t xml:space="preserve"> </w:t>
      </w:r>
    </w:p>
    <w:p w14:paraId="2148F263" w14:textId="38E81B5D" w:rsidR="001F080C" w:rsidRPr="00020DAC" w:rsidRDefault="00E42DAA" w:rsidP="00A85F69">
      <w:pPr>
        <w:pStyle w:val="ListParagraph"/>
        <w:numPr>
          <w:ilvl w:val="0"/>
          <w:numId w:val="19"/>
        </w:numPr>
        <w:rPr>
          <w:rFonts w:ascii="Times New Roman" w:hAnsi="Times New Roman" w:cs="Times New Roman"/>
          <w:bCs/>
          <w:sz w:val="24"/>
          <w:szCs w:val="24"/>
        </w:rPr>
      </w:pPr>
      <w:r w:rsidRPr="00020DAC">
        <w:rPr>
          <w:rFonts w:ascii="Times New Roman" w:hAnsi="Times New Roman" w:cs="Times New Roman"/>
          <w:bCs/>
          <w:sz w:val="24"/>
          <w:szCs w:val="24"/>
        </w:rPr>
        <w:t>formal provision for workforce involvement in the legislation.</w:t>
      </w:r>
    </w:p>
    <w:p w14:paraId="75291DB7" w14:textId="06D32BD9" w:rsidR="000A42D9" w:rsidRDefault="003A6CA4" w:rsidP="003A6CA4">
      <w:pPr>
        <w:rPr>
          <w:rFonts w:ascii="Times New Roman" w:hAnsi="Times New Roman" w:cs="Times New Roman"/>
          <w:bCs/>
          <w:sz w:val="24"/>
          <w:szCs w:val="24"/>
        </w:rPr>
      </w:pPr>
      <w:r>
        <w:rPr>
          <w:rFonts w:ascii="Times New Roman" w:hAnsi="Times New Roman" w:cs="Times New Roman"/>
          <w:bCs/>
          <w:sz w:val="24"/>
          <w:szCs w:val="24"/>
        </w:rPr>
        <w:t xml:space="preserve">The Government </w:t>
      </w:r>
      <w:r w:rsidR="009E5CEB">
        <w:rPr>
          <w:rFonts w:ascii="Times New Roman" w:hAnsi="Times New Roman" w:cs="Times New Roman"/>
          <w:bCs/>
          <w:sz w:val="24"/>
          <w:szCs w:val="24"/>
        </w:rPr>
        <w:t>is</w:t>
      </w:r>
      <w:r>
        <w:rPr>
          <w:rFonts w:ascii="Times New Roman" w:hAnsi="Times New Roman" w:cs="Times New Roman"/>
          <w:bCs/>
          <w:sz w:val="24"/>
          <w:szCs w:val="24"/>
        </w:rPr>
        <w:t xml:space="preserve"> committed to ensuring the regulation remains relevant and effective</w:t>
      </w:r>
      <w:r w:rsidR="00284DC9">
        <w:rPr>
          <w:rFonts w:ascii="Times New Roman" w:hAnsi="Times New Roman" w:cs="Times New Roman"/>
          <w:bCs/>
          <w:sz w:val="24"/>
          <w:szCs w:val="24"/>
        </w:rPr>
        <w:t xml:space="preserve"> over time, and notes that the i</w:t>
      </w:r>
      <w:r>
        <w:rPr>
          <w:rFonts w:ascii="Times New Roman" w:hAnsi="Times New Roman" w:cs="Times New Roman"/>
          <w:bCs/>
          <w:sz w:val="24"/>
          <w:szCs w:val="24"/>
        </w:rPr>
        <w:t>nquiry process and the Committee’s report has provided the Government with a</w:t>
      </w:r>
      <w:r w:rsidR="000A42D9">
        <w:rPr>
          <w:rFonts w:ascii="Times New Roman" w:hAnsi="Times New Roman" w:cs="Times New Roman"/>
          <w:bCs/>
          <w:sz w:val="24"/>
          <w:szCs w:val="24"/>
        </w:rPr>
        <w:t xml:space="preserve"> good</w:t>
      </w:r>
      <w:r>
        <w:rPr>
          <w:rFonts w:ascii="Times New Roman" w:hAnsi="Times New Roman" w:cs="Times New Roman"/>
          <w:bCs/>
          <w:sz w:val="24"/>
          <w:szCs w:val="24"/>
        </w:rPr>
        <w:t xml:space="preserve"> opportunity to focus its attention on issues rais</w:t>
      </w:r>
      <w:r w:rsidR="000A42D9">
        <w:rPr>
          <w:rFonts w:ascii="Times New Roman" w:hAnsi="Times New Roman" w:cs="Times New Roman"/>
          <w:bCs/>
          <w:sz w:val="24"/>
          <w:szCs w:val="24"/>
        </w:rPr>
        <w:t xml:space="preserve">ed by stakeholders. </w:t>
      </w:r>
    </w:p>
    <w:p w14:paraId="4565E439" w14:textId="77777777" w:rsidR="003A6CA4" w:rsidRPr="005C0E19" w:rsidRDefault="000A42D9" w:rsidP="003A6CA4">
      <w:pPr>
        <w:rPr>
          <w:rFonts w:ascii="Times New Roman" w:hAnsi="Times New Roman" w:cs="Times New Roman"/>
          <w:bCs/>
          <w:sz w:val="24"/>
          <w:szCs w:val="24"/>
        </w:rPr>
      </w:pPr>
      <w:r w:rsidRPr="005C0E19">
        <w:rPr>
          <w:rFonts w:ascii="Times New Roman" w:hAnsi="Times New Roman" w:cs="Times New Roman"/>
          <w:bCs/>
          <w:sz w:val="24"/>
          <w:szCs w:val="24"/>
        </w:rPr>
        <w:t xml:space="preserve">It is in this context that </w:t>
      </w:r>
      <w:r w:rsidRPr="003F0FD0">
        <w:rPr>
          <w:rFonts w:ascii="Times New Roman" w:hAnsi="Times New Roman" w:cs="Times New Roman"/>
          <w:b/>
          <w:bCs/>
          <w:sz w:val="24"/>
          <w:szCs w:val="24"/>
        </w:rPr>
        <w:t>the Government notes all recommendations made in the Committee report</w:t>
      </w:r>
      <w:r w:rsidRPr="005C0E19">
        <w:rPr>
          <w:rFonts w:ascii="Times New Roman" w:hAnsi="Times New Roman" w:cs="Times New Roman"/>
          <w:bCs/>
          <w:sz w:val="24"/>
          <w:szCs w:val="24"/>
        </w:rPr>
        <w:t>, and wi</w:t>
      </w:r>
      <w:r w:rsidR="005C0E19">
        <w:rPr>
          <w:rFonts w:ascii="Times New Roman" w:hAnsi="Times New Roman" w:cs="Times New Roman"/>
          <w:bCs/>
          <w:sz w:val="24"/>
          <w:szCs w:val="24"/>
        </w:rPr>
        <w:t>ll consider the recommendations</w:t>
      </w:r>
      <w:r w:rsidRPr="005C0E19">
        <w:rPr>
          <w:rFonts w:ascii="Times New Roman" w:hAnsi="Times New Roman" w:cs="Times New Roman"/>
          <w:bCs/>
          <w:sz w:val="24"/>
          <w:szCs w:val="24"/>
        </w:rPr>
        <w:t xml:space="preserve"> as part of the Department of Industry, Innovation and Science’s </w:t>
      </w:r>
      <w:r w:rsidR="009E5CEB">
        <w:rPr>
          <w:rFonts w:ascii="Times New Roman" w:hAnsi="Times New Roman" w:cs="Times New Roman"/>
          <w:bCs/>
          <w:sz w:val="24"/>
          <w:szCs w:val="24"/>
        </w:rPr>
        <w:t xml:space="preserve">current </w:t>
      </w:r>
      <w:r w:rsidRPr="005C0E19">
        <w:rPr>
          <w:rFonts w:ascii="Times New Roman" w:hAnsi="Times New Roman" w:cs="Times New Roman"/>
          <w:bCs/>
          <w:sz w:val="24"/>
          <w:szCs w:val="24"/>
        </w:rPr>
        <w:t>review of the offshore safety regulatory regime.</w:t>
      </w:r>
    </w:p>
    <w:p w14:paraId="70F14A87" w14:textId="77777777" w:rsidR="009E5E72" w:rsidRPr="009E5E72" w:rsidRDefault="00D07BE7" w:rsidP="00856901">
      <w:pPr>
        <w:pStyle w:val="Heading2"/>
      </w:pPr>
      <w:r w:rsidRPr="00D07BE7">
        <w:t xml:space="preserve">Offshore Safety </w:t>
      </w:r>
      <w:r w:rsidR="000A42D9">
        <w:t xml:space="preserve">Regulatory Regime </w:t>
      </w:r>
      <w:r w:rsidRPr="00D07BE7">
        <w:t xml:space="preserve">Review </w:t>
      </w:r>
    </w:p>
    <w:p w14:paraId="73C5057D" w14:textId="77777777" w:rsidR="005E2C28" w:rsidRPr="00034480" w:rsidRDefault="00BC50C1" w:rsidP="00034480">
      <w:pPr>
        <w:rPr>
          <w:rFonts w:ascii="Times New Roman" w:hAnsi="Times New Roman" w:cs="Times New Roman"/>
          <w:color w:val="000000"/>
          <w:sz w:val="24"/>
          <w:szCs w:val="24"/>
        </w:rPr>
      </w:pPr>
      <w:r w:rsidRPr="00034480">
        <w:rPr>
          <w:rFonts w:ascii="Times New Roman" w:hAnsi="Times New Roman" w:cs="Times New Roman"/>
          <w:color w:val="000000"/>
          <w:sz w:val="24"/>
          <w:szCs w:val="24"/>
        </w:rPr>
        <w:t>In July 2018, the Department of Industry, Innovation and Science</w:t>
      </w:r>
      <w:r w:rsidR="004B1809" w:rsidRPr="00034480">
        <w:rPr>
          <w:rFonts w:ascii="Times New Roman" w:hAnsi="Times New Roman" w:cs="Times New Roman"/>
          <w:color w:val="000000"/>
          <w:sz w:val="24"/>
          <w:szCs w:val="24"/>
        </w:rPr>
        <w:t xml:space="preserve"> commenced a </w:t>
      </w:r>
      <w:r w:rsidR="00587CFA" w:rsidRPr="00034480">
        <w:rPr>
          <w:rFonts w:ascii="Times New Roman" w:hAnsi="Times New Roman" w:cs="Times New Roman"/>
          <w:color w:val="000000"/>
          <w:sz w:val="24"/>
          <w:szCs w:val="24"/>
        </w:rPr>
        <w:t>r</w:t>
      </w:r>
      <w:r w:rsidR="004B1809" w:rsidRPr="00034480">
        <w:rPr>
          <w:rFonts w:ascii="Times New Roman" w:hAnsi="Times New Roman" w:cs="Times New Roman"/>
          <w:color w:val="000000"/>
          <w:sz w:val="24"/>
          <w:szCs w:val="24"/>
        </w:rPr>
        <w:t xml:space="preserve">eview of the offshore safety regulatory regime, as part of its normal regulatory and continuous </w:t>
      </w:r>
      <w:r w:rsidR="004B1809" w:rsidRPr="00034480">
        <w:rPr>
          <w:rFonts w:ascii="Times New Roman" w:hAnsi="Times New Roman" w:cs="Times New Roman"/>
          <w:color w:val="000000"/>
          <w:sz w:val="24"/>
          <w:szCs w:val="24"/>
        </w:rPr>
        <w:lastRenderedPageBreak/>
        <w:t>improvement process</w:t>
      </w:r>
      <w:r w:rsidR="005C0E19">
        <w:rPr>
          <w:rFonts w:ascii="Times New Roman" w:hAnsi="Times New Roman" w:cs="Times New Roman"/>
          <w:color w:val="000000"/>
          <w:sz w:val="24"/>
          <w:szCs w:val="24"/>
        </w:rPr>
        <w:t>,</w:t>
      </w:r>
      <w:r w:rsidR="00446C6E" w:rsidRPr="00034480">
        <w:rPr>
          <w:rFonts w:ascii="Times New Roman" w:hAnsi="Times New Roman" w:cs="Times New Roman"/>
          <w:color w:val="000000"/>
          <w:sz w:val="24"/>
          <w:szCs w:val="24"/>
        </w:rPr>
        <w:t xml:space="preserve"> and in anticipation of the sunsetting of the current safety regulations</w:t>
      </w:r>
      <w:r w:rsidR="00FE0978" w:rsidRPr="00034480">
        <w:rPr>
          <w:rFonts w:ascii="Times New Roman" w:hAnsi="Times New Roman" w:cs="Times New Roman"/>
          <w:color w:val="000000"/>
          <w:sz w:val="24"/>
          <w:szCs w:val="24"/>
        </w:rPr>
        <w:t xml:space="preserve"> in April 2020</w:t>
      </w:r>
      <w:r w:rsidR="00446C6E" w:rsidRPr="00034480">
        <w:rPr>
          <w:rFonts w:ascii="Times New Roman" w:hAnsi="Times New Roman" w:cs="Times New Roman"/>
          <w:color w:val="000000"/>
          <w:sz w:val="24"/>
          <w:szCs w:val="24"/>
        </w:rPr>
        <w:t>. The purpose of the Safety Review is to ensure that the regime continues to provide an effective framework to secure the health</w:t>
      </w:r>
      <w:r w:rsidR="000A42D9">
        <w:rPr>
          <w:rFonts w:ascii="Times New Roman" w:hAnsi="Times New Roman" w:cs="Times New Roman"/>
          <w:color w:val="000000"/>
          <w:sz w:val="24"/>
          <w:szCs w:val="24"/>
        </w:rPr>
        <w:t>,</w:t>
      </w:r>
      <w:r w:rsidR="00446C6E" w:rsidRPr="00034480">
        <w:rPr>
          <w:rFonts w:ascii="Times New Roman" w:hAnsi="Times New Roman" w:cs="Times New Roman"/>
          <w:color w:val="000000"/>
          <w:sz w:val="24"/>
          <w:szCs w:val="24"/>
        </w:rPr>
        <w:t xml:space="preserve"> safety and welfare of offshore workers. </w:t>
      </w:r>
    </w:p>
    <w:p w14:paraId="687094B4" w14:textId="77777777" w:rsidR="00FE0978" w:rsidRPr="00034480" w:rsidRDefault="002A43BF" w:rsidP="00034480">
      <w:pPr>
        <w:rPr>
          <w:rFonts w:ascii="Times New Roman" w:hAnsi="Times New Roman" w:cs="Times New Roman"/>
          <w:color w:val="000000"/>
          <w:sz w:val="24"/>
          <w:szCs w:val="24"/>
        </w:rPr>
      </w:pPr>
      <w:r w:rsidRPr="00034480">
        <w:rPr>
          <w:rFonts w:ascii="Times New Roman" w:hAnsi="Times New Roman" w:cs="Times New Roman"/>
          <w:color w:val="000000"/>
          <w:sz w:val="24"/>
          <w:szCs w:val="24"/>
        </w:rPr>
        <w:t>The Safety Review will be evidence-based and propose policy changes and legislative amendments, where necessary, to improve the offshore OHS regime.</w:t>
      </w:r>
      <w:r>
        <w:rPr>
          <w:rFonts w:ascii="Times New Roman" w:hAnsi="Times New Roman" w:cs="Times New Roman"/>
          <w:color w:val="000000"/>
          <w:sz w:val="24"/>
          <w:szCs w:val="24"/>
        </w:rPr>
        <w:t xml:space="preserve"> </w:t>
      </w:r>
      <w:r w:rsidR="00FE0978" w:rsidRPr="00034480">
        <w:rPr>
          <w:rFonts w:ascii="Times New Roman" w:hAnsi="Times New Roman" w:cs="Times New Roman"/>
          <w:color w:val="000000"/>
          <w:sz w:val="24"/>
          <w:szCs w:val="24"/>
        </w:rPr>
        <w:t xml:space="preserve">The </w:t>
      </w:r>
      <w:r w:rsidR="009657DD" w:rsidRPr="00034480">
        <w:rPr>
          <w:rFonts w:ascii="Times New Roman" w:hAnsi="Times New Roman" w:cs="Times New Roman"/>
          <w:color w:val="000000"/>
          <w:sz w:val="24"/>
          <w:szCs w:val="24"/>
        </w:rPr>
        <w:t xml:space="preserve">Safety </w:t>
      </w:r>
      <w:r w:rsidR="00FE0978" w:rsidRPr="00034480">
        <w:rPr>
          <w:rFonts w:ascii="Times New Roman" w:hAnsi="Times New Roman" w:cs="Times New Roman"/>
          <w:color w:val="000000"/>
          <w:sz w:val="24"/>
          <w:szCs w:val="24"/>
        </w:rPr>
        <w:t xml:space="preserve">Review will consider </w:t>
      </w:r>
      <w:r w:rsidR="00666140" w:rsidRPr="00034480">
        <w:rPr>
          <w:rFonts w:ascii="Times New Roman" w:hAnsi="Times New Roman" w:cs="Times New Roman"/>
          <w:color w:val="000000"/>
          <w:sz w:val="24"/>
          <w:szCs w:val="24"/>
        </w:rPr>
        <w:t>the offshore OHS legislative framework</w:t>
      </w:r>
      <w:r w:rsidR="00A6561B" w:rsidRPr="00034480">
        <w:rPr>
          <w:rFonts w:ascii="Times New Roman" w:hAnsi="Times New Roman" w:cs="Times New Roman"/>
          <w:color w:val="000000"/>
          <w:sz w:val="24"/>
          <w:szCs w:val="24"/>
        </w:rPr>
        <w:t xml:space="preserve"> (including risk management plans and jurisdictional coverage)</w:t>
      </w:r>
      <w:r>
        <w:rPr>
          <w:rFonts w:ascii="Times New Roman" w:hAnsi="Times New Roman" w:cs="Times New Roman"/>
          <w:color w:val="000000"/>
          <w:sz w:val="24"/>
          <w:szCs w:val="24"/>
        </w:rPr>
        <w:t>;</w:t>
      </w:r>
      <w:r w:rsidR="00A6561B" w:rsidRPr="00034480">
        <w:rPr>
          <w:rFonts w:ascii="Times New Roman" w:hAnsi="Times New Roman" w:cs="Times New Roman"/>
          <w:color w:val="000000"/>
          <w:sz w:val="24"/>
          <w:szCs w:val="24"/>
        </w:rPr>
        <w:t xml:space="preserve"> workplace arrangements (</w:t>
      </w:r>
      <w:r w:rsidR="000A42D9">
        <w:rPr>
          <w:rFonts w:ascii="Times New Roman" w:hAnsi="Times New Roman" w:cs="Times New Roman"/>
          <w:color w:val="000000"/>
          <w:sz w:val="24"/>
          <w:szCs w:val="24"/>
        </w:rPr>
        <w:t xml:space="preserve">including </w:t>
      </w:r>
      <w:r w:rsidR="00A6561B" w:rsidRPr="00034480">
        <w:rPr>
          <w:rFonts w:ascii="Times New Roman" w:hAnsi="Times New Roman" w:cs="Times New Roman"/>
          <w:color w:val="000000"/>
          <w:sz w:val="24"/>
          <w:szCs w:val="24"/>
        </w:rPr>
        <w:t>Health and Safety Representatives, consultation and participation, training and competency)</w:t>
      </w:r>
      <w:r>
        <w:rPr>
          <w:rFonts w:ascii="Times New Roman" w:hAnsi="Times New Roman" w:cs="Times New Roman"/>
          <w:color w:val="000000"/>
          <w:sz w:val="24"/>
          <w:szCs w:val="24"/>
        </w:rPr>
        <w:t>;</w:t>
      </w:r>
      <w:r w:rsidR="00A6561B" w:rsidRPr="00034480">
        <w:rPr>
          <w:rFonts w:ascii="Times New Roman" w:hAnsi="Times New Roman" w:cs="Times New Roman"/>
          <w:color w:val="000000"/>
          <w:sz w:val="24"/>
          <w:szCs w:val="24"/>
        </w:rPr>
        <w:t xml:space="preserve"> and compliance and enforcement (</w:t>
      </w:r>
      <w:r w:rsidR="00C760D0" w:rsidRPr="00034480">
        <w:rPr>
          <w:rFonts w:ascii="Times New Roman" w:hAnsi="Times New Roman" w:cs="Times New Roman"/>
          <w:color w:val="000000"/>
          <w:sz w:val="24"/>
          <w:szCs w:val="24"/>
        </w:rPr>
        <w:t>inspections, reporting, offences and penalties)</w:t>
      </w:r>
      <w:r w:rsidR="00A6561B" w:rsidRPr="000344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Key issues raised in the Committee report pertaining to the OHS regime will be considered as part of the Safety Review</w:t>
      </w:r>
      <w:r w:rsidR="000A42D9">
        <w:rPr>
          <w:rFonts w:ascii="Times New Roman" w:hAnsi="Times New Roman" w:cs="Times New Roman"/>
          <w:color w:val="000000"/>
          <w:sz w:val="24"/>
          <w:szCs w:val="24"/>
        </w:rPr>
        <w:t xml:space="preserve">. </w:t>
      </w:r>
      <w:r w:rsidR="00C760D0" w:rsidRPr="00034480">
        <w:rPr>
          <w:rFonts w:ascii="Times New Roman" w:hAnsi="Times New Roman" w:cs="Times New Roman"/>
          <w:color w:val="000000"/>
          <w:sz w:val="24"/>
          <w:szCs w:val="24"/>
        </w:rPr>
        <w:t xml:space="preserve">Some </w:t>
      </w:r>
      <w:r w:rsidR="005C0E19">
        <w:rPr>
          <w:rFonts w:ascii="Times New Roman" w:hAnsi="Times New Roman" w:cs="Times New Roman"/>
          <w:color w:val="000000"/>
          <w:sz w:val="24"/>
          <w:szCs w:val="24"/>
        </w:rPr>
        <w:t>issues</w:t>
      </w:r>
      <w:r w:rsidR="00C760D0" w:rsidRPr="00034480">
        <w:rPr>
          <w:rFonts w:ascii="Times New Roman" w:hAnsi="Times New Roman" w:cs="Times New Roman"/>
          <w:color w:val="000000"/>
          <w:sz w:val="24"/>
          <w:szCs w:val="24"/>
        </w:rPr>
        <w:t xml:space="preserve"> may be identified </w:t>
      </w:r>
      <w:r w:rsidR="005C0E19">
        <w:rPr>
          <w:rFonts w:ascii="Times New Roman" w:hAnsi="Times New Roman" w:cs="Times New Roman"/>
          <w:color w:val="000000"/>
          <w:sz w:val="24"/>
          <w:szCs w:val="24"/>
        </w:rPr>
        <w:t>for</w:t>
      </w:r>
      <w:r w:rsidR="00C760D0" w:rsidRPr="00034480">
        <w:rPr>
          <w:rFonts w:ascii="Times New Roman" w:hAnsi="Times New Roman" w:cs="Times New Roman"/>
          <w:color w:val="000000"/>
          <w:sz w:val="24"/>
          <w:szCs w:val="24"/>
        </w:rPr>
        <w:t xml:space="preserve"> further analysis following the Safety Review. </w:t>
      </w:r>
      <w:r w:rsidR="00587CFA" w:rsidRPr="00034480">
        <w:rPr>
          <w:rFonts w:ascii="Times New Roman" w:hAnsi="Times New Roman" w:cs="Times New Roman"/>
          <w:color w:val="000000"/>
          <w:sz w:val="24"/>
          <w:szCs w:val="24"/>
        </w:rPr>
        <w:t>T</w:t>
      </w:r>
      <w:r w:rsidR="00931498" w:rsidRPr="00034480">
        <w:rPr>
          <w:rFonts w:ascii="Times New Roman" w:hAnsi="Times New Roman" w:cs="Times New Roman"/>
          <w:color w:val="000000"/>
          <w:sz w:val="24"/>
          <w:szCs w:val="24"/>
        </w:rPr>
        <w:t>he</w:t>
      </w:r>
      <w:r w:rsidR="00C760D0" w:rsidRPr="00034480">
        <w:rPr>
          <w:rFonts w:ascii="Times New Roman" w:hAnsi="Times New Roman" w:cs="Times New Roman"/>
          <w:color w:val="000000"/>
          <w:sz w:val="24"/>
          <w:szCs w:val="24"/>
        </w:rPr>
        <w:t xml:space="preserve"> T</w:t>
      </w:r>
      <w:r w:rsidR="008B63D9" w:rsidRPr="00034480">
        <w:rPr>
          <w:rFonts w:ascii="Times New Roman" w:hAnsi="Times New Roman" w:cs="Times New Roman"/>
          <w:color w:val="000000"/>
          <w:sz w:val="24"/>
          <w:szCs w:val="24"/>
        </w:rPr>
        <w:t xml:space="preserve">erms of </w:t>
      </w:r>
      <w:r w:rsidR="00C760D0" w:rsidRPr="00034480">
        <w:rPr>
          <w:rFonts w:ascii="Times New Roman" w:hAnsi="Times New Roman" w:cs="Times New Roman"/>
          <w:color w:val="000000"/>
          <w:sz w:val="24"/>
          <w:szCs w:val="24"/>
        </w:rPr>
        <w:t>R</w:t>
      </w:r>
      <w:r w:rsidR="008B63D9" w:rsidRPr="00034480">
        <w:rPr>
          <w:rFonts w:ascii="Times New Roman" w:hAnsi="Times New Roman" w:cs="Times New Roman"/>
          <w:color w:val="000000"/>
          <w:sz w:val="24"/>
          <w:szCs w:val="24"/>
        </w:rPr>
        <w:t>eference</w:t>
      </w:r>
      <w:r w:rsidR="00587CFA" w:rsidRPr="00034480">
        <w:rPr>
          <w:rFonts w:ascii="Times New Roman" w:hAnsi="Times New Roman" w:cs="Times New Roman"/>
          <w:color w:val="000000"/>
          <w:sz w:val="24"/>
          <w:szCs w:val="24"/>
        </w:rPr>
        <w:t xml:space="preserve"> of the review are at </w:t>
      </w:r>
      <w:r w:rsidR="00587CFA" w:rsidRPr="00034480">
        <w:rPr>
          <w:rFonts w:ascii="Times New Roman" w:hAnsi="Times New Roman" w:cs="Times New Roman"/>
          <w:color w:val="000000"/>
          <w:sz w:val="24"/>
          <w:szCs w:val="24"/>
          <w:u w:val="single"/>
        </w:rPr>
        <w:t>Attachment A</w:t>
      </w:r>
      <w:r w:rsidR="00C760D0" w:rsidRPr="00034480">
        <w:rPr>
          <w:rFonts w:ascii="Times New Roman" w:hAnsi="Times New Roman" w:cs="Times New Roman"/>
          <w:color w:val="000000"/>
          <w:sz w:val="24"/>
          <w:szCs w:val="24"/>
        </w:rPr>
        <w:t>.</w:t>
      </w:r>
      <w:r w:rsidR="00A6561B" w:rsidRPr="00034480">
        <w:rPr>
          <w:rFonts w:ascii="Times New Roman" w:hAnsi="Times New Roman" w:cs="Times New Roman"/>
          <w:color w:val="000000"/>
          <w:sz w:val="24"/>
          <w:szCs w:val="24"/>
        </w:rPr>
        <w:t xml:space="preserve">  </w:t>
      </w:r>
    </w:p>
    <w:p w14:paraId="4205A6D1" w14:textId="77777777" w:rsidR="009657DD" w:rsidRPr="00034480" w:rsidRDefault="009657DD" w:rsidP="00034480">
      <w:pPr>
        <w:rPr>
          <w:rFonts w:ascii="Times New Roman" w:hAnsi="Times New Roman" w:cs="Times New Roman"/>
          <w:color w:val="000000"/>
          <w:sz w:val="24"/>
          <w:szCs w:val="24"/>
        </w:rPr>
      </w:pPr>
      <w:r w:rsidRPr="00034480">
        <w:rPr>
          <w:rFonts w:ascii="Times New Roman" w:hAnsi="Times New Roman" w:cs="Times New Roman"/>
          <w:color w:val="000000"/>
          <w:sz w:val="24"/>
          <w:szCs w:val="24"/>
        </w:rPr>
        <w:t>Integral to the</w:t>
      </w:r>
      <w:r w:rsidR="00A75E70">
        <w:rPr>
          <w:rFonts w:ascii="Times New Roman" w:hAnsi="Times New Roman" w:cs="Times New Roman"/>
          <w:color w:val="000000"/>
          <w:sz w:val="24"/>
          <w:szCs w:val="24"/>
        </w:rPr>
        <w:t xml:space="preserve"> effectiveness of the</w:t>
      </w:r>
      <w:r w:rsidRPr="00034480">
        <w:rPr>
          <w:rFonts w:ascii="Times New Roman" w:hAnsi="Times New Roman" w:cs="Times New Roman"/>
          <w:color w:val="000000"/>
          <w:sz w:val="24"/>
          <w:szCs w:val="24"/>
        </w:rPr>
        <w:t xml:space="preserve"> Safety Review is engagement with, and input from, stakeholders involved in offshore health and safety issues</w:t>
      </w:r>
      <w:r w:rsidR="00A75E70">
        <w:rPr>
          <w:rFonts w:ascii="Times New Roman" w:hAnsi="Times New Roman" w:cs="Times New Roman"/>
          <w:color w:val="000000"/>
          <w:sz w:val="24"/>
          <w:szCs w:val="24"/>
        </w:rPr>
        <w:t>,</w:t>
      </w:r>
      <w:r w:rsidRPr="00034480">
        <w:rPr>
          <w:rFonts w:ascii="Times New Roman" w:hAnsi="Times New Roman" w:cs="Times New Roman"/>
          <w:color w:val="000000"/>
          <w:sz w:val="24"/>
          <w:szCs w:val="24"/>
        </w:rPr>
        <w:t xml:space="preserve"> through a number of different consultation mechanisms. </w:t>
      </w:r>
      <w:r w:rsidR="00204C46" w:rsidRPr="00034480">
        <w:rPr>
          <w:rFonts w:ascii="Times New Roman" w:hAnsi="Times New Roman" w:cs="Times New Roman"/>
          <w:color w:val="000000"/>
          <w:sz w:val="24"/>
          <w:szCs w:val="24"/>
        </w:rPr>
        <w:t>T</w:t>
      </w:r>
      <w:r w:rsidR="0006748C" w:rsidRPr="00034480">
        <w:rPr>
          <w:rFonts w:ascii="Times New Roman" w:hAnsi="Times New Roman" w:cs="Times New Roman"/>
          <w:color w:val="000000"/>
          <w:sz w:val="24"/>
          <w:szCs w:val="24"/>
        </w:rPr>
        <w:t xml:space="preserve">he department has established a </w:t>
      </w:r>
      <w:r w:rsidRPr="00034480">
        <w:rPr>
          <w:rFonts w:ascii="Times New Roman" w:hAnsi="Times New Roman" w:cs="Times New Roman"/>
          <w:color w:val="000000"/>
          <w:sz w:val="24"/>
          <w:szCs w:val="24"/>
        </w:rPr>
        <w:t>Safety Stakeholder Group as a forum</w:t>
      </w:r>
      <w:r w:rsidR="0006748C" w:rsidRPr="00034480">
        <w:rPr>
          <w:rFonts w:ascii="Times New Roman" w:hAnsi="Times New Roman" w:cs="Times New Roman"/>
          <w:color w:val="000000"/>
          <w:sz w:val="24"/>
          <w:szCs w:val="24"/>
        </w:rPr>
        <w:t xml:space="preserve"> for representatives from the offshore industry, unions and the workforce, and state and Commonwealth governments, to exchange views and information on issues relevant to the review and allow ideas to be tested and discussed prior to a final policy position being reached. </w:t>
      </w:r>
      <w:r w:rsidR="00204C46" w:rsidRPr="00034480">
        <w:rPr>
          <w:rFonts w:ascii="Times New Roman" w:hAnsi="Times New Roman" w:cs="Times New Roman"/>
          <w:color w:val="000000"/>
          <w:sz w:val="24"/>
          <w:szCs w:val="24"/>
        </w:rPr>
        <w:t>The department will also be holding targeted stake</w:t>
      </w:r>
      <w:r w:rsidR="0006748C" w:rsidRPr="00034480">
        <w:rPr>
          <w:rFonts w:ascii="Times New Roman" w:hAnsi="Times New Roman" w:cs="Times New Roman"/>
          <w:color w:val="000000"/>
          <w:sz w:val="24"/>
          <w:szCs w:val="24"/>
        </w:rPr>
        <w:t>holder meetings and workshops and undertake formal public consultation</w:t>
      </w:r>
      <w:r w:rsidR="00204C46" w:rsidRPr="00034480">
        <w:rPr>
          <w:rFonts w:ascii="Times New Roman" w:hAnsi="Times New Roman" w:cs="Times New Roman"/>
          <w:color w:val="000000"/>
          <w:sz w:val="24"/>
          <w:szCs w:val="24"/>
        </w:rPr>
        <w:t xml:space="preserve">. </w:t>
      </w:r>
      <w:r w:rsidR="002A43BF">
        <w:rPr>
          <w:rFonts w:ascii="Times New Roman" w:hAnsi="Times New Roman" w:cs="Times New Roman"/>
          <w:color w:val="000000"/>
          <w:sz w:val="24"/>
          <w:szCs w:val="24"/>
        </w:rPr>
        <w:t>The department held a stakeholder workshop in Melbourne in August to explore issues and concerns of a wide range of participants involved in the offshore industry.</w:t>
      </w:r>
    </w:p>
    <w:p w14:paraId="6DDD6934" w14:textId="7179DD43" w:rsidR="00587CFA" w:rsidRPr="00034480" w:rsidRDefault="004B1809" w:rsidP="00034480">
      <w:pPr>
        <w:rPr>
          <w:rFonts w:ascii="Times New Roman" w:hAnsi="Times New Roman" w:cs="Times New Roman"/>
          <w:color w:val="000000"/>
          <w:sz w:val="24"/>
          <w:szCs w:val="24"/>
        </w:rPr>
      </w:pPr>
      <w:r w:rsidRPr="00034480">
        <w:rPr>
          <w:rFonts w:ascii="Times New Roman" w:hAnsi="Times New Roman" w:cs="Times New Roman"/>
          <w:color w:val="000000"/>
          <w:sz w:val="24"/>
          <w:szCs w:val="24"/>
        </w:rPr>
        <w:t>A</w:t>
      </w:r>
      <w:r w:rsidR="008B63D9" w:rsidRPr="00034480">
        <w:rPr>
          <w:rFonts w:ascii="Times New Roman" w:hAnsi="Times New Roman" w:cs="Times New Roman"/>
          <w:color w:val="000000"/>
          <w:sz w:val="24"/>
          <w:szCs w:val="24"/>
        </w:rPr>
        <w:t>s part of the Safety Review</w:t>
      </w:r>
      <w:r w:rsidR="00446C6E" w:rsidRPr="00034480">
        <w:rPr>
          <w:rFonts w:ascii="Times New Roman" w:hAnsi="Times New Roman" w:cs="Times New Roman"/>
          <w:color w:val="000000"/>
          <w:sz w:val="24"/>
          <w:szCs w:val="24"/>
        </w:rPr>
        <w:t xml:space="preserve"> a</w:t>
      </w:r>
      <w:r w:rsidR="00284DC9">
        <w:rPr>
          <w:rFonts w:ascii="Times New Roman" w:hAnsi="Times New Roman" w:cs="Times New Roman"/>
          <w:color w:val="000000"/>
          <w:sz w:val="24"/>
          <w:szCs w:val="24"/>
        </w:rPr>
        <w:t xml:space="preserve"> wide </w:t>
      </w:r>
      <w:r w:rsidRPr="00034480">
        <w:rPr>
          <w:rFonts w:ascii="Times New Roman" w:hAnsi="Times New Roman" w:cs="Times New Roman"/>
          <w:color w:val="000000"/>
          <w:sz w:val="24"/>
          <w:szCs w:val="24"/>
        </w:rPr>
        <w:t>variety of information sources will be considered</w:t>
      </w:r>
      <w:r w:rsidR="00446C6E" w:rsidRPr="00034480">
        <w:rPr>
          <w:rFonts w:ascii="Times New Roman" w:hAnsi="Times New Roman" w:cs="Times New Roman"/>
          <w:color w:val="000000"/>
          <w:sz w:val="24"/>
          <w:szCs w:val="24"/>
        </w:rPr>
        <w:t xml:space="preserve">, including equivalent international offshore and onshore safety regimes, as well as </w:t>
      </w:r>
      <w:r w:rsidR="00284DC9">
        <w:rPr>
          <w:rFonts w:ascii="Times New Roman" w:hAnsi="Times New Roman" w:cs="Times New Roman"/>
          <w:color w:val="000000"/>
          <w:sz w:val="24"/>
          <w:szCs w:val="24"/>
        </w:rPr>
        <w:t>issues</w:t>
      </w:r>
      <w:r w:rsidR="00446C6E" w:rsidRPr="00034480">
        <w:rPr>
          <w:rFonts w:ascii="Times New Roman" w:hAnsi="Times New Roman" w:cs="Times New Roman"/>
          <w:color w:val="000000"/>
          <w:sz w:val="24"/>
          <w:szCs w:val="24"/>
        </w:rPr>
        <w:t xml:space="preserve"> arising from the Review of the Model Work Health and Safety laws currently being undertaken by Safe</w:t>
      </w:r>
      <w:r w:rsidR="001F080C">
        <w:rPr>
          <w:rFonts w:ascii="Times New Roman" w:hAnsi="Times New Roman" w:cs="Times New Roman"/>
          <w:color w:val="000000"/>
          <w:sz w:val="24"/>
          <w:szCs w:val="24"/>
        </w:rPr>
        <w:t xml:space="preserve"> </w:t>
      </w:r>
      <w:r w:rsidR="00446C6E" w:rsidRPr="00034480">
        <w:rPr>
          <w:rFonts w:ascii="Times New Roman" w:hAnsi="Times New Roman" w:cs="Times New Roman"/>
          <w:color w:val="000000"/>
          <w:sz w:val="24"/>
          <w:szCs w:val="24"/>
        </w:rPr>
        <w:t>Work Australia</w:t>
      </w:r>
      <w:r w:rsidR="002A43BF">
        <w:rPr>
          <w:rFonts w:ascii="Times New Roman" w:hAnsi="Times New Roman" w:cs="Times New Roman"/>
          <w:color w:val="000000"/>
          <w:sz w:val="24"/>
          <w:szCs w:val="24"/>
        </w:rPr>
        <w:t>.</w:t>
      </w:r>
      <w:r w:rsidR="00446C6E" w:rsidRPr="00034480">
        <w:rPr>
          <w:rFonts w:ascii="Times New Roman" w:hAnsi="Times New Roman" w:cs="Times New Roman"/>
          <w:color w:val="000000"/>
          <w:sz w:val="24"/>
          <w:szCs w:val="24"/>
        </w:rPr>
        <w:t xml:space="preserve"> </w:t>
      </w:r>
    </w:p>
    <w:p w14:paraId="6219E274" w14:textId="77777777" w:rsidR="000235AB" w:rsidRDefault="000235AB" w:rsidP="005C0E19">
      <w:pPr>
        <w:pStyle w:val="Heading2"/>
      </w:pPr>
      <w:r>
        <w:t>Conclusion</w:t>
      </w:r>
    </w:p>
    <w:p w14:paraId="16117201" w14:textId="1AF01C65" w:rsidR="00D23C8B" w:rsidRDefault="002A43BF" w:rsidP="00C468B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Government </w:t>
      </w:r>
      <w:r w:rsidR="00B811A8">
        <w:rPr>
          <w:rFonts w:ascii="Times New Roman" w:hAnsi="Times New Roman" w:cs="Times New Roman"/>
          <w:color w:val="000000"/>
          <w:sz w:val="24"/>
          <w:szCs w:val="24"/>
        </w:rPr>
        <w:t xml:space="preserve">notes </w:t>
      </w:r>
      <w:r>
        <w:rPr>
          <w:rFonts w:ascii="Times New Roman" w:hAnsi="Times New Roman" w:cs="Times New Roman"/>
          <w:color w:val="000000"/>
          <w:sz w:val="24"/>
          <w:szCs w:val="24"/>
        </w:rPr>
        <w:t xml:space="preserve">the Safety Review </w:t>
      </w:r>
      <w:r w:rsidR="00B811A8">
        <w:rPr>
          <w:rFonts w:ascii="Times New Roman" w:hAnsi="Times New Roman" w:cs="Times New Roman"/>
          <w:color w:val="000000"/>
          <w:sz w:val="24"/>
          <w:szCs w:val="24"/>
        </w:rPr>
        <w:t>provides</w:t>
      </w:r>
      <w:r>
        <w:rPr>
          <w:rFonts w:ascii="Times New Roman" w:hAnsi="Times New Roman" w:cs="Times New Roman"/>
          <w:color w:val="000000"/>
          <w:sz w:val="24"/>
          <w:szCs w:val="24"/>
        </w:rPr>
        <w:t xml:space="preserve"> a </w:t>
      </w:r>
      <w:r w:rsidR="00B811A8">
        <w:rPr>
          <w:rFonts w:ascii="Times New Roman" w:hAnsi="Times New Roman" w:cs="Times New Roman"/>
          <w:color w:val="000000"/>
          <w:sz w:val="24"/>
          <w:szCs w:val="24"/>
        </w:rPr>
        <w:t>timely and sensible</w:t>
      </w:r>
      <w:r>
        <w:rPr>
          <w:rFonts w:ascii="Times New Roman" w:hAnsi="Times New Roman" w:cs="Times New Roman"/>
          <w:color w:val="000000"/>
          <w:sz w:val="24"/>
          <w:szCs w:val="24"/>
        </w:rPr>
        <w:t xml:space="preserve"> opportunity to carefully</w:t>
      </w:r>
      <w:r w:rsidR="00B811A8">
        <w:rPr>
          <w:rFonts w:ascii="Times New Roman" w:hAnsi="Times New Roman" w:cs="Times New Roman"/>
          <w:color w:val="000000"/>
          <w:sz w:val="24"/>
          <w:szCs w:val="24"/>
        </w:rPr>
        <w:t xml:space="preserve"> consider</w:t>
      </w:r>
      <w:r>
        <w:rPr>
          <w:rFonts w:ascii="Times New Roman" w:hAnsi="Times New Roman" w:cs="Times New Roman"/>
          <w:color w:val="000000"/>
          <w:sz w:val="24"/>
          <w:szCs w:val="24"/>
        </w:rPr>
        <w:t xml:space="preserve"> </w:t>
      </w:r>
      <w:r w:rsidR="00B811A8">
        <w:rPr>
          <w:rFonts w:ascii="Times New Roman" w:hAnsi="Times New Roman" w:cs="Times New Roman"/>
          <w:color w:val="000000"/>
          <w:sz w:val="24"/>
          <w:szCs w:val="24"/>
        </w:rPr>
        <w:t>t</w:t>
      </w:r>
      <w:r w:rsidR="00446C6E" w:rsidRPr="00034480">
        <w:rPr>
          <w:rFonts w:ascii="Times New Roman" w:hAnsi="Times New Roman" w:cs="Times New Roman"/>
          <w:color w:val="000000"/>
          <w:sz w:val="24"/>
          <w:szCs w:val="24"/>
        </w:rPr>
        <w:t>he findings of the Committee report and evidence provided during the course of the inquiry, and will draw upon</w:t>
      </w:r>
      <w:r w:rsidR="00A75E70">
        <w:rPr>
          <w:rFonts w:ascii="Times New Roman" w:hAnsi="Times New Roman" w:cs="Times New Roman"/>
          <w:color w:val="000000"/>
          <w:sz w:val="24"/>
          <w:szCs w:val="24"/>
        </w:rPr>
        <w:t xml:space="preserve"> this information</w:t>
      </w:r>
      <w:r w:rsidR="00B811A8">
        <w:rPr>
          <w:rFonts w:ascii="Times New Roman" w:hAnsi="Times New Roman" w:cs="Times New Roman"/>
          <w:color w:val="000000"/>
          <w:sz w:val="24"/>
          <w:szCs w:val="24"/>
        </w:rPr>
        <w:t xml:space="preserve"> while undertaking</w:t>
      </w:r>
      <w:r w:rsidR="00446C6E" w:rsidRPr="00034480">
        <w:rPr>
          <w:rFonts w:ascii="Times New Roman" w:hAnsi="Times New Roman" w:cs="Times New Roman"/>
          <w:color w:val="000000"/>
          <w:sz w:val="24"/>
          <w:szCs w:val="24"/>
        </w:rPr>
        <w:t xml:space="preserve"> the Safety Review.</w:t>
      </w:r>
    </w:p>
    <w:p w14:paraId="3079AFDC" w14:textId="36D52AB3" w:rsidR="00B93D5D" w:rsidRDefault="000235AB">
      <w:pPr>
        <w:rPr>
          <w:rFonts w:ascii="Times New Roman" w:hAnsi="Times New Roman" w:cs="Times New Roman"/>
          <w:color w:val="000000"/>
          <w:sz w:val="24"/>
          <w:szCs w:val="24"/>
        </w:rPr>
        <w:sectPr w:rsidR="00B93D5D" w:rsidSect="00120F1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docGrid w:linePitch="360"/>
        </w:sectPr>
      </w:pPr>
      <w:r>
        <w:rPr>
          <w:rFonts w:ascii="Times New Roman" w:hAnsi="Times New Roman" w:cs="Times New Roman"/>
          <w:color w:val="000000"/>
          <w:sz w:val="24"/>
          <w:szCs w:val="24"/>
        </w:rPr>
        <w:t xml:space="preserve">The Government recognises the benefits a prosperous offshore resources sector offers to Australia and the Australian people, and understands </w:t>
      </w:r>
      <w:r w:rsidR="007F1622">
        <w:rPr>
          <w:rFonts w:ascii="Times New Roman" w:hAnsi="Times New Roman" w:cs="Times New Roman"/>
          <w:color w:val="000000"/>
          <w:sz w:val="24"/>
          <w:szCs w:val="24"/>
        </w:rPr>
        <w:t xml:space="preserve">that </w:t>
      </w:r>
      <w:r>
        <w:rPr>
          <w:rFonts w:ascii="Times New Roman" w:hAnsi="Times New Roman" w:cs="Times New Roman"/>
          <w:color w:val="000000"/>
          <w:sz w:val="24"/>
          <w:szCs w:val="24"/>
        </w:rPr>
        <w:t xml:space="preserve">to maintain and maximise this prosperity we must protect </w:t>
      </w:r>
      <w:r w:rsidR="007F1622">
        <w:rPr>
          <w:rFonts w:ascii="Times New Roman" w:hAnsi="Times New Roman" w:cs="Times New Roman"/>
          <w:color w:val="000000"/>
          <w:sz w:val="24"/>
          <w:szCs w:val="24"/>
        </w:rPr>
        <w:t xml:space="preserve">and secure the health and safety of </w:t>
      </w:r>
      <w:r>
        <w:rPr>
          <w:rFonts w:ascii="Times New Roman" w:hAnsi="Times New Roman" w:cs="Times New Roman"/>
          <w:color w:val="000000"/>
          <w:sz w:val="24"/>
          <w:szCs w:val="24"/>
        </w:rPr>
        <w:t>those people who work in the offshore industry. The Government remains committed to</w:t>
      </w:r>
      <w:r w:rsidRPr="000235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ensuring the OHS regulatory regime is effective and achieves optimal safety outcomes for all stakeholders involved. </w:t>
      </w:r>
    </w:p>
    <w:p w14:paraId="5B64DE1D" w14:textId="77777777" w:rsidR="0094772E" w:rsidRPr="0094772E" w:rsidRDefault="0094772E" w:rsidP="00B93D5D">
      <w:pPr>
        <w:spacing w:after="200" w:line="276" w:lineRule="auto"/>
        <w:jc w:val="center"/>
        <w:rPr>
          <w:rFonts w:eastAsia="Calibri" w:cstheme="minorHAnsi"/>
          <w:b/>
          <w:sz w:val="28"/>
          <w:szCs w:val="28"/>
        </w:rPr>
      </w:pPr>
      <w:r w:rsidRPr="0094772E">
        <w:rPr>
          <w:rFonts w:eastAsia="Calibri" w:cstheme="minorHAnsi"/>
          <w:b/>
          <w:sz w:val="28"/>
          <w:szCs w:val="28"/>
        </w:rPr>
        <w:lastRenderedPageBreak/>
        <w:t>Review of the Occupational Health and Safety Regime for Workers involved in Offshore Petroleum Operations in Commonwealth Waters</w:t>
      </w:r>
    </w:p>
    <w:p w14:paraId="47A9E8EF" w14:textId="77777777" w:rsidR="0094772E" w:rsidRPr="0094772E" w:rsidRDefault="0094772E" w:rsidP="0094772E">
      <w:pPr>
        <w:spacing w:after="200" w:line="276" w:lineRule="auto"/>
        <w:jc w:val="center"/>
        <w:rPr>
          <w:rFonts w:eastAsia="Calibri" w:cstheme="minorHAnsi"/>
          <w:b/>
          <w:sz w:val="28"/>
          <w:szCs w:val="28"/>
        </w:rPr>
      </w:pPr>
      <w:r w:rsidRPr="0094772E">
        <w:rPr>
          <w:rFonts w:eastAsia="Calibri" w:cstheme="minorHAnsi"/>
          <w:b/>
          <w:sz w:val="28"/>
          <w:szCs w:val="28"/>
        </w:rPr>
        <w:t>Terms of Reference</w:t>
      </w:r>
    </w:p>
    <w:p w14:paraId="5C59EFF7" w14:textId="77777777" w:rsidR="0094772E" w:rsidRPr="0094772E" w:rsidRDefault="0094772E" w:rsidP="0094772E">
      <w:pPr>
        <w:spacing w:after="200" w:line="276" w:lineRule="auto"/>
        <w:rPr>
          <w:rFonts w:eastAsia="Calibri" w:cstheme="minorHAnsi"/>
          <w:b/>
        </w:rPr>
      </w:pPr>
      <w:r w:rsidRPr="0094772E">
        <w:rPr>
          <w:rFonts w:eastAsia="Calibri" w:cstheme="minorHAnsi"/>
          <w:b/>
        </w:rPr>
        <w:t xml:space="preserve">Purpose: </w:t>
      </w:r>
    </w:p>
    <w:p w14:paraId="0157BA17" w14:textId="77777777" w:rsidR="0094772E" w:rsidRPr="0094772E" w:rsidRDefault="0094772E" w:rsidP="0094772E">
      <w:pPr>
        <w:spacing w:after="200" w:line="276" w:lineRule="auto"/>
        <w:rPr>
          <w:rFonts w:eastAsia="Calibri" w:cstheme="minorHAnsi"/>
        </w:rPr>
      </w:pPr>
      <w:r w:rsidRPr="0094772E">
        <w:rPr>
          <w:rFonts w:eastAsia="Calibri" w:cstheme="minorHAnsi"/>
        </w:rPr>
        <w:t xml:space="preserve">To review the </w:t>
      </w:r>
      <w:r w:rsidRPr="0094772E">
        <w:rPr>
          <w:rFonts w:eastAsia="Calibri" w:cstheme="minorHAnsi"/>
          <w:i/>
        </w:rPr>
        <w:t>Offshore Petroleum and Greenhouse Gas Storage (Safety) Regulations 2009</w:t>
      </w:r>
      <w:r w:rsidRPr="0094772E">
        <w:rPr>
          <w:rFonts w:eastAsia="Calibri" w:cstheme="minorHAnsi"/>
        </w:rPr>
        <w:t xml:space="preserve"> and the associated parts of the </w:t>
      </w:r>
      <w:r w:rsidRPr="0094772E">
        <w:rPr>
          <w:rFonts w:eastAsia="Calibri" w:cstheme="minorHAnsi"/>
          <w:i/>
        </w:rPr>
        <w:t>Offshore Petroleum and Greenhouse Gas Storage Act 2006</w:t>
      </w:r>
      <w:r w:rsidRPr="0094772E">
        <w:rPr>
          <w:rFonts w:eastAsia="Calibri" w:cstheme="minorHAnsi"/>
        </w:rPr>
        <w:t xml:space="preserve"> to ensure that they:</w:t>
      </w:r>
    </w:p>
    <w:p w14:paraId="1D8AB24A" w14:textId="77777777" w:rsidR="0094772E" w:rsidRPr="0094772E" w:rsidRDefault="0094772E" w:rsidP="0094772E">
      <w:pPr>
        <w:numPr>
          <w:ilvl w:val="0"/>
          <w:numId w:val="20"/>
        </w:numPr>
        <w:spacing w:after="200" w:line="276" w:lineRule="auto"/>
        <w:ind w:left="714" w:hanging="357"/>
        <w:rPr>
          <w:rFonts w:eastAsia="Calibri" w:cstheme="minorHAnsi"/>
        </w:rPr>
      </w:pPr>
      <w:r w:rsidRPr="0094772E">
        <w:rPr>
          <w:rFonts w:eastAsia="Calibri" w:cstheme="minorHAnsi"/>
        </w:rPr>
        <w:t>provide an effective framework for securing the occupational health and safety of persons engaged in offshore petroleum or greenhouse gas storage operations in Commonwealth waters of Australia, and</w:t>
      </w:r>
    </w:p>
    <w:p w14:paraId="6CE6819F" w14:textId="77777777" w:rsidR="0094772E" w:rsidRPr="0094772E" w:rsidRDefault="0094772E" w:rsidP="0094772E">
      <w:pPr>
        <w:numPr>
          <w:ilvl w:val="0"/>
          <w:numId w:val="20"/>
        </w:numPr>
        <w:spacing w:after="200" w:line="276" w:lineRule="auto"/>
        <w:contextualSpacing/>
        <w:rPr>
          <w:rFonts w:eastAsia="Calibri" w:cstheme="minorHAnsi"/>
        </w:rPr>
      </w:pPr>
      <w:r w:rsidRPr="0094772E">
        <w:rPr>
          <w:rFonts w:eastAsia="Calibri" w:cstheme="minorHAnsi"/>
        </w:rPr>
        <w:t xml:space="preserve">represent leading practice that promotes and delivers safe offshore petroleum and greenhouse gas storage activities. </w:t>
      </w:r>
    </w:p>
    <w:p w14:paraId="620793B4" w14:textId="77777777" w:rsidR="0094772E" w:rsidRPr="0094772E" w:rsidRDefault="0094772E" w:rsidP="0094772E">
      <w:pPr>
        <w:spacing w:after="200" w:line="276" w:lineRule="auto"/>
        <w:ind w:left="720"/>
        <w:contextualSpacing/>
        <w:rPr>
          <w:rFonts w:eastAsia="Calibri" w:cstheme="minorHAnsi"/>
        </w:rPr>
      </w:pPr>
    </w:p>
    <w:p w14:paraId="57BA4804" w14:textId="77777777" w:rsidR="0094772E" w:rsidRPr="0094772E" w:rsidRDefault="0094772E" w:rsidP="0094772E">
      <w:pPr>
        <w:spacing w:after="200" w:line="276" w:lineRule="auto"/>
        <w:rPr>
          <w:rFonts w:eastAsia="Calibri" w:cstheme="minorHAnsi"/>
        </w:rPr>
      </w:pPr>
      <w:r w:rsidRPr="0094772E">
        <w:rPr>
          <w:rFonts w:eastAsia="Calibri" w:cstheme="minorHAnsi"/>
        </w:rPr>
        <w:t xml:space="preserve">The review will be evidence-based and propose policy changes and legislative amendments, where necessary, to improve the offshore OHS regime. Some areas may be identified that require further analysis following the review. </w:t>
      </w:r>
    </w:p>
    <w:p w14:paraId="2069A350" w14:textId="77777777" w:rsidR="0094772E" w:rsidRPr="0094772E" w:rsidRDefault="0094772E" w:rsidP="0094772E">
      <w:pPr>
        <w:spacing w:after="200" w:line="276" w:lineRule="auto"/>
        <w:rPr>
          <w:rFonts w:eastAsia="Calibri" w:cstheme="minorHAnsi"/>
          <w:b/>
        </w:rPr>
      </w:pPr>
      <w:r w:rsidRPr="0094772E">
        <w:rPr>
          <w:rFonts w:eastAsia="Calibri" w:cstheme="minorHAnsi"/>
          <w:b/>
        </w:rPr>
        <w:t xml:space="preserve">Background: </w:t>
      </w:r>
    </w:p>
    <w:p w14:paraId="0FAAF015" w14:textId="77777777" w:rsidR="0094772E" w:rsidRPr="0094772E" w:rsidRDefault="0094772E" w:rsidP="0094772E">
      <w:pPr>
        <w:spacing w:after="200" w:line="276" w:lineRule="auto"/>
        <w:rPr>
          <w:rFonts w:eastAsia="Calibri" w:cstheme="minorHAnsi"/>
        </w:rPr>
      </w:pPr>
      <w:r w:rsidRPr="0094772E">
        <w:rPr>
          <w:rFonts w:eastAsia="Calibri" w:cstheme="minorHAnsi"/>
        </w:rPr>
        <w:t xml:space="preserve">The </w:t>
      </w:r>
      <w:r w:rsidRPr="0094772E">
        <w:rPr>
          <w:rFonts w:eastAsia="Calibri" w:cstheme="minorHAnsi"/>
          <w:i/>
        </w:rPr>
        <w:t>Offshore Petroleum and Greenhouse Gas Storage Act 2006</w:t>
      </w:r>
      <w:r w:rsidRPr="0094772E">
        <w:rPr>
          <w:rFonts w:eastAsia="Calibri" w:cstheme="minorHAnsi"/>
        </w:rPr>
        <w:t xml:space="preserve"> (OPGGS Act) provides the legal framework for the exploration and recovery of petroleum and for the injection and storage of greenhouse gas substances in Commonwealth waters. This Act is administered by the Commonwealth Government, with some decisions made jointly with the state and Northern Territory governments. The National Offshore Petroleum Safety and Environmental Management Authority (NOPSEMA) is responsible for the administration of occupational health and safety, environmental management and well integrity provisions.</w:t>
      </w:r>
    </w:p>
    <w:p w14:paraId="2BC91C10" w14:textId="77777777" w:rsidR="0094772E" w:rsidRPr="0094772E" w:rsidRDefault="0094772E" w:rsidP="0094772E">
      <w:pPr>
        <w:spacing w:after="200" w:line="276" w:lineRule="auto"/>
        <w:rPr>
          <w:rFonts w:eastAsia="Calibri" w:cstheme="minorHAnsi"/>
        </w:rPr>
      </w:pPr>
      <w:r w:rsidRPr="0094772E">
        <w:rPr>
          <w:rFonts w:eastAsia="Calibri" w:cstheme="minorHAnsi"/>
        </w:rPr>
        <w:t>Section 781 of the OPGGS Act provides that the Governor-General may make regulations prescribing matters that are required or permitted by the OPGGS Act, or necessary or convenient to be prescribed for carrying out or giving effect to the OPGGS Act. Clause 17 of Schedule 3 to the OPGGS Act provides that regulations may make provision relating to any matter affecting, or likely to affect, the occupational health and safety of persons at a facility.</w:t>
      </w:r>
    </w:p>
    <w:p w14:paraId="5D4661C2" w14:textId="77777777" w:rsidR="0094772E" w:rsidRPr="0094772E" w:rsidRDefault="0094772E" w:rsidP="0094772E">
      <w:pPr>
        <w:spacing w:after="200" w:line="276" w:lineRule="auto"/>
        <w:rPr>
          <w:rFonts w:eastAsia="Calibri" w:cstheme="minorHAnsi"/>
        </w:rPr>
      </w:pPr>
      <w:r w:rsidRPr="0094772E">
        <w:rPr>
          <w:rFonts w:eastAsia="Calibri" w:cstheme="minorHAnsi"/>
        </w:rPr>
        <w:t xml:space="preserve">Regulations have been in place for the safety of persons in connection with petroleum operations in Commonwealth waters since 1993, when they were created under the </w:t>
      </w:r>
      <w:r w:rsidRPr="0094772E">
        <w:rPr>
          <w:rFonts w:eastAsia="Calibri" w:cstheme="minorHAnsi"/>
          <w:i/>
        </w:rPr>
        <w:t>Petroleum (Submerged Lands) Act 1967</w:t>
      </w:r>
      <w:r w:rsidRPr="0094772E">
        <w:rPr>
          <w:rFonts w:eastAsia="Calibri" w:cstheme="minorHAnsi"/>
        </w:rPr>
        <w:t xml:space="preserve"> (PSLA). The regulations were administered by the Designated Authorities in each state and the Northern Territory until 2005, when regulatory responsibility was transferred to the National Offshore Petroleum Safety Authority (now NOPSEMA). Continuing changes to implement various reforms have resulted in the current </w:t>
      </w:r>
      <w:r w:rsidRPr="0094772E">
        <w:rPr>
          <w:rFonts w:eastAsia="Calibri" w:cstheme="minorHAnsi"/>
          <w:i/>
        </w:rPr>
        <w:t>Offshore Petroleum and Greenhouse Gas Storage (Safety) Regulations 2009</w:t>
      </w:r>
      <w:r w:rsidRPr="0094772E">
        <w:rPr>
          <w:rFonts w:eastAsia="Calibri" w:cstheme="minorHAnsi"/>
        </w:rPr>
        <w:t xml:space="preserve"> (the Safety Regulations).</w:t>
      </w:r>
    </w:p>
    <w:p w14:paraId="70214869" w14:textId="77777777" w:rsidR="0094772E" w:rsidRPr="0094772E" w:rsidRDefault="0094772E" w:rsidP="0094772E">
      <w:pPr>
        <w:spacing w:after="200" w:line="276" w:lineRule="auto"/>
        <w:rPr>
          <w:rFonts w:eastAsia="Calibri" w:cstheme="minorHAnsi"/>
        </w:rPr>
      </w:pPr>
      <w:r w:rsidRPr="0094772E">
        <w:rPr>
          <w:rFonts w:eastAsia="Calibri" w:cstheme="minorHAnsi"/>
        </w:rPr>
        <w:t xml:space="preserve">The current Safety Regulations have been in operation since 1 January 2010 and are due to sunset on 1 April 2020. Given they will need to be remade before this date, it is an opportune time to </w:t>
      </w:r>
      <w:r w:rsidRPr="0094772E">
        <w:rPr>
          <w:rFonts w:eastAsia="Calibri" w:cstheme="minorHAnsi"/>
        </w:rPr>
        <w:lastRenderedPageBreak/>
        <w:t xml:space="preserve">undertake a holistic review of their efficiency and effectiveness, ensure consistency with leading practice, check the justifications for the current Safety Regulations, and, where necessary, propose changes to improve their operation. While some minor and technical amendments have been made to clarify and improve the Safety Regulations, a comprehensive review has not been undertaken since its commencement. </w:t>
      </w:r>
    </w:p>
    <w:p w14:paraId="47E3C46D" w14:textId="77777777" w:rsidR="0094772E" w:rsidRPr="0094772E" w:rsidRDefault="0094772E" w:rsidP="0094772E">
      <w:pPr>
        <w:spacing w:after="200" w:line="276" w:lineRule="auto"/>
        <w:rPr>
          <w:rFonts w:eastAsia="Calibri" w:cstheme="minorHAnsi"/>
        </w:rPr>
      </w:pPr>
      <w:r w:rsidRPr="0094772E">
        <w:rPr>
          <w:rFonts w:eastAsia="Calibri" w:cstheme="minorHAnsi"/>
          <w:b/>
        </w:rPr>
        <w:t xml:space="preserve">Objectives: </w:t>
      </w:r>
      <w:r w:rsidRPr="0094772E">
        <w:rPr>
          <w:rFonts w:eastAsia="Calibri" w:cstheme="minorHAnsi"/>
        </w:rPr>
        <w:t xml:space="preserve">The review will be conducted in line with requirements of Australian Government policy and guidance on regulation, including the Australian Government Guide to Regulation 2014 and other relevant references. </w:t>
      </w:r>
    </w:p>
    <w:p w14:paraId="07F3732D" w14:textId="77777777" w:rsidR="0094772E" w:rsidRPr="0094772E" w:rsidRDefault="0094772E" w:rsidP="0094772E">
      <w:pPr>
        <w:spacing w:after="200" w:line="276" w:lineRule="auto"/>
        <w:rPr>
          <w:rFonts w:eastAsia="Calibri" w:cstheme="minorHAnsi"/>
          <w:b/>
          <w:i/>
          <w:color w:val="548DD4"/>
        </w:rPr>
      </w:pPr>
      <w:r w:rsidRPr="0094772E">
        <w:rPr>
          <w:rFonts w:eastAsia="Calibri" w:cstheme="minorHAnsi"/>
        </w:rPr>
        <w:t xml:space="preserve">The review of the operation of the Safety Regulations and Schedule 3 to the OPGGS Act will specifically consider:  </w:t>
      </w:r>
    </w:p>
    <w:p w14:paraId="21963634" w14:textId="77777777" w:rsidR="0094772E" w:rsidRPr="0094772E" w:rsidRDefault="0094772E" w:rsidP="0094772E">
      <w:pPr>
        <w:numPr>
          <w:ilvl w:val="0"/>
          <w:numId w:val="21"/>
        </w:numPr>
        <w:spacing w:after="200" w:line="276" w:lineRule="auto"/>
        <w:rPr>
          <w:rFonts w:eastAsia="Calibri" w:cstheme="minorHAnsi"/>
        </w:rPr>
      </w:pPr>
      <w:r w:rsidRPr="0094772E">
        <w:rPr>
          <w:rFonts w:eastAsia="Calibri" w:cstheme="minorHAnsi"/>
        </w:rPr>
        <w:t xml:space="preserve">The extent to which the offshore OHS regime is securing the health and safety of persons engaged in offshore petroleum operations and driving continuous improvement in safety performance. </w:t>
      </w:r>
    </w:p>
    <w:p w14:paraId="1AAA2CDA" w14:textId="77777777" w:rsidR="0094772E" w:rsidRPr="0094772E" w:rsidRDefault="0094772E" w:rsidP="0094772E">
      <w:pPr>
        <w:numPr>
          <w:ilvl w:val="0"/>
          <w:numId w:val="21"/>
        </w:numPr>
        <w:spacing w:before="120" w:after="120" w:line="240" w:lineRule="auto"/>
        <w:ind w:left="714" w:hanging="357"/>
        <w:rPr>
          <w:rFonts w:eastAsia="Calibri" w:cstheme="minorHAnsi"/>
        </w:rPr>
      </w:pPr>
      <w:r w:rsidRPr="0094772E">
        <w:rPr>
          <w:rFonts w:eastAsia="Calibri" w:cstheme="minorHAnsi"/>
        </w:rPr>
        <w:t xml:space="preserve">The effectiveness of the Safety Case provisions as a mechanism for achieving health and safety performance at offshore facilities. </w:t>
      </w:r>
    </w:p>
    <w:p w14:paraId="0D87775F" w14:textId="77777777" w:rsidR="0094772E" w:rsidRPr="0094772E" w:rsidRDefault="0094772E" w:rsidP="0094772E">
      <w:pPr>
        <w:numPr>
          <w:ilvl w:val="0"/>
          <w:numId w:val="21"/>
        </w:numPr>
        <w:spacing w:before="120" w:after="120" w:line="240" w:lineRule="auto"/>
        <w:ind w:left="714" w:hanging="357"/>
        <w:rPr>
          <w:rFonts w:eastAsia="Calibri" w:cstheme="minorHAnsi"/>
        </w:rPr>
      </w:pPr>
      <w:r w:rsidRPr="0094772E">
        <w:rPr>
          <w:rFonts w:eastAsia="Calibri" w:cstheme="minorHAnsi"/>
        </w:rPr>
        <w:t xml:space="preserve">The effectiveness of the Diving Safety Management Systems and Diving Project Plans for achieving safety performance in diving operations. </w:t>
      </w:r>
    </w:p>
    <w:p w14:paraId="20FB38A0" w14:textId="77777777" w:rsidR="0094772E" w:rsidRPr="0094772E" w:rsidRDefault="0094772E" w:rsidP="0094772E">
      <w:pPr>
        <w:numPr>
          <w:ilvl w:val="0"/>
          <w:numId w:val="21"/>
        </w:numPr>
        <w:spacing w:before="120" w:after="120" w:line="240" w:lineRule="auto"/>
        <w:ind w:left="714" w:hanging="357"/>
        <w:rPr>
          <w:rFonts w:eastAsia="Calibri" w:cstheme="minorHAnsi"/>
        </w:rPr>
      </w:pPr>
      <w:r w:rsidRPr="0094772E">
        <w:rPr>
          <w:rFonts w:eastAsia="Calibri" w:cstheme="minorHAnsi"/>
        </w:rPr>
        <w:t xml:space="preserve">The appropriateness of definitions of facilities, vessels and structures, and associated offshore places for the purpose of ensuring occupational health and safety for persons working in the offshore resources industry. </w:t>
      </w:r>
    </w:p>
    <w:p w14:paraId="60B8260B" w14:textId="77777777" w:rsidR="0094772E" w:rsidRPr="0094772E" w:rsidRDefault="0094772E" w:rsidP="0094772E">
      <w:pPr>
        <w:numPr>
          <w:ilvl w:val="0"/>
          <w:numId w:val="21"/>
        </w:numPr>
        <w:spacing w:before="120" w:after="120" w:line="240" w:lineRule="auto"/>
        <w:ind w:left="714" w:hanging="357"/>
        <w:rPr>
          <w:rFonts w:eastAsia="Calibri" w:cstheme="minorHAnsi"/>
        </w:rPr>
      </w:pPr>
      <w:r w:rsidRPr="0094772E">
        <w:rPr>
          <w:rFonts w:eastAsia="Calibri" w:cstheme="minorHAnsi"/>
        </w:rPr>
        <w:t xml:space="preserve">The effectiveness of the framework of duties in protecting the health and safety of workers in offshore resources operations. </w:t>
      </w:r>
    </w:p>
    <w:p w14:paraId="13985E9F" w14:textId="77777777" w:rsidR="0094772E" w:rsidRPr="0094772E" w:rsidRDefault="0094772E" w:rsidP="0094772E">
      <w:pPr>
        <w:numPr>
          <w:ilvl w:val="0"/>
          <w:numId w:val="21"/>
        </w:numPr>
        <w:spacing w:before="120" w:after="120" w:line="240" w:lineRule="auto"/>
        <w:ind w:left="714" w:hanging="357"/>
        <w:rPr>
          <w:rFonts w:eastAsia="Calibri" w:cstheme="minorHAnsi"/>
        </w:rPr>
      </w:pPr>
      <w:r w:rsidRPr="0094772E">
        <w:rPr>
          <w:rFonts w:eastAsia="Calibri" w:cstheme="minorHAnsi"/>
        </w:rPr>
        <w:t>The appropriateness and effectiveness of provisions for workplace arrangements.</w:t>
      </w:r>
    </w:p>
    <w:p w14:paraId="5772BF72" w14:textId="77777777" w:rsidR="0094772E" w:rsidRPr="0094772E" w:rsidRDefault="0094772E" w:rsidP="0094772E">
      <w:pPr>
        <w:numPr>
          <w:ilvl w:val="0"/>
          <w:numId w:val="21"/>
        </w:numPr>
        <w:spacing w:before="120" w:after="120" w:line="240" w:lineRule="auto"/>
        <w:ind w:left="714" w:hanging="357"/>
        <w:rPr>
          <w:rFonts w:eastAsia="Calibri" w:cstheme="minorHAnsi"/>
        </w:rPr>
      </w:pPr>
      <w:r w:rsidRPr="0094772E">
        <w:rPr>
          <w:rFonts w:eastAsia="Calibri" w:cstheme="minorHAnsi"/>
        </w:rPr>
        <w:t xml:space="preserve">The transparency of current arrangements, including provision of information to the workforce. </w:t>
      </w:r>
    </w:p>
    <w:p w14:paraId="68274F67" w14:textId="77777777" w:rsidR="0094772E" w:rsidRPr="0094772E" w:rsidRDefault="0094772E" w:rsidP="0094772E">
      <w:pPr>
        <w:numPr>
          <w:ilvl w:val="0"/>
          <w:numId w:val="21"/>
        </w:numPr>
        <w:spacing w:before="120" w:after="120" w:line="240" w:lineRule="auto"/>
        <w:ind w:left="714" w:hanging="357"/>
        <w:rPr>
          <w:rFonts w:eastAsia="Calibri" w:cstheme="minorHAnsi"/>
        </w:rPr>
      </w:pPr>
      <w:r w:rsidRPr="0094772E">
        <w:rPr>
          <w:rFonts w:eastAsia="Calibri" w:cstheme="minorHAnsi"/>
        </w:rPr>
        <w:t xml:space="preserve">The effectiveness of routine and non-routine notification and reporting arrangements. </w:t>
      </w:r>
    </w:p>
    <w:p w14:paraId="471E1E33" w14:textId="77777777" w:rsidR="0094772E" w:rsidRPr="0094772E" w:rsidRDefault="0094772E" w:rsidP="0094772E">
      <w:pPr>
        <w:numPr>
          <w:ilvl w:val="0"/>
          <w:numId w:val="21"/>
        </w:numPr>
        <w:spacing w:before="120" w:after="120" w:line="240" w:lineRule="auto"/>
        <w:ind w:left="714" w:hanging="357"/>
        <w:rPr>
          <w:rFonts w:eastAsia="Calibri" w:cstheme="minorHAnsi"/>
        </w:rPr>
      </w:pPr>
      <w:r w:rsidRPr="0094772E">
        <w:rPr>
          <w:rFonts w:eastAsia="Calibri" w:cstheme="minorHAnsi"/>
        </w:rPr>
        <w:t>The effectiveness of compliance and enforcement mechanisms for improving OHS performance.</w:t>
      </w:r>
    </w:p>
    <w:p w14:paraId="69796710" w14:textId="77777777" w:rsidR="0094772E" w:rsidRPr="0094772E" w:rsidRDefault="0094772E" w:rsidP="0094772E">
      <w:pPr>
        <w:numPr>
          <w:ilvl w:val="0"/>
          <w:numId w:val="21"/>
        </w:numPr>
        <w:spacing w:before="120" w:after="120" w:line="240" w:lineRule="auto"/>
        <w:ind w:left="714" w:hanging="357"/>
        <w:rPr>
          <w:rFonts w:eastAsia="Calibri" w:cstheme="minorHAnsi"/>
        </w:rPr>
      </w:pPr>
      <w:r w:rsidRPr="0094772E">
        <w:rPr>
          <w:rFonts w:eastAsia="Calibri" w:cstheme="minorHAnsi"/>
        </w:rPr>
        <w:t xml:space="preserve">Alignment of terminology throughout the OHS regime and related legislation. </w:t>
      </w:r>
    </w:p>
    <w:p w14:paraId="7173B729" w14:textId="77777777" w:rsidR="0094772E" w:rsidRPr="0094772E" w:rsidRDefault="0094772E" w:rsidP="0094772E">
      <w:pPr>
        <w:numPr>
          <w:ilvl w:val="0"/>
          <w:numId w:val="21"/>
        </w:numPr>
        <w:spacing w:before="120" w:after="120" w:line="240" w:lineRule="auto"/>
        <w:ind w:left="714" w:hanging="357"/>
        <w:rPr>
          <w:rFonts w:eastAsia="Calibri" w:cstheme="minorHAnsi"/>
        </w:rPr>
      </w:pPr>
      <w:r w:rsidRPr="0094772E">
        <w:rPr>
          <w:rFonts w:eastAsia="Calibri" w:cstheme="minorHAnsi"/>
        </w:rPr>
        <w:t xml:space="preserve">Any other changes that may be necessary to ensure the OHS regime reflects current Australian Government policy and guidance on best practice regulation. </w:t>
      </w:r>
    </w:p>
    <w:p w14:paraId="7F46A4BD" w14:textId="77777777" w:rsidR="0094772E" w:rsidRPr="0094772E" w:rsidRDefault="0094772E" w:rsidP="0094772E">
      <w:pPr>
        <w:numPr>
          <w:ilvl w:val="0"/>
          <w:numId w:val="21"/>
        </w:numPr>
        <w:spacing w:before="120" w:after="240" w:line="240" w:lineRule="auto"/>
        <w:ind w:left="714" w:hanging="357"/>
        <w:rPr>
          <w:rFonts w:eastAsia="Calibri" w:cstheme="minorHAnsi"/>
        </w:rPr>
      </w:pPr>
      <w:r w:rsidRPr="0094772E">
        <w:rPr>
          <w:rFonts w:eastAsia="Calibri" w:cstheme="minorHAnsi"/>
        </w:rPr>
        <w:t>Any other matter raised during the process considered relevant.</w:t>
      </w:r>
    </w:p>
    <w:p w14:paraId="542AE8CF" w14:textId="77777777" w:rsidR="0094772E" w:rsidRPr="0094772E" w:rsidRDefault="0094772E" w:rsidP="0094772E">
      <w:pPr>
        <w:spacing w:after="200" w:line="276" w:lineRule="auto"/>
        <w:ind w:left="369" w:hanging="369"/>
        <w:rPr>
          <w:rFonts w:eastAsia="Calibri" w:cstheme="minorHAnsi"/>
        </w:rPr>
      </w:pPr>
      <w:r w:rsidRPr="0094772E">
        <w:rPr>
          <w:rFonts w:eastAsia="Calibri" w:cstheme="minorHAnsi"/>
          <w:b/>
        </w:rPr>
        <w:t xml:space="preserve">Scope: </w:t>
      </w:r>
    </w:p>
    <w:p w14:paraId="0D323AAC" w14:textId="77777777" w:rsidR="0094772E" w:rsidRPr="0094772E" w:rsidRDefault="0094772E" w:rsidP="0094772E">
      <w:pPr>
        <w:spacing w:after="200" w:line="276" w:lineRule="auto"/>
        <w:rPr>
          <w:rFonts w:eastAsia="Calibri" w:cstheme="minorHAnsi"/>
        </w:rPr>
      </w:pPr>
      <w:r w:rsidRPr="0094772E">
        <w:rPr>
          <w:rFonts w:eastAsia="Calibri" w:cstheme="minorHAnsi"/>
        </w:rPr>
        <w:t>The review will consider regulation of OHS within the scope of:</w:t>
      </w:r>
    </w:p>
    <w:p w14:paraId="5B019A6C" w14:textId="77777777" w:rsidR="0094772E" w:rsidRPr="0094772E" w:rsidRDefault="0094772E" w:rsidP="0094772E">
      <w:pPr>
        <w:numPr>
          <w:ilvl w:val="0"/>
          <w:numId w:val="22"/>
        </w:numPr>
        <w:spacing w:after="200" w:line="276" w:lineRule="auto"/>
        <w:contextualSpacing/>
        <w:rPr>
          <w:rFonts w:eastAsia="Calibri" w:cstheme="minorHAnsi"/>
        </w:rPr>
      </w:pPr>
      <w:r w:rsidRPr="0094772E">
        <w:rPr>
          <w:rFonts w:eastAsia="Calibri" w:cstheme="minorHAnsi"/>
        </w:rPr>
        <w:t>The Safety Regulations</w:t>
      </w:r>
    </w:p>
    <w:p w14:paraId="678DF514" w14:textId="77777777" w:rsidR="0094772E" w:rsidRPr="0094772E" w:rsidRDefault="0094772E" w:rsidP="0094772E">
      <w:pPr>
        <w:numPr>
          <w:ilvl w:val="0"/>
          <w:numId w:val="22"/>
        </w:numPr>
        <w:spacing w:after="200" w:line="276" w:lineRule="auto"/>
        <w:contextualSpacing/>
        <w:rPr>
          <w:rFonts w:eastAsia="Calibri" w:cstheme="minorHAnsi"/>
        </w:rPr>
      </w:pPr>
      <w:r w:rsidRPr="0094772E">
        <w:rPr>
          <w:rFonts w:eastAsia="Calibri" w:cstheme="minorHAnsi"/>
        </w:rPr>
        <w:t xml:space="preserve">Schedule 3 (Occupational Health and Safety) to the OPGGS Act. </w:t>
      </w:r>
    </w:p>
    <w:p w14:paraId="4BFFE3EB" w14:textId="77777777" w:rsidR="0094772E" w:rsidRPr="0094772E" w:rsidRDefault="0094772E" w:rsidP="0094772E">
      <w:pPr>
        <w:numPr>
          <w:ilvl w:val="0"/>
          <w:numId w:val="22"/>
        </w:numPr>
        <w:spacing w:after="200" w:line="276" w:lineRule="auto"/>
        <w:ind w:left="714" w:hanging="357"/>
        <w:rPr>
          <w:rFonts w:eastAsia="Calibri" w:cstheme="minorHAnsi"/>
        </w:rPr>
      </w:pPr>
      <w:r w:rsidRPr="0094772E">
        <w:rPr>
          <w:rFonts w:eastAsia="Calibri" w:cstheme="minorHAnsi"/>
        </w:rPr>
        <w:t>Any other matters under the OPGGS Act which are incidental to the above items, but necessary for a comprehensive review of the safety regime.</w:t>
      </w:r>
    </w:p>
    <w:p w14:paraId="32D79E8A" w14:textId="77777777" w:rsidR="0094772E" w:rsidRPr="0094772E" w:rsidRDefault="0094772E" w:rsidP="0094772E">
      <w:pPr>
        <w:spacing w:before="120" w:after="120" w:line="276" w:lineRule="auto"/>
        <w:rPr>
          <w:rFonts w:eastAsia="Calibri" w:cstheme="minorHAnsi"/>
        </w:rPr>
      </w:pPr>
      <w:r w:rsidRPr="0094772E">
        <w:rPr>
          <w:rFonts w:eastAsia="Calibri" w:cstheme="minorHAnsi"/>
        </w:rPr>
        <w:lastRenderedPageBreak/>
        <w:t xml:space="preserve">Since 2013, a number of OHS-related amendments have been proposed and consulted on with stakeholders, which are yet to be presented as bills to Parliament or amended regulations to the Executive Council. While those items will be included within the review, it is anticipated that previous consultation on these matters should assist their timely finalisation as part of this review. </w:t>
      </w:r>
    </w:p>
    <w:p w14:paraId="14E9EAC1" w14:textId="77777777" w:rsidR="0094772E" w:rsidRPr="0094772E" w:rsidRDefault="0094772E" w:rsidP="0094772E">
      <w:pPr>
        <w:spacing w:after="200" w:line="276" w:lineRule="auto"/>
        <w:rPr>
          <w:rFonts w:eastAsia="Calibri" w:cstheme="minorHAnsi"/>
        </w:rPr>
      </w:pPr>
      <w:r w:rsidRPr="0094772E">
        <w:rPr>
          <w:rFonts w:eastAsia="Calibri" w:cstheme="minorHAnsi"/>
        </w:rPr>
        <w:t xml:space="preserve">The review will, in general, not address: </w:t>
      </w:r>
    </w:p>
    <w:p w14:paraId="6CDFA0B0" w14:textId="77777777" w:rsidR="0094772E" w:rsidRPr="0094772E" w:rsidRDefault="0094772E" w:rsidP="0094772E">
      <w:pPr>
        <w:numPr>
          <w:ilvl w:val="0"/>
          <w:numId w:val="22"/>
        </w:numPr>
        <w:spacing w:after="200" w:line="276" w:lineRule="auto"/>
        <w:contextualSpacing/>
        <w:rPr>
          <w:rFonts w:eastAsia="Calibri" w:cstheme="minorHAnsi"/>
        </w:rPr>
      </w:pPr>
      <w:r w:rsidRPr="0094772E">
        <w:rPr>
          <w:rFonts w:eastAsia="Calibri" w:cstheme="minorHAnsi"/>
        </w:rPr>
        <w:t xml:space="preserve">other regulations under the OPGGS Act including environment, well integrity or resource management and administration; </w:t>
      </w:r>
    </w:p>
    <w:p w14:paraId="5A247114" w14:textId="77777777" w:rsidR="0094772E" w:rsidRPr="0094772E" w:rsidRDefault="0094772E" w:rsidP="0094772E">
      <w:pPr>
        <w:numPr>
          <w:ilvl w:val="0"/>
          <w:numId w:val="22"/>
        </w:numPr>
        <w:spacing w:after="200" w:line="276" w:lineRule="auto"/>
        <w:contextualSpacing/>
        <w:rPr>
          <w:rFonts w:eastAsia="Calibri" w:cstheme="minorHAnsi"/>
        </w:rPr>
      </w:pPr>
      <w:r w:rsidRPr="0094772E">
        <w:rPr>
          <w:rFonts w:eastAsia="Calibri" w:cstheme="minorHAnsi"/>
        </w:rPr>
        <w:t xml:space="preserve">policy regarding cost recovery through levies; </w:t>
      </w:r>
    </w:p>
    <w:p w14:paraId="4312F0E5" w14:textId="77777777" w:rsidR="0094772E" w:rsidRPr="0094772E" w:rsidRDefault="0094772E" w:rsidP="0094772E">
      <w:pPr>
        <w:numPr>
          <w:ilvl w:val="0"/>
          <w:numId w:val="22"/>
        </w:numPr>
        <w:spacing w:after="0" w:line="276" w:lineRule="auto"/>
        <w:ind w:left="714" w:hanging="357"/>
        <w:contextualSpacing/>
        <w:rPr>
          <w:rFonts w:eastAsia="Calibri" w:cstheme="minorHAnsi"/>
        </w:rPr>
      </w:pPr>
      <w:r w:rsidRPr="0094772E">
        <w:rPr>
          <w:rFonts w:eastAsia="Calibri" w:cstheme="minorHAnsi"/>
        </w:rPr>
        <w:t>changes to other legislation or regulations beyond the scope of the OPGGS Act</w:t>
      </w:r>
    </w:p>
    <w:p w14:paraId="48B058DB" w14:textId="77777777" w:rsidR="0094772E" w:rsidRPr="0094772E" w:rsidRDefault="0094772E" w:rsidP="0094772E">
      <w:pPr>
        <w:numPr>
          <w:ilvl w:val="0"/>
          <w:numId w:val="22"/>
        </w:numPr>
        <w:spacing w:after="200" w:line="276" w:lineRule="auto"/>
        <w:rPr>
          <w:rFonts w:eastAsia="Calibri" w:cstheme="minorHAnsi"/>
        </w:rPr>
      </w:pPr>
      <w:r w:rsidRPr="0094772E">
        <w:rPr>
          <w:rFonts w:eastAsia="Calibri" w:cstheme="minorHAnsi"/>
        </w:rPr>
        <w:t xml:space="preserve">decisions by states or the Northern Territory on the conferral of functions to NOPSEMA. </w:t>
      </w:r>
    </w:p>
    <w:p w14:paraId="304DB754" w14:textId="77777777" w:rsidR="0094772E" w:rsidRPr="0094772E" w:rsidRDefault="0094772E" w:rsidP="0094772E">
      <w:pPr>
        <w:spacing w:before="120" w:after="120" w:line="276" w:lineRule="auto"/>
        <w:rPr>
          <w:rFonts w:eastAsia="Calibri" w:cstheme="minorHAnsi"/>
        </w:rPr>
      </w:pPr>
      <w:r w:rsidRPr="0094772E">
        <w:rPr>
          <w:rFonts w:eastAsia="Calibri" w:cstheme="minorHAnsi"/>
        </w:rPr>
        <w:t xml:space="preserve">The review will be undertaken concurrently with the Senate Inquiry on the work health and safety of workers in the offshore petroleum industry and the independent review of the model work health and safety laws. While the review is a separate process to these, relevant matters arising from other inquiries and reviews will be considered as appropriate. </w:t>
      </w:r>
    </w:p>
    <w:p w14:paraId="307EEF54" w14:textId="77777777" w:rsidR="0094772E" w:rsidRPr="0094772E" w:rsidRDefault="0094772E" w:rsidP="0094772E">
      <w:pPr>
        <w:spacing w:after="200" w:line="276" w:lineRule="auto"/>
        <w:rPr>
          <w:rFonts w:eastAsia="Calibri" w:cstheme="minorHAnsi"/>
          <w:b/>
        </w:rPr>
      </w:pPr>
      <w:r w:rsidRPr="0094772E">
        <w:rPr>
          <w:rFonts w:eastAsia="Calibri" w:cstheme="minorHAnsi"/>
          <w:b/>
        </w:rPr>
        <w:t xml:space="preserve">Timing and Process: </w:t>
      </w:r>
    </w:p>
    <w:p w14:paraId="10B02CE1" w14:textId="77777777" w:rsidR="0094772E" w:rsidRPr="0094772E" w:rsidRDefault="0094772E" w:rsidP="0094772E">
      <w:pPr>
        <w:spacing w:after="200" w:line="276" w:lineRule="auto"/>
        <w:rPr>
          <w:rFonts w:eastAsia="Calibri" w:cstheme="minorHAnsi"/>
        </w:rPr>
      </w:pPr>
      <w:r w:rsidRPr="0094772E">
        <w:rPr>
          <w:rFonts w:eastAsia="Calibri" w:cstheme="minorHAnsi"/>
        </w:rPr>
        <w:t>The policy review is expected to be completed by mid-2019. Any proposed amendments will be subject to parliamentary and Executive Council processes applying to legislative and regulatory change, which will need to be completed during 2019 to ensure the Safety Regulations can be remade prior to them sun-setting on 1 April 2020. This timeframe necessarily allows for the unpredictable length of time required for the passage of legislation.</w:t>
      </w:r>
    </w:p>
    <w:p w14:paraId="51B67287" w14:textId="77777777" w:rsidR="0094772E" w:rsidRPr="0094772E" w:rsidRDefault="0094772E" w:rsidP="0094772E">
      <w:pPr>
        <w:spacing w:after="200" w:line="276" w:lineRule="auto"/>
        <w:rPr>
          <w:rFonts w:eastAsia="Calibri" w:cstheme="minorHAnsi"/>
        </w:rPr>
      </w:pPr>
      <w:r w:rsidRPr="0094772E">
        <w:rPr>
          <w:rFonts w:eastAsia="Calibri" w:cstheme="minorHAnsi"/>
        </w:rPr>
        <w:t xml:space="preserve">The following arrangements will be adopted to progress the formulation of proposed amendments: </w:t>
      </w:r>
    </w:p>
    <w:p w14:paraId="5F54871F" w14:textId="77777777" w:rsidR="0094772E" w:rsidRPr="0094772E" w:rsidRDefault="0094772E" w:rsidP="0094772E">
      <w:pPr>
        <w:spacing w:after="200" w:line="276" w:lineRule="auto"/>
        <w:ind w:left="1440" w:hanging="1440"/>
        <w:rPr>
          <w:rFonts w:eastAsia="Calibri" w:cstheme="minorHAnsi"/>
        </w:rPr>
      </w:pPr>
      <w:r w:rsidRPr="0094772E">
        <w:rPr>
          <w:rFonts w:eastAsia="Calibri" w:cstheme="minorHAnsi"/>
          <w:i/>
        </w:rPr>
        <w:t>Organisation:</w:t>
      </w:r>
      <w:r w:rsidRPr="0094772E">
        <w:rPr>
          <w:rFonts w:eastAsia="Calibri" w:cstheme="minorHAnsi"/>
        </w:rPr>
        <w:t xml:space="preserve"> </w:t>
      </w:r>
      <w:r w:rsidRPr="0094772E">
        <w:rPr>
          <w:rFonts w:eastAsia="Calibri" w:cstheme="minorHAnsi"/>
        </w:rPr>
        <w:tab/>
        <w:t xml:space="preserve">The review will be managed by the Commonwealth Department of Industry, Innovation and Science (DIIS), with technical input from NOPSEMA. Inputs from other relevant government departments will be sought where appropriate. </w:t>
      </w:r>
    </w:p>
    <w:p w14:paraId="48D0A78C" w14:textId="77777777" w:rsidR="0094772E" w:rsidRPr="0094772E" w:rsidRDefault="0094772E" w:rsidP="0094772E">
      <w:pPr>
        <w:spacing w:after="200" w:line="276" w:lineRule="auto"/>
        <w:ind w:left="1440" w:hanging="1440"/>
        <w:rPr>
          <w:rFonts w:eastAsia="Calibri" w:cstheme="minorHAnsi"/>
        </w:rPr>
      </w:pPr>
      <w:r w:rsidRPr="0094772E">
        <w:rPr>
          <w:rFonts w:eastAsia="Calibri" w:cstheme="minorHAnsi"/>
          <w:i/>
        </w:rPr>
        <w:t>Consultation:</w:t>
      </w:r>
      <w:r w:rsidRPr="0094772E">
        <w:rPr>
          <w:rFonts w:eastAsia="Calibri" w:cstheme="minorHAnsi"/>
        </w:rPr>
        <w:t xml:space="preserve"> </w:t>
      </w:r>
      <w:r w:rsidRPr="0094772E">
        <w:rPr>
          <w:rFonts w:eastAsia="Calibri" w:cstheme="minorHAnsi"/>
        </w:rPr>
        <w:tab/>
        <w:t>A Safety Stakeholder Group (SSG) will be established to ensure a broad range of perspectives and views are considered and taken into account when considering issues and policy options. This will allow a robust examination to take place with consideration for all parties affected by any changes. The SSG will serve as a consultation group, not a decision-making body, to allow ideas and issues to be tested and discussed prior to a final policy position being reached.</w:t>
      </w:r>
    </w:p>
    <w:p w14:paraId="07B8864C" w14:textId="77777777" w:rsidR="0094772E" w:rsidRPr="0094772E" w:rsidRDefault="0094772E" w:rsidP="0094772E">
      <w:pPr>
        <w:spacing w:after="200" w:line="276" w:lineRule="auto"/>
        <w:ind w:left="1440"/>
        <w:rPr>
          <w:rFonts w:eastAsia="Calibri" w:cstheme="minorHAnsi"/>
        </w:rPr>
      </w:pPr>
      <w:r w:rsidRPr="0094772E">
        <w:rPr>
          <w:rFonts w:eastAsia="Calibri" w:cstheme="minorHAnsi"/>
        </w:rPr>
        <w:t>The SSG will meet at key points during the review project, and the group’s input will inform the development of consultation papers. Targeted meetings with specific stakeholder groups will also be held to complement the SSG. People from the same stakeholder representative type will be able to meet with the project team to discuss issues directly relevant to their group and the project, and in greater detail.</w:t>
      </w:r>
    </w:p>
    <w:p w14:paraId="430E2D56" w14:textId="675023F0" w:rsidR="000235AB" w:rsidRPr="0094772E" w:rsidRDefault="0094772E" w:rsidP="0094772E">
      <w:pPr>
        <w:spacing w:after="200" w:line="276" w:lineRule="auto"/>
        <w:ind w:left="1440" w:hanging="1440"/>
        <w:rPr>
          <w:rFonts w:eastAsia="Calibri" w:cstheme="minorHAnsi"/>
        </w:rPr>
      </w:pPr>
      <w:r w:rsidRPr="0094772E">
        <w:rPr>
          <w:rFonts w:eastAsia="Calibri" w:cstheme="minorHAnsi"/>
          <w:i/>
        </w:rPr>
        <w:t>Publication:</w:t>
      </w:r>
      <w:r w:rsidRPr="0094772E">
        <w:rPr>
          <w:rFonts w:eastAsia="Calibri" w:cstheme="minorHAnsi"/>
          <w:i/>
        </w:rPr>
        <w:tab/>
      </w:r>
      <w:r w:rsidRPr="0094772E">
        <w:rPr>
          <w:rFonts w:eastAsia="Calibri" w:cstheme="minorHAnsi"/>
        </w:rPr>
        <w:t xml:space="preserve">Information relating to the review will be published on the DIIS website. Any amendments to the OPGGS Act and Safety Regulations will be approved and published in accordance with the Australian Government parliamentary process on the Federal Register of Legislation at www.legislation.gov.au.  </w:t>
      </w:r>
    </w:p>
    <w:sectPr w:rsidR="000235AB" w:rsidRPr="0094772E" w:rsidSect="009D6138">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DDF67" w14:textId="77777777" w:rsidR="00BB27D5" w:rsidRDefault="00BB27D5" w:rsidP="00424D01">
      <w:pPr>
        <w:spacing w:after="0" w:line="240" w:lineRule="auto"/>
      </w:pPr>
      <w:r>
        <w:separator/>
      </w:r>
    </w:p>
  </w:endnote>
  <w:endnote w:type="continuationSeparator" w:id="0">
    <w:p w14:paraId="35AB8052" w14:textId="77777777" w:rsidR="00BB27D5" w:rsidRDefault="00BB27D5" w:rsidP="00424D01">
      <w:pPr>
        <w:spacing w:after="0" w:line="240" w:lineRule="auto"/>
      </w:pPr>
      <w:r>
        <w:continuationSeparator/>
      </w:r>
    </w:p>
  </w:endnote>
  <w:endnote w:type="continuationNotice" w:id="1">
    <w:p w14:paraId="6D4A440F" w14:textId="77777777" w:rsidR="00BB27D5" w:rsidRDefault="00BB2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BAF7B" w14:textId="77777777" w:rsidR="009D6138" w:rsidRDefault="009D61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901347"/>
      <w:docPartObj>
        <w:docPartGallery w:val="Page Numbers (Bottom of Page)"/>
        <w:docPartUnique/>
      </w:docPartObj>
    </w:sdtPr>
    <w:sdtEndPr>
      <w:rPr>
        <w:noProof/>
      </w:rPr>
    </w:sdtEndPr>
    <w:sdtContent>
      <w:p w14:paraId="0EB60BA6" w14:textId="0EAC0F3E" w:rsidR="00120F1E" w:rsidRDefault="00120F1E">
        <w:pPr>
          <w:pStyle w:val="Footer"/>
          <w:jc w:val="center"/>
        </w:pPr>
        <w:r>
          <w:fldChar w:fldCharType="begin"/>
        </w:r>
        <w:r>
          <w:instrText xml:space="preserve"> PAGE   \* MERGEFORMAT </w:instrText>
        </w:r>
        <w:r>
          <w:fldChar w:fldCharType="separate"/>
        </w:r>
        <w:r w:rsidR="00C232A4">
          <w:rPr>
            <w:noProof/>
          </w:rPr>
          <w:t>1</w:t>
        </w:r>
        <w:r>
          <w:rPr>
            <w:noProof/>
          </w:rPr>
          <w:fldChar w:fldCharType="end"/>
        </w:r>
      </w:p>
    </w:sdtContent>
  </w:sdt>
  <w:p w14:paraId="78E98F41" w14:textId="77777777" w:rsidR="00A66605" w:rsidRDefault="00A666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D7546" w14:textId="77777777" w:rsidR="009D6138" w:rsidRDefault="009D6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81786" w14:textId="77777777" w:rsidR="00BB27D5" w:rsidRDefault="00BB27D5" w:rsidP="00424D01">
      <w:pPr>
        <w:spacing w:after="0" w:line="240" w:lineRule="auto"/>
      </w:pPr>
      <w:r>
        <w:separator/>
      </w:r>
    </w:p>
  </w:footnote>
  <w:footnote w:type="continuationSeparator" w:id="0">
    <w:p w14:paraId="507B378A" w14:textId="77777777" w:rsidR="00BB27D5" w:rsidRDefault="00BB27D5" w:rsidP="00424D01">
      <w:pPr>
        <w:spacing w:after="0" w:line="240" w:lineRule="auto"/>
      </w:pPr>
      <w:r>
        <w:continuationSeparator/>
      </w:r>
    </w:p>
  </w:footnote>
  <w:footnote w:type="continuationNotice" w:id="1">
    <w:p w14:paraId="20B5284A" w14:textId="77777777" w:rsidR="00BB27D5" w:rsidRDefault="00BB27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AEB60" w14:textId="77777777" w:rsidR="009D6138" w:rsidRDefault="009D61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0F091" w14:textId="12595C8A" w:rsidR="00B93D5D" w:rsidRDefault="00B93D5D">
    <w:pPr>
      <w:pStyle w:val="Header"/>
    </w:pPr>
  </w:p>
  <w:p w14:paraId="4A8F5DD2" w14:textId="77777777" w:rsidR="00B93D5D" w:rsidRDefault="00B93D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6B6B4" w14:textId="77777777" w:rsidR="009D6138" w:rsidRDefault="009D61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AB4B0" w14:textId="77777777" w:rsidR="00B93D5D" w:rsidRPr="00B93D5D" w:rsidRDefault="00B93D5D" w:rsidP="00B93D5D">
    <w:pPr>
      <w:spacing w:after="0" w:line="240" w:lineRule="auto"/>
      <w:jc w:val="right"/>
      <w:rPr>
        <w:rFonts w:ascii="Times New Roman" w:hAnsi="Times New Roman" w:cs="Times New Roman"/>
        <w:color w:val="000000"/>
        <w:sz w:val="24"/>
        <w:szCs w:val="24"/>
        <w:u w:val="single"/>
      </w:rPr>
    </w:pPr>
    <w:r w:rsidRPr="00B93D5D">
      <w:rPr>
        <w:rFonts w:ascii="Times New Roman" w:hAnsi="Times New Roman" w:cs="Times New Roman"/>
        <w:color w:val="000000"/>
        <w:sz w:val="24"/>
        <w:szCs w:val="24"/>
        <w:u w:val="single"/>
      </w:rPr>
      <w:t>Attachment A</w:t>
    </w:r>
  </w:p>
  <w:p w14:paraId="09C032CE" w14:textId="77777777" w:rsidR="00B93D5D" w:rsidRDefault="00B93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12BE"/>
    <w:multiLevelType w:val="hybridMultilevel"/>
    <w:tmpl w:val="6C8EE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DF2C71"/>
    <w:multiLevelType w:val="hybridMultilevel"/>
    <w:tmpl w:val="50B2365C"/>
    <w:lvl w:ilvl="0" w:tplc="F9DAAAB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D01C55"/>
    <w:multiLevelType w:val="hybridMultilevel"/>
    <w:tmpl w:val="2244D50A"/>
    <w:lvl w:ilvl="0" w:tplc="938E2D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B91B0A"/>
    <w:multiLevelType w:val="hybridMultilevel"/>
    <w:tmpl w:val="1D0E17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4B1BEE"/>
    <w:multiLevelType w:val="hybridMultilevel"/>
    <w:tmpl w:val="87D43CA8"/>
    <w:lvl w:ilvl="0" w:tplc="0C0EEEB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5D35CF"/>
    <w:multiLevelType w:val="hybridMultilevel"/>
    <w:tmpl w:val="68EE0888"/>
    <w:lvl w:ilvl="0" w:tplc="A4143F68">
      <w:start w:val="1"/>
      <w:numFmt w:val="decimal"/>
      <w:pStyle w:val="Numberlist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404708"/>
    <w:multiLevelType w:val="hybridMultilevel"/>
    <w:tmpl w:val="8786863A"/>
    <w:lvl w:ilvl="0" w:tplc="F9FE174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113440"/>
    <w:multiLevelType w:val="hybridMultilevel"/>
    <w:tmpl w:val="F522C954"/>
    <w:lvl w:ilvl="0" w:tplc="7F58BA78">
      <w:start w:val="1"/>
      <w:numFmt w:val="bullet"/>
      <w:lvlText w:val=""/>
      <w:lvlJc w:val="left"/>
      <w:pPr>
        <w:ind w:left="360" w:hanging="360"/>
      </w:pPr>
      <w:rPr>
        <w:rFonts w:ascii="Symbol" w:hAnsi="Symbol" w:hint="default"/>
        <w:sz w:val="24"/>
        <w:szCs w:val="24"/>
      </w:rPr>
    </w:lvl>
    <w:lvl w:ilvl="1" w:tplc="FD9270B8">
      <w:start w:val="1"/>
      <w:numFmt w:val="bullet"/>
      <w:lvlText w:val=""/>
      <w:lvlJc w:val="left"/>
      <w:pPr>
        <w:ind w:left="1080" w:hanging="360"/>
      </w:pPr>
      <w:rPr>
        <w:rFonts w:ascii="Symbol" w:hAnsi="Symbol" w:hint="default"/>
        <w:color w:val="auto"/>
        <w:effect w:val="none"/>
      </w:rPr>
    </w:lvl>
    <w:lvl w:ilvl="2" w:tplc="AB58E5D8">
      <w:start w:val="1"/>
      <w:numFmt w:val="bullet"/>
      <w:lvlText w:val=""/>
      <w:lvlJc w:val="left"/>
      <w:pPr>
        <w:ind w:left="1800" w:hanging="360"/>
      </w:pPr>
      <w:rPr>
        <w:rFonts w:ascii="Wingdings" w:hAnsi="Wingdings" w:hint="default"/>
      </w:rPr>
    </w:lvl>
    <w:lvl w:ilvl="3" w:tplc="3BB64574">
      <w:start w:val="1"/>
      <w:numFmt w:val="bullet"/>
      <w:lvlText w:val=""/>
      <w:lvlJc w:val="left"/>
      <w:pPr>
        <w:ind w:left="2520" w:hanging="360"/>
      </w:pPr>
      <w:rPr>
        <w:rFonts w:ascii="Symbol" w:hAnsi="Symbol" w:hint="default"/>
      </w:rPr>
    </w:lvl>
    <w:lvl w:ilvl="4" w:tplc="C2B66CAA" w:tentative="1">
      <w:start w:val="1"/>
      <w:numFmt w:val="bullet"/>
      <w:lvlText w:val="o"/>
      <w:lvlJc w:val="left"/>
      <w:pPr>
        <w:ind w:left="3240" w:hanging="360"/>
      </w:pPr>
      <w:rPr>
        <w:rFonts w:ascii="Courier New" w:hAnsi="Courier New" w:cs="Courier New" w:hint="default"/>
      </w:rPr>
    </w:lvl>
    <w:lvl w:ilvl="5" w:tplc="18409C4E" w:tentative="1">
      <w:start w:val="1"/>
      <w:numFmt w:val="bullet"/>
      <w:lvlText w:val=""/>
      <w:lvlJc w:val="left"/>
      <w:pPr>
        <w:ind w:left="3960" w:hanging="360"/>
      </w:pPr>
      <w:rPr>
        <w:rFonts w:ascii="Wingdings" w:hAnsi="Wingdings" w:hint="default"/>
      </w:rPr>
    </w:lvl>
    <w:lvl w:ilvl="6" w:tplc="E80EE106" w:tentative="1">
      <w:start w:val="1"/>
      <w:numFmt w:val="bullet"/>
      <w:lvlText w:val=""/>
      <w:lvlJc w:val="left"/>
      <w:pPr>
        <w:ind w:left="4680" w:hanging="360"/>
      </w:pPr>
      <w:rPr>
        <w:rFonts w:ascii="Symbol" w:hAnsi="Symbol" w:hint="default"/>
      </w:rPr>
    </w:lvl>
    <w:lvl w:ilvl="7" w:tplc="576AD1D4" w:tentative="1">
      <w:start w:val="1"/>
      <w:numFmt w:val="bullet"/>
      <w:lvlText w:val="o"/>
      <w:lvlJc w:val="left"/>
      <w:pPr>
        <w:ind w:left="5400" w:hanging="360"/>
      </w:pPr>
      <w:rPr>
        <w:rFonts w:ascii="Courier New" w:hAnsi="Courier New" w:cs="Courier New" w:hint="default"/>
      </w:rPr>
    </w:lvl>
    <w:lvl w:ilvl="8" w:tplc="472A6546" w:tentative="1">
      <w:start w:val="1"/>
      <w:numFmt w:val="bullet"/>
      <w:lvlText w:val=""/>
      <w:lvlJc w:val="left"/>
      <w:pPr>
        <w:ind w:left="6120" w:hanging="360"/>
      </w:pPr>
      <w:rPr>
        <w:rFonts w:ascii="Wingdings" w:hAnsi="Wingdings" w:hint="default"/>
      </w:rPr>
    </w:lvl>
  </w:abstractNum>
  <w:abstractNum w:abstractNumId="8" w15:restartNumberingAfterBreak="0">
    <w:nsid w:val="39D14E4E"/>
    <w:multiLevelType w:val="hybridMultilevel"/>
    <w:tmpl w:val="A6127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D23F02"/>
    <w:multiLevelType w:val="hybridMultilevel"/>
    <w:tmpl w:val="2BAE3C48"/>
    <w:lvl w:ilvl="0" w:tplc="0C090001">
      <w:start w:val="1"/>
      <w:numFmt w:val="bullet"/>
      <w:lvlText w:val=""/>
      <w:lvlJc w:val="left"/>
      <w:pPr>
        <w:ind w:left="720" w:hanging="360"/>
      </w:pPr>
      <w:rPr>
        <w:rFonts w:ascii="Symbol" w:hAnsi="Symbol" w:hint="default"/>
      </w:rPr>
    </w:lvl>
    <w:lvl w:ilvl="1" w:tplc="AF447A24">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AB2721"/>
    <w:multiLevelType w:val="hybridMultilevel"/>
    <w:tmpl w:val="3A26397E"/>
    <w:lvl w:ilvl="0" w:tplc="39840100">
      <w:start w:val="1"/>
      <w:numFmt w:val="bullet"/>
      <w:lvlText w:val=""/>
      <w:lvlJc w:val="left"/>
      <w:pPr>
        <w:ind w:left="360" w:hanging="360"/>
      </w:pPr>
      <w:rPr>
        <w:rFonts w:ascii="Symbol" w:hAnsi="Symbol" w:hint="default"/>
      </w:rPr>
    </w:lvl>
    <w:lvl w:ilvl="1" w:tplc="94A86170">
      <w:start w:val="1"/>
      <w:numFmt w:val="bullet"/>
      <w:lvlText w:val="-"/>
      <w:lvlJc w:val="left"/>
      <w:pPr>
        <w:ind w:left="1080" w:hanging="360"/>
      </w:pPr>
      <w:rPr>
        <w:rFonts w:ascii="Courier New" w:hAnsi="Courier New" w:hint="default"/>
      </w:rPr>
    </w:lvl>
    <w:lvl w:ilvl="2" w:tplc="934A15B6">
      <w:start w:val="1"/>
      <w:numFmt w:val="bullet"/>
      <w:lvlText w:val=""/>
      <w:lvlJc w:val="left"/>
      <w:pPr>
        <w:ind w:left="1800" w:hanging="360"/>
      </w:pPr>
      <w:rPr>
        <w:rFonts w:ascii="Wingdings" w:hAnsi="Wingdings" w:hint="default"/>
      </w:rPr>
    </w:lvl>
    <w:lvl w:ilvl="3" w:tplc="281AE804" w:tentative="1">
      <w:start w:val="1"/>
      <w:numFmt w:val="bullet"/>
      <w:lvlText w:val=""/>
      <w:lvlJc w:val="left"/>
      <w:pPr>
        <w:ind w:left="2520" w:hanging="360"/>
      </w:pPr>
      <w:rPr>
        <w:rFonts w:ascii="Symbol" w:hAnsi="Symbol" w:hint="default"/>
      </w:rPr>
    </w:lvl>
    <w:lvl w:ilvl="4" w:tplc="81E2589C" w:tentative="1">
      <w:start w:val="1"/>
      <w:numFmt w:val="bullet"/>
      <w:lvlText w:val="o"/>
      <w:lvlJc w:val="left"/>
      <w:pPr>
        <w:ind w:left="3240" w:hanging="360"/>
      </w:pPr>
      <w:rPr>
        <w:rFonts w:ascii="Courier New" w:hAnsi="Courier New" w:cs="Courier New" w:hint="default"/>
      </w:rPr>
    </w:lvl>
    <w:lvl w:ilvl="5" w:tplc="D12888DA" w:tentative="1">
      <w:start w:val="1"/>
      <w:numFmt w:val="bullet"/>
      <w:lvlText w:val=""/>
      <w:lvlJc w:val="left"/>
      <w:pPr>
        <w:ind w:left="3960" w:hanging="360"/>
      </w:pPr>
      <w:rPr>
        <w:rFonts w:ascii="Wingdings" w:hAnsi="Wingdings" w:hint="default"/>
      </w:rPr>
    </w:lvl>
    <w:lvl w:ilvl="6" w:tplc="79E835E6" w:tentative="1">
      <w:start w:val="1"/>
      <w:numFmt w:val="bullet"/>
      <w:lvlText w:val=""/>
      <w:lvlJc w:val="left"/>
      <w:pPr>
        <w:ind w:left="4680" w:hanging="360"/>
      </w:pPr>
      <w:rPr>
        <w:rFonts w:ascii="Symbol" w:hAnsi="Symbol" w:hint="default"/>
      </w:rPr>
    </w:lvl>
    <w:lvl w:ilvl="7" w:tplc="28DCDA0E" w:tentative="1">
      <w:start w:val="1"/>
      <w:numFmt w:val="bullet"/>
      <w:lvlText w:val="o"/>
      <w:lvlJc w:val="left"/>
      <w:pPr>
        <w:ind w:left="5400" w:hanging="360"/>
      </w:pPr>
      <w:rPr>
        <w:rFonts w:ascii="Courier New" w:hAnsi="Courier New" w:cs="Courier New" w:hint="default"/>
      </w:rPr>
    </w:lvl>
    <w:lvl w:ilvl="8" w:tplc="085E8360" w:tentative="1">
      <w:start w:val="1"/>
      <w:numFmt w:val="bullet"/>
      <w:lvlText w:val=""/>
      <w:lvlJc w:val="left"/>
      <w:pPr>
        <w:ind w:left="6120" w:hanging="360"/>
      </w:pPr>
      <w:rPr>
        <w:rFonts w:ascii="Wingdings" w:hAnsi="Wingdings" w:hint="default"/>
      </w:rPr>
    </w:lvl>
  </w:abstractNum>
  <w:abstractNum w:abstractNumId="11" w15:restartNumberingAfterBreak="0">
    <w:nsid w:val="4D51559A"/>
    <w:multiLevelType w:val="hybridMultilevel"/>
    <w:tmpl w:val="767612E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AE6ECC"/>
    <w:multiLevelType w:val="hybridMultilevel"/>
    <w:tmpl w:val="9322FB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65D97409"/>
    <w:multiLevelType w:val="hybridMultilevel"/>
    <w:tmpl w:val="9322FB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5C2545"/>
    <w:multiLevelType w:val="hybridMultilevel"/>
    <w:tmpl w:val="9072C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E53269"/>
    <w:multiLevelType w:val="multilevel"/>
    <w:tmpl w:val="2556AF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90D6CA0"/>
    <w:multiLevelType w:val="hybridMultilevel"/>
    <w:tmpl w:val="19ECC06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6E9B0B5B"/>
    <w:multiLevelType w:val="hybridMultilevel"/>
    <w:tmpl w:val="5DCCB2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AA71D9"/>
    <w:multiLevelType w:val="hybridMultilevel"/>
    <w:tmpl w:val="0D42E4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A657B7"/>
    <w:multiLevelType w:val="hybridMultilevel"/>
    <w:tmpl w:val="999697C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0"/>
  </w:num>
  <w:num w:numId="3">
    <w:abstractNumId w:val="3"/>
  </w:num>
  <w:num w:numId="4">
    <w:abstractNumId w:val="20"/>
  </w:num>
  <w:num w:numId="5">
    <w:abstractNumId w:val="14"/>
  </w:num>
  <w:num w:numId="6">
    <w:abstractNumId w:val="12"/>
  </w:num>
  <w:num w:numId="7">
    <w:abstractNumId w:val="19"/>
  </w:num>
  <w:num w:numId="8">
    <w:abstractNumId w:val="4"/>
  </w:num>
  <w:num w:numId="9">
    <w:abstractNumId w:val="10"/>
  </w:num>
  <w:num w:numId="10">
    <w:abstractNumId w:val="6"/>
  </w:num>
  <w:num w:numId="11">
    <w:abstractNumId w:val="5"/>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2"/>
  </w:num>
  <w:num w:numId="17">
    <w:abstractNumId w:val="7"/>
  </w:num>
  <w:num w:numId="18">
    <w:abstractNumId w:val="1"/>
  </w:num>
  <w:num w:numId="19">
    <w:abstractNumId w:val="17"/>
  </w:num>
  <w:num w:numId="20">
    <w:abstractNumId w:val="1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proofState w:spelling="clean"/>
  <w:documentProtection w:edit="readOnly" w:enforcement="1" w:cryptProviderType="rsaAES" w:cryptAlgorithmClass="hash" w:cryptAlgorithmType="typeAny" w:cryptAlgorithmSid="14" w:cryptSpinCount="100000" w:hash="mRXA09hxnubMRcO6jzD/5/8A2/Fo8ogc6i+Qiduy+trFTVzRDnJK0BPk7zryXIEXGK7shV2diUGWLSyeYB2yRQ==" w:salt="6jrWSc8Ic4q/D0FICeiL0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D2"/>
    <w:rsid w:val="00004B93"/>
    <w:rsid w:val="000053B9"/>
    <w:rsid w:val="000150B5"/>
    <w:rsid w:val="000168B4"/>
    <w:rsid w:val="00020DAC"/>
    <w:rsid w:val="00021D7A"/>
    <w:rsid w:val="000235AB"/>
    <w:rsid w:val="00025676"/>
    <w:rsid w:val="000275A3"/>
    <w:rsid w:val="00034480"/>
    <w:rsid w:val="00037228"/>
    <w:rsid w:val="00037927"/>
    <w:rsid w:val="00042AFF"/>
    <w:rsid w:val="00043D67"/>
    <w:rsid w:val="00054858"/>
    <w:rsid w:val="0006108B"/>
    <w:rsid w:val="0006748C"/>
    <w:rsid w:val="00076DEE"/>
    <w:rsid w:val="00082DD5"/>
    <w:rsid w:val="00092263"/>
    <w:rsid w:val="000972D2"/>
    <w:rsid w:val="000A42D9"/>
    <w:rsid w:val="000B5B0A"/>
    <w:rsid w:val="000C3856"/>
    <w:rsid w:val="000D3F3F"/>
    <w:rsid w:val="000F640C"/>
    <w:rsid w:val="0010551C"/>
    <w:rsid w:val="0011004F"/>
    <w:rsid w:val="00114031"/>
    <w:rsid w:val="00120F1E"/>
    <w:rsid w:val="00127609"/>
    <w:rsid w:val="00132E18"/>
    <w:rsid w:val="00140A39"/>
    <w:rsid w:val="00147886"/>
    <w:rsid w:val="00155E59"/>
    <w:rsid w:val="00167868"/>
    <w:rsid w:val="00167C68"/>
    <w:rsid w:val="0017094D"/>
    <w:rsid w:val="00177C54"/>
    <w:rsid w:val="00192B6D"/>
    <w:rsid w:val="00194D41"/>
    <w:rsid w:val="00197E8F"/>
    <w:rsid w:val="001B65BC"/>
    <w:rsid w:val="001C7FB6"/>
    <w:rsid w:val="001D0459"/>
    <w:rsid w:val="001F0657"/>
    <w:rsid w:val="001F080C"/>
    <w:rsid w:val="001F526F"/>
    <w:rsid w:val="00204C46"/>
    <w:rsid w:val="002062F9"/>
    <w:rsid w:val="002065C3"/>
    <w:rsid w:val="002427CF"/>
    <w:rsid w:val="00260C4D"/>
    <w:rsid w:val="002742AB"/>
    <w:rsid w:val="002754C3"/>
    <w:rsid w:val="00283885"/>
    <w:rsid w:val="00284DC9"/>
    <w:rsid w:val="00287E01"/>
    <w:rsid w:val="002919C7"/>
    <w:rsid w:val="002A43BF"/>
    <w:rsid w:val="002A72C5"/>
    <w:rsid w:val="002C0051"/>
    <w:rsid w:val="002C18BB"/>
    <w:rsid w:val="002C40A8"/>
    <w:rsid w:val="002C75FD"/>
    <w:rsid w:val="002D4314"/>
    <w:rsid w:val="002D4457"/>
    <w:rsid w:val="00305E10"/>
    <w:rsid w:val="0030683B"/>
    <w:rsid w:val="00312110"/>
    <w:rsid w:val="003165F5"/>
    <w:rsid w:val="00320E8E"/>
    <w:rsid w:val="003237B0"/>
    <w:rsid w:val="00334032"/>
    <w:rsid w:val="00356B9E"/>
    <w:rsid w:val="00361115"/>
    <w:rsid w:val="00367763"/>
    <w:rsid w:val="003678B2"/>
    <w:rsid w:val="003713BE"/>
    <w:rsid w:val="00392AFB"/>
    <w:rsid w:val="00394786"/>
    <w:rsid w:val="003A1086"/>
    <w:rsid w:val="003A6CA4"/>
    <w:rsid w:val="003B02FA"/>
    <w:rsid w:val="003B1835"/>
    <w:rsid w:val="003B6B37"/>
    <w:rsid w:val="003C7BA1"/>
    <w:rsid w:val="003D71C3"/>
    <w:rsid w:val="003E159E"/>
    <w:rsid w:val="003F0FD0"/>
    <w:rsid w:val="003F6B07"/>
    <w:rsid w:val="00405369"/>
    <w:rsid w:val="00421F66"/>
    <w:rsid w:val="00421F6A"/>
    <w:rsid w:val="00424D01"/>
    <w:rsid w:val="00445B1F"/>
    <w:rsid w:val="00446C6E"/>
    <w:rsid w:val="00454ED4"/>
    <w:rsid w:val="00474E46"/>
    <w:rsid w:val="00477563"/>
    <w:rsid w:val="00487427"/>
    <w:rsid w:val="00490C5C"/>
    <w:rsid w:val="00496370"/>
    <w:rsid w:val="004A34F6"/>
    <w:rsid w:val="004B1809"/>
    <w:rsid w:val="004B7870"/>
    <w:rsid w:val="004B7C51"/>
    <w:rsid w:val="004C219C"/>
    <w:rsid w:val="004C3DFF"/>
    <w:rsid w:val="004D431F"/>
    <w:rsid w:val="004D5156"/>
    <w:rsid w:val="004F5688"/>
    <w:rsid w:val="004F7CB3"/>
    <w:rsid w:val="00507404"/>
    <w:rsid w:val="0055746A"/>
    <w:rsid w:val="0056038D"/>
    <w:rsid w:val="005823A0"/>
    <w:rsid w:val="005837E4"/>
    <w:rsid w:val="0058766E"/>
    <w:rsid w:val="00587CFA"/>
    <w:rsid w:val="00592EF6"/>
    <w:rsid w:val="005B3F71"/>
    <w:rsid w:val="005B5137"/>
    <w:rsid w:val="005C0E19"/>
    <w:rsid w:val="005D0BAF"/>
    <w:rsid w:val="005D0BDF"/>
    <w:rsid w:val="005E2C28"/>
    <w:rsid w:val="005F28F1"/>
    <w:rsid w:val="005F4ECE"/>
    <w:rsid w:val="00617542"/>
    <w:rsid w:val="00620CBF"/>
    <w:rsid w:val="00627C4A"/>
    <w:rsid w:val="00634CE7"/>
    <w:rsid w:val="00640446"/>
    <w:rsid w:val="00641AAD"/>
    <w:rsid w:val="00643ECC"/>
    <w:rsid w:val="00645D4D"/>
    <w:rsid w:val="00646B42"/>
    <w:rsid w:val="006474A4"/>
    <w:rsid w:val="00653B68"/>
    <w:rsid w:val="00657DB3"/>
    <w:rsid w:val="00666140"/>
    <w:rsid w:val="00671695"/>
    <w:rsid w:val="00671DBE"/>
    <w:rsid w:val="00676642"/>
    <w:rsid w:val="00680D29"/>
    <w:rsid w:val="006810A8"/>
    <w:rsid w:val="00681DF9"/>
    <w:rsid w:val="0069159C"/>
    <w:rsid w:val="00696D4E"/>
    <w:rsid w:val="006A026E"/>
    <w:rsid w:val="006A1464"/>
    <w:rsid w:val="006B2477"/>
    <w:rsid w:val="006C2A8C"/>
    <w:rsid w:val="006C666F"/>
    <w:rsid w:val="00713D4C"/>
    <w:rsid w:val="007219F1"/>
    <w:rsid w:val="00723BFF"/>
    <w:rsid w:val="007412BE"/>
    <w:rsid w:val="0074281B"/>
    <w:rsid w:val="007632EC"/>
    <w:rsid w:val="00797BB8"/>
    <w:rsid w:val="007A4C19"/>
    <w:rsid w:val="007C4781"/>
    <w:rsid w:val="007C6424"/>
    <w:rsid w:val="007D0E7C"/>
    <w:rsid w:val="007D31FF"/>
    <w:rsid w:val="007D7E88"/>
    <w:rsid w:val="007E1D96"/>
    <w:rsid w:val="007F03C7"/>
    <w:rsid w:val="007F1622"/>
    <w:rsid w:val="0081569A"/>
    <w:rsid w:val="00815F28"/>
    <w:rsid w:val="008434FA"/>
    <w:rsid w:val="00845643"/>
    <w:rsid w:val="00856901"/>
    <w:rsid w:val="00862E74"/>
    <w:rsid w:val="008657FD"/>
    <w:rsid w:val="00866CD9"/>
    <w:rsid w:val="00885AEA"/>
    <w:rsid w:val="00892E4D"/>
    <w:rsid w:val="008A2163"/>
    <w:rsid w:val="008B5D2C"/>
    <w:rsid w:val="008B63D9"/>
    <w:rsid w:val="008B7EC4"/>
    <w:rsid w:val="008E4381"/>
    <w:rsid w:val="008E71C8"/>
    <w:rsid w:val="008F4D79"/>
    <w:rsid w:val="008F6FC6"/>
    <w:rsid w:val="00905A9D"/>
    <w:rsid w:val="009143FB"/>
    <w:rsid w:val="00931498"/>
    <w:rsid w:val="0094772E"/>
    <w:rsid w:val="009503E6"/>
    <w:rsid w:val="00955F83"/>
    <w:rsid w:val="0096014E"/>
    <w:rsid w:val="009657DD"/>
    <w:rsid w:val="00972767"/>
    <w:rsid w:val="00983C5B"/>
    <w:rsid w:val="00992702"/>
    <w:rsid w:val="00996A0A"/>
    <w:rsid w:val="009A1A96"/>
    <w:rsid w:val="009A7AC9"/>
    <w:rsid w:val="009B5E9B"/>
    <w:rsid w:val="009D6138"/>
    <w:rsid w:val="009E5CEB"/>
    <w:rsid w:val="009E5E72"/>
    <w:rsid w:val="009F16B5"/>
    <w:rsid w:val="009F74AF"/>
    <w:rsid w:val="00A044EA"/>
    <w:rsid w:val="00A14183"/>
    <w:rsid w:val="00A2474B"/>
    <w:rsid w:val="00A30E64"/>
    <w:rsid w:val="00A5024E"/>
    <w:rsid w:val="00A56BC9"/>
    <w:rsid w:val="00A57586"/>
    <w:rsid w:val="00A6561B"/>
    <w:rsid w:val="00A66605"/>
    <w:rsid w:val="00A71B49"/>
    <w:rsid w:val="00A73647"/>
    <w:rsid w:val="00A75E70"/>
    <w:rsid w:val="00A85F69"/>
    <w:rsid w:val="00A9231F"/>
    <w:rsid w:val="00A959CA"/>
    <w:rsid w:val="00A96128"/>
    <w:rsid w:val="00A96D64"/>
    <w:rsid w:val="00AA2272"/>
    <w:rsid w:val="00AB0C25"/>
    <w:rsid w:val="00AC4CBD"/>
    <w:rsid w:val="00AD0DC2"/>
    <w:rsid w:val="00AE1B08"/>
    <w:rsid w:val="00AF3B84"/>
    <w:rsid w:val="00AF3BE8"/>
    <w:rsid w:val="00B03191"/>
    <w:rsid w:val="00B07C57"/>
    <w:rsid w:val="00B115E7"/>
    <w:rsid w:val="00B166EA"/>
    <w:rsid w:val="00B20709"/>
    <w:rsid w:val="00B31B9B"/>
    <w:rsid w:val="00B32976"/>
    <w:rsid w:val="00B34AC4"/>
    <w:rsid w:val="00B41290"/>
    <w:rsid w:val="00B42E41"/>
    <w:rsid w:val="00B44059"/>
    <w:rsid w:val="00B50000"/>
    <w:rsid w:val="00B51B78"/>
    <w:rsid w:val="00B55053"/>
    <w:rsid w:val="00B61B28"/>
    <w:rsid w:val="00B67A03"/>
    <w:rsid w:val="00B811A8"/>
    <w:rsid w:val="00B93D5D"/>
    <w:rsid w:val="00BA2D83"/>
    <w:rsid w:val="00BA617E"/>
    <w:rsid w:val="00BB0A04"/>
    <w:rsid w:val="00BB27D5"/>
    <w:rsid w:val="00BB31EC"/>
    <w:rsid w:val="00BC50C1"/>
    <w:rsid w:val="00BD3625"/>
    <w:rsid w:val="00BD45B9"/>
    <w:rsid w:val="00BE4C34"/>
    <w:rsid w:val="00BE5641"/>
    <w:rsid w:val="00BF1A78"/>
    <w:rsid w:val="00BF6AA1"/>
    <w:rsid w:val="00C06BEB"/>
    <w:rsid w:val="00C07F1D"/>
    <w:rsid w:val="00C12310"/>
    <w:rsid w:val="00C232A4"/>
    <w:rsid w:val="00C30F5B"/>
    <w:rsid w:val="00C32BB5"/>
    <w:rsid w:val="00C33F4D"/>
    <w:rsid w:val="00C415FF"/>
    <w:rsid w:val="00C468B4"/>
    <w:rsid w:val="00C47C6C"/>
    <w:rsid w:val="00C5149F"/>
    <w:rsid w:val="00C52228"/>
    <w:rsid w:val="00C62925"/>
    <w:rsid w:val="00C760D0"/>
    <w:rsid w:val="00C804AD"/>
    <w:rsid w:val="00C80D23"/>
    <w:rsid w:val="00C964A0"/>
    <w:rsid w:val="00CB3E0E"/>
    <w:rsid w:val="00CB53A9"/>
    <w:rsid w:val="00CD60D5"/>
    <w:rsid w:val="00CE3288"/>
    <w:rsid w:val="00D0121C"/>
    <w:rsid w:val="00D05A4A"/>
    <w:rsid w:val="00D07BE7"/>
    <w:rsid w:val="00D164F4"/>
    <w:rsid w:val="00D171A9"/>
    <w:rsid w:val="00D23C8B"/>
    <w:rsid w:val="00D25925"/>
    <w:rsid w:val="00D575AB"/>
    <w:rsid w:val="00D648A6"/>
    <w:rsid w:val="00DA6CA1"/>
    <w:rsid w:val="00DC7B9F"/>
    <w:rsid w:val="00DD18CD"/>
    <w:rsid w:val="00DE20DF"/>
    <w:rsid w:val="00DE381A"/>
    <w:rsid w:val="00DE3E5A"/>
    <w:rsid w:val="00E000FF"/>
    <w:rsid w:val="00E00256"/>
    <w:rsid w:val="00E22141"/>
    <w:rsid w:val="00E36600"/>
    <w:rsid w:val="00E36F98"/>
    <w:rsid w:val="00E42DAA"/>
    <w:rsid w:val="00E55F4A"/>
    <w:rsid w:val="00E57A34"/>
    <w:rsid w:val="00E62C42"/>
    <w:rsid w:val="00E84009"/>
    <w:rsid w:val="00E87220"/>
    <w:rsid w:val="00E946C2"/>
    <w:rsid w:val="00EA0937"/>
    <w:rsid w:val="00EA2DFF"/>
    <w:rsid w:val="00EA4CE3"/>
    <w:rsid w:val="00EB3660"/>
    <w:rsid w:val="00EB6B0C"/>
    <w:rsid w:val="00ED32F5"/>
    <w:rsid w:val="00ED67E0"/>
    <w:rsid w:val="00EE690F"/>
    <w:rsid w:val="00EE6F9F"/>
    <w:rsid w:val="00EF6D49"/>
    <w:rsid w:val="00F06A2F"/>
    <w:rsid w:val="00F10FF1"/>
    <w:rsid w:val="00F1256C"/>
    <w:rsid w:val="00F22E98"/>
    <w:rsid w:val="00F24BA6"/>
    <w:rsid w:val="00F26085"/>
    <w:rsid w:val="00F26207"/>
    <w:rsid w:val="00F26DA7"/>
    <w:rsid w:val="00F32E4F"/>
    <w:rsid w:val="00F35C23"/>
    <w:rsid w:val="00F421E9"/>
    <w:rsid w:val="00F501B4"/>
    <w:rsid w:val="00F62EB4"/>
    <w:rsid w:val="00F659ED"/>
    <w:rsid w:val="00F818E1"/>
    <w:rsid w:val="00F93A1B"/>
    <w:rsid w:val="00F96C22"/>
    <w:rsid w:val="00FA7390"/>
    <w:rsid w:val="00FB209C"/>
    <w:rsid w:val="00FB5234"/>
    <w:rsid w:val="00FC3A68"/>
    <w:rsid w:val="00FE0978"/>
    <w:rsid w:val="00FE776A"/>
    <w:rsid w:val="00FF54D4"/>
    <w:rsid w:val="0310B4B4"/>
    <w:rsid w:val="083DF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27B88"/>
  <w15:docId w15:val="{B105792C-CA41-4DFD-AA54-34B12497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4EA"/>
  </w:style>
  <w:style w:type="paragraph" w:styleId="Heading1">
    <w:name w:val="heading 1"/>
    <w:basedOn w:val="Normal"/>
    <w:next w:val="Normal"/>
    <w:link w:val="Heading1Char"/>
    <w:uiPriority w:val="9"/>
    <w:qFormat/>
    <w:rsid w:val="00B115E7"/>
    <w:pPr>
      <w:keepNext/>
      <w:keepLines/>
      <w:spacing w:before="240" w:after="120"/>
      <w:outlineLvl w:val="0"/>
    </w:pPr>
    <w:rPr>
      <w:rFonts w:ascii="Times New Roman" w:eastAsiaTheme="majorEastAsia" w:hAnsi="Times New Roman" w:cstheme="majorBidi"/>
      <w:b/>
      <w:sz w:val="36"/>
      <w:szCs w:val="32"/>
    </w:rPr>
  </w:style>
  <w:style w:type="paragraph" w:styleId="Heading2">
    <w:name w:val="heading 2"/>
    <w:basedOn w:val="Normal"/>
    <w:next w:val="Normal"/>
    <w:link w:val="Heading2Char"/>
    <w:uiPriority w:val="9"/>
    <w:unhideWhenUsed/>
    <w:qFormat/>
    <w:rsid w:val="00477563"/>
    <w:pPr>
      <w:keepNext/>
      <w:keepLines/>
      <w:spacing w:before="40" w:after="12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5D0BDF"/>
    <w:pPr>
      <w:keepNext/>
      <w:keepLines/>
      <w:spacing w:before="240" w:after="12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507404"/>
    <w:pPr>
      <w:keepNext/>
      <w:keepLines/>
      <w:spacing w:before="40" w:after="240"/>
      <w:outlineLvl w:val="3"/>
    </w:pPr>
    <w:rPr>
      <w:rFonts w:ascii="Times New Roman" w:eastAsiaTheme="majorEastAsia" w:hAnsi="Times New Roman"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01"/>
  </w:style>
  <w:style w:type="paragraph" w:styleId="Footer">
    <w:name w:val="footer"/>
    <w:basedOn w:val="Normal"/>
    <w:link w:val="FooterChar"/>
    <w:uiPriority w:val="99"/>
    <w:unhideWhenUsed/>
    <w:rsid w:val="00424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D01"/>
  </w:style>
  <w:style w:type="paragraph" w:customStyle="1" w:styleId="Default">
    <w:name w:val="Default"/>
    <w:rsid w:val="002A72C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List Paragraph1,List Paragraph11,Recommendation,bullet point list,1 heading,Bulleted Para,CV text,Dot pt,F5 List Paragraph,FooterText,List Paragraph111,List Paragraph2,Medium Grid 1 - Accent 21,NFP GP Bulleted List,Numbered Paragraph"/>
    <w:basedOn w:val="Normal"/>
    <w:link w:val="ListParagraphChar"/>
    <w:uiPriority w:val="34"/>
    <w:qFormat/>
    <w:rsid w:val="003A1086"/>
    <w:pPr>
      <w:ind w:left="720"/>
      <w:contextualSpacing/>
    </w:pPr>
  </w:style>
  <w:style w:type="table" w:styleId="TableGrid">
    <w:name w:val="Table Grid"/>
    <w:basedOn w:val="TableNormal"/>
    <w:uiPriority w:val="39"/>
    <w:rsid w:val="00A5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7427"/>
    <w:rPr>
      <w:sz w:val="16"/>
      <w:szCs w:val="16"/>
    </w:rPr>
  </w:style>
  <w:style w:type="paragraph" w:styleId="CommentText">
    <w:name w:val="annotation text"/>
    <w:basedOn w:val="Normal"/>
    <w:link w:val="CommentTextChar"/>
    <w:uiPriority w:val="99"/>
    <w:unhideWhenUsed/>
    <w:rsid w:val="00487427"/>
    <w:pPr>
      <w:spacing w:line="240" w:lineRule="auto"/>
    </w:pPr>
    <w:rPr>
      <w:sz w:val="20"/>
      <w:szCs w:val="20"/>
    </w:rPr>
  </w:style>
  <w:style w:type="character" w:customStyle="1" w:styleId="CommentTextChar">
    <w:name w:val="Comment Text Char"/>
    <w:basedOn w:val="DefaultParagraphFont"/>
    <w:link w:val="CommentText"/>
    <w:uiPriority w:val="99"/>
    <w:rsid w:val="00487427"/>
    <w:rPr>
      <w:sz w:val="20"/>
      <w:szCs w:val="20"/>
    </w:rPr>
  </w:style>
  <w:style w:type="paragraph" w:styleId="CommentSubject">
    <w:name w:val="annotation subject"/>
    <w:basedOn w:val="CommentText"/>
    <w:next w:val="CommentText"/>
    <w:link w:val="CommentSubjectChar"/>
    <w:uiPriority w:val="99"/>
    <w:semiHidden/>
    <w:unhideWhenUsed/>
    <w:rsid w:val="00487427"/>
    <w:rPr>
      <w:b/>
      <w:bCs/>
    </w:rPr>
  </w:style>
  <w:style w:type="character" w:customStyle="1" w:styleId="CommentSubjectChar">
    <w:name w:val="Comment Subject Char"/>
    <w:basedOn w:val="CommentTextChar"/>
    <w:link w:val="CommentSubject"/>
    <w:uiPriority w:val="99"/>
    <w:semiHidden/>
    <w:rsid w:val="00487427"/>
    <w:rPr>
      <w:b/>
      <w:bCs/>
      <w:sz w:val="20"/>
      <w:szCs w:val="20"/>
    </w:rPr>
  </w:style>
  <w:style w:type="paragraph" w:styleId="BalloonText">
    <w:name w:val="Balloon Text"/>
    <w:basedOn w:val="Normal"/>
    <w:link w:val="BalloonTextChar"/>
    <w:uiPriority w:val="99"/>
    <w:semiHidden/>
    <w:unhideWhenUsed/>
    <w:rsid w:val="0048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427"/>
    <w:rPr>
      <w:rFonts w:ascii="Segoe UI" w:hAnsi="Segoe UI" w:cs="Segoe UI"/>
      <w:sz w:val="18"/>
      <w:szCs w:val="18"/>
    </w:rPr>
  </w:style>
  <w:style w:type="paragraph" w:styleId="FootnoteText">
    <w:name w:val="footnote text"/>
    <w:basedOn w:val="Normal"/>
    <w:link w:val="FootnoteTextChar"/>
    <w:uiPriority w:val="99"/>
    <w:semiHidden/>
    <w:unhideWhenUsed/>
    <w:rsid w:val="00C804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4AD"/>
    <w:rPr>
      <w:sz w:val="20"/>
      <w:szCs w:val="20"/>
    </w:rPr>
  </w:style>
  <w:style w:type="character" w:styleId="FootnoteReference">
    <w:name w:val="footnote reference"/>
    <w:basedOn w:val="DefaultParagraphFont"/>
    <w:uiPriority w:val="99"/>
    <w:semiHidden/>
    <w:unhideWhenUsed/>
    <w:rsid w:val="00C804AD"/>
    <w:rPr>
      <w:vertAlign w:val="superscript"/>
    </w:rPr>
  </w:style>
  <w:style w:type="character" w:customStyle="1" w:styleId="Heading1Char">
    <w:name w:val="Heading 1 Char"/>
    <w:basedOn w:val="DefaultParagraphFont"/>
    <w:link w:val="Heading1"/>
    <w:uiPriority w:val="9"/>
    <w:rsid w:val="00B115E7"/>
    <w:rPr>
      <w:rFonts w:ascii="Times New Roman" w:eastAsiaTheme="majorEastAsia" w:hAnsi="Times New Roman" w:cstheme="majorBidi"/>
      <w:b/>
      <w:sz w:val="36"/>
      <w:szCs w:val="32"/>
    </w:rPr>
  </w:style>
  <w:style w:type="paragraph" w:styleId="IntenseQuote">
    <w:name w:val="Intense Quote"/>
    <w:basedOn w:val="Normal"/>
    <w:next w:val="Normal"/>
    <w:link w:val="IntenseQuoteChar"/>
    <w:uiPriority w:val="30"/>
    <w:qFormat/>
    <w:rsid w:val="0031211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12110"/>
    <w:rPr>
      <w:i/>
      <w:iCs/>
      <w:color w:val="5B9BD5" w:themeColor="accent1"/>
    </w:rPr>
  </w:style>
  <w:style w:type="character" w:styleId="IntenseEmphasis">
    <w:name w:val="Intense Emphasis"/>
    <w:basedOn w:val="DefaultParagraphFont"/>
    <w:uiPriority w:val="21"/>
    <w:qFormat/>
    <w:rsid w:val="00312110"/>
    <w:rPr>
      <w:i/>
      <w:iCs/>
      <w:color w:val="5B9BD5" w:themeColor="accent1"/>
    </w:rPr>
  </w:style>
  <w:style w:type="paragraph" w:styleId="Subtitle">
    <w:name w:val="Subtitle"/>
    <w:basedOn w:val="Normal"/>
    <w:next w:val="Normal"/>
    <w:link w:val="SubtitleChar"/>
    <w:uiPriority w:val="11"/>
    <w:qFormat/>
    <w:rsid w:val="0031211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12110"/>
    <w:rPr>
      <w:rFonts w:eastAsiaTheme="minorEastAsia"/>
      <w:color w:val="5A5A5A" w:themeColor="text1" w:themeTint="A5"/>
      <w:spacing w:val="15"/>
    </w:rPr>
  </w:style>
  <w:style w:type="paragraph" w:styleId="Revision">
    <w:name w:val="Revision"/>
    <w:hidden/>
    <w:uiPriority w:val="99"/>
    <w:semiHidden/>
    <w:rsid w:val="00C468B4"/>
    <w:pPr>
      <w:spacing w:after="0" w:line="240" w:lineRule="auto"/>
    </w:pPr>
  </w:style>
  <w:style w:type="character" w:customStyle="1" w:styleId="ListParagraphChar">
    <w:name w:val="List Paragraph Char"/>
    <w:aliases w:val="L Char,List Paragraph1 Char,List Paragraph11 Char,Recommendation Char,bullet point list Char,1 heading Char,Bulleted Para Char,CV text Char,Dot pt Char,F5 List Paragraph Char,FooterText Char,List Paragraph111 Char"/>
    <w:link w:val="ListParagraph"/>
    <w:uiPriority w:val="34"/>
    <w:rsid w:val="00356B9E"/>
  </w:style>
  <w:style w:type="character" w:styleId="Emphasis">
    <w:name w:val="Emphasis"/>
    <w:basedOn w:val="DefaultParagraphFont"/>
    <w:uiPriority w:val="20"/>
    <w:qFormat/>
    <w:rsid w:val="00E00256"/>
    <w:rPr>
      <w:i/>
      <w:iCs/>
      <w:sz w:val="24"/>
      <w:szCs w:val="24"/>
      <w:bdr w:val="none" w:sz="0" w:space="0" w:color="auto" w:frame="1"/>
      <w:vertAlign w:val="baseline"/>
    </w:rPr>
  </w:style>
  <w:style w:type="character" w:customStyle="1" w:styleId="Heading2Char">
    <w:name w:val="Heading 2 Char"/>
    <w:basedOn w:val="DefaultParagraphFont"/>
    <w:link w:val="Heading2"/>
    <w:uiPriority w:val="9"/>
    <w:rsid w:val="0047756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5D0BD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507404"/>
    <w:rPr>
      <w:rFonts w:ascii="Times New Roman" w:eastAsiaTheme="majorEastAsia" w:hAnsi="Times New Roman" w:cstheme="majorBidi"/>
      <w:i/>
      <w:iCs/>
    </w:rPr>
  </w:style>
  <w:style w:type="paragraph" w:customStyle="1" w:styleId="Numberlist1">
    <w:name w:val="Number list 1"/>
    <w:basedOn w:val="ListParagraph"/>
    <w:autoRedefine/>
    <w:qFormat/>
    <w:rsid w:val="002D4457"/>
    <w:pPr>
      <w:numPr>
        <w:numId w:val="11"/>
      </w:numPr>
      <w:spacing w:before="120" w:after="120" w:line="240" w:lineRule="auto"/>
      <w:ind w:left="567" w:hanging="567"/>
      <w:contextualSpacing w:val="0"/>
      <w:mirrorIndents/>
    </w:pPr>
    <w:rPr>
      <w:rFonts w:ascii="Calibri" w:eastAsia="Calibri" w:hAnsi="Calibri" w:cs="Times New Roman"/>
    </w:rPr>
  </w:style>
  <w:style w:type="paragraph" w:styleId="ListNumber">
    <w:name w:val="List Number"/>
    <w:basedOn w:val="Normal"/>
    <w:uiPriority w:val="99"/>
    <w:qFormat/>
    <w:rsid w:val="00F1256C"/>
    <w:pPr>
      <w:numPr>
        <w:numId w:val="12"/>
      </w:numPr>
      <w:spacing w:after="200" w:line="276" w:lineRule="auto"/>
    </w:pPr>
    <w:rPr>
      <w:rFonts w:ascii="Arial" w:eastAsia="Calibri" w:hAnsi="Arial" w:cs="Times New Roman"/>
    </w:rPr>
  </w:style>
  <w:style w:type="paragraph" w:styleId="ListNumber2">
    <w:name w:val="List Number 2"/>
    <w:basedOn w:val="Normal"/>
    <w:uiPriority w:val="99"/>
    <w:rsid w:val="00F1256C"/>
    <w:pPr>
      <w:numPr>
        <w:ilvl w:val="1"/>
        <w:numId w:val="12"/>
      </w:numPr>
      <w:spacing w:after="200" w:line="276" w:lineRule="auto"/>
    </w:pPr>
    <w:rPr>
      <w:rFonts w:ascii="Arial" w:eastAsia="Calibri" w:hAnsi="Arial" w:cs="Times New Roman"/>
    </w:rPr>
  </w:style>
  <w:style w:type="paragraph" w:styleId="ListNumber3">
    <w:name w:val="List Number 3"/>
    <w:basedOn w:val="Normal"/>
    <w:uiPriority w:val="99"/>
    <w:rsid w:val="00F1256C"/>
    <w:pPr>
      <w:numPr>
        <w:ilvl w:val="2"/>
        <w:numId w:val="12"/>
      </w:numPr>
      <w:spacing w:after="200" w:line="276" w:lineRule="auto"/>
    </w:pPr>
    <w:rPr>
      <w:rFonts w:ascii="Arial" w:eastAsia="Calibri" w:hAnsi="Arial" w:cs="Times New Roman"/>
    </w:rPr>
  </w:style>
  <w:style w:type="paragraph" w:styleId="ListNumber4">
    <w:name w:val="List Number 4"/>
    <w:basedOn w:val="Normal"/>
    <w:uiPriority w:val="99"/>
    <w:rsid w:val="00F1256C"/>
    <w:pPr>
      <w:numPr>
        <w:ilvl w:val="3"/>
        <w:numId w:val="12"/>
      </w:numPr>
      <w:spacing w:after="200" w:line="276" w:lineRule="auto"/>
    </w:pPr>
    <w:rPr>
      <w:rFonts w:ascii="Arial" w:eastAsia="Calibri" w:hAnsi="Arial" w:cs="Times New Roman"/>
    </w:rPr>
  </w:style>
  <w:style w:type="paragraph" w:styleId="ListNumber5">
    <w:name w:val="List Number 5"/>
    <w:basedOn w:val="Normal"/>
    <w:uiPriority w:val="99"/>
    <w:rsid w:val="00F1256C"/>
    <w:pPr>
      <w:numPr>
        <w:ilvl w:val="4"/>
        <w:numId w:val="12"/>
      </w:numPr>
      <w:spacing w:after="200" w:line="276" w:lineRule="auto"/>
    </w:pPr>
    <w:rPr>
      <w:rFonts w:ascii="Arial" w:eastAsia="Calibri" w:hAnsi="Arial" w:cs="Times New Roman"/>
    </w:rPr>
  </w:style>
  <w:style w:type="paragraph" w:customStyle="1" w:styleId="background">
    <w:name w:val="background"/>
    <w:basedOn w:val="ListBullet"/>
    <w:link w:val="backgroundChar"/>
    <w:rsid w:val="009657DD"/>
    <w:pPr>
      <w:spacing w:before="120" w:after="120" w:line="240" w:lineRule="auto"/>
      <w:contextualSpacing w:val="0"/>
    </w:pPr>
    <w:rPr>
      <w:rFonts w:asciiTheme="majorHAnsi" w:hAnsiTheme="majorHAnsi"/>
      <w:color w:val="58595B"/>
      <w:kern w:val="20"/>
      <w:sz w:val="24"/>
      <w:lang w:val="en-US" w:eastAsia="ja-JP"/>
    </w:rPr>
  </w:style>
  <w:style w:type="character" w:customStyle="1" w:styleId="backgroundChar">
    <w:name w:val="background Char"/>
    <w:basedOn w:val="DefaultParagraphFont"/>
    <w:link w:val="background"/>
    <w:rsid w:val="009657DD"/>
    <w:rPr>
      <w:rFonts w:asciiTheme="majorHAnsi" w:hAnsiTheme="majorHAnsi"/>
      <w:color w:val="58595B"/>
      <w:kern w:val="20"/>
      <w:sz w:val="24"/>
      <w:lang w:val="en-US" w:eastAsia="ja-JP"/>
    </w:rPr>
  </w:style>
  <w:style w:type="paragraph" w:styleId="ListBullet">
    <w:name w:val="List Bullet"/>
    <w:basedOn w:val="Normal"/>
    <w:uiPriority w:val="99"/>
    <w:semiHidden/>
    <w:unhideWhenUsed/>
    <w:rsid w:val="009657DD"/>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16248">
      <w:bodyDiv w:val="1"/>
      <w:marLeft w:val="0"/>
      <w:marRight w:val="0"/>
      <w:marTop w:val="0"/>
      <w:marBottom w:val="0"/>
      <w:divBdr>
        <w:top w:val="none" w:sz="0" w:space="0" w:color="auto"/>
        <w:left w:val="none" w:sz="0" w:space="0" w:color="auto"/>
        <w:bottom w:val="none" w:sz="0" w:space="0" w:color="auto"/>
        <w:right w:val="none" w:sz="0" w:space="0" w:color="auto"/>
      </w:divBdr>
    </w:div>
    <w:div w:id="1101611892">
      <w:bodyDiv w:val="1"/>
      <w:marLeft w:val="0"/>
      <w:marRight w:val="0"/>
      <w:marTop w:val="0"/>
      <w:marBottom w:val="0"/>
      <w:divBdr>
        <w:top w:val="none" w:sz="0" w:space="0" w:color="auto"/>
        <w:left w:val="none" w:sz="0" w:space="0" w:color="auto"/>
        <w:bottom w:val="none" w:sz="0" w:space="0" w:color="auto"/>
        <w:right w:val="none" w:sz="0" w:space="0" w:color="auto"/>
      </w:divBdr>
    </w:div>
    <w:div w:id="1662344504">
      <w:bodyDiv w:val="1"/>
      <w:marLeft w:val="0"/>
      <w:marRight w:val="0"/>
      <w:marTop w:val="0"/>
      <w:marBottom w:val="0"/>
      <w:divBdr>
        <w:top w:val="none" w:sz="0" w:space="0" w:color="auto"/>
        <w:left w:val="none" w:sz="0" w:space="0" w:color="auto"/>
        <w:bottom w:val="none" w:sz="0" w:space="0" w:color="auto"/>
        <w:right w:val="none" w:sz="0" w:space="0" w:color="auto"/>
      </w:divBdr>
      <w:divsChild>
        <w:div w:id="1855799600">
          <w:marLeft w:val="0"/>
          <w:marRight w:val="0"/>
          <w:marTop w:val="0"/>
          <w:marBottom w:val="0"/>
          <w:divBdr>
            <w:top w:val="none" w:sz="0" w:space="0" w:color="auto"/>
            <w:left w:val="none" w:sz="0" w:space="0" w:color="auto"/>
            <w:bottom w:val="none" w:sz="0" w:space="0" w:color="auto"/>
            <w:right w:val="none" w:sz="0" w:space="0" w:color="auto"/>
          </w:divBdr>
          <w:divsChild>
            <w:div w:id="1520659686">
              <w:marLeft w:val="0"/>
              <w:marRight w:val="0"/>
              <w:marTop w:val="0"/>
              <w:marBottom w:val="0"/>
              <w:divBdr>
                <w:top w:val="none" w:sz="0" w:space="0" w:color="auto"/>
                <w:left w:val="none" w:sz="0" w:space="0" w:color="auto"/>
                <w:bottom w:val="none" w:sz="0" w:space="0" w:color="auto"/>
                <w:right w:val="none" w:sz="0" w:space="0" w:color="auto"/>
              </w:divBdr>
              <w:divsChild>
                <w:div w:id="820079429">
                  <w:marLeft w:val="0"/>
                  <w:marRight w:val="0"/>
                  <w:marTop w:val="0"/>
                  <w:marBottom w:val="0"/>
                  <w:divBdr>
                    <w:top w:val="none" w:sz="0" w:space="0" w:color="auto"/>
                    <w:left w:val="none" w:sz="0" w:space="0" w:color="auto"/>
                    <w:bottom w:val="none" w:sz="0" w:space="0" w:color="auto"/>
                    <w:right w:val="none" w:sz="0" w:space="0" w:color="auto"/>
                  </w:divBdr>
                  <w:divsChild>
                    <w:div w:id="1941714185">
                      <w:marLeft w:val="0"/>
                      <w:marRight w:val="0"/>
                      <w:marTop w:val="0"/>
                      <w:marBottom w:val="0"/>
                      <w:divBdr>
                        <w:top w:val="none" w:sz="0" w:space="0" w:color="auto"/>
                        <w:left w:val="none" w:sz="0" w:space="0" w:color="auto"/>
                        <w:bottom w:val="none" w:sz="0" w:space="0" w:color="auto"/>
                        <w:right w:val="none" w:sz="0" w:space="0" w:color="auto"/>
                      </w:divBdr>
                      <w:divsChild>
                        <w:div w:id="1407537514">
                          <w:marLeft w:val="0"/>
                          <w:marRight w:val="0"/>
                          <w:marTop w:val="0"/>
                          <w:marBottom w:val="0"/>
                          <w:divBdr>
                            <w:top w:val="none" w:sz="0" w:space="0" w:color="auto"/>
                            <w:left w:val="none" w:sz="0" w:space="0" w:color="auto"/>
                            <w:bottom w:val="none" w:sz="0" w:space="0" w:color="auto"/>
                            <w:right w:val="none" w:sz="0" w:space="0" w:color="auto"/>
                          </w:divBdr>
                          <w:divsChild>
                            <w:div w:id="942344838">
                              <w:marLeft w:val="0"/>
                              <w:marRight w:val="0"/>
                              <w:marTop w:val="0"/>
                              <w:marBottom w:val="0"/>
                              <w:divBdr>
                                <w:top w:val="none" w:sz="0" w:space="0" w:color="auto"/>
                                <w:left w:val="none" w:sz="0" w:space="0" w:color="auto"/>
                                <w:bottom w:val="none" w:sz="0" w:space="0" w:color="auto"/>
                                <w:right w:val="none" w:sz="0" w:space="0" w:color="auto"/>
                              </w:divBdr>
                              <w:divsChild>
                                <w:div w:id="1553812593">
                                  <w:marLeft w:val="0"/>
                                  <w:marRight w:val="0"/>
                                  <w:marTop w:val="0"/>
                                  <w:marBottom w:val="0"/>
                                  <w:divBdr>
                                    <w:top w:val="none" w:sz="0" w:space="0" w:color="auto"/>
                                    <w:left w:val="none" w:sz="0" w:space="0" w:color="auto"/>
                                    <w:bottom w:val="none" w:sz="0" w:space="0" w:color="auto"/>
                                    <w:right w:val="none" w:sz="0" w:space="0" w:color="auto"/>
                                  </w:divBdr>
                                  <w:divsChild>
                                    <w:div w:id="21053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26de360fc5e40c78d93b560b6cc664b xmlns="76c08405-89e9-4c57-a585-b31d7bded94b">
      <Terms xmlns="http://schemas.microsoft.com/office/infopath/2007/PartnerControls"/>
    </f26de360fc5e40c78d93b560b6cc664b>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Senate Inquiry</TermName>
          <TermId>d21074c9-1461-4654-993c-6bec2fa6b792</TermId>
        </TermInfo>
      </Term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Response</TermName>
          <TermId>7897ed89-a3ff-48a8-b822-42f8261dd490</TermId>
        </TermInfo>
      </Terms>
    </pe2555c81638466f9eb614edb9ecde52>
    <n99e4c9942c6404eb103464a00e6097b xmlns="76c08405-89e9-4c57-a585-b31d7bded94b">
      <Terms xmlns="http://schemas.microsoft.com/office/infopath/2007/PartnerControls"/>
    </n99e4c9942c6404eb103464a00e6097b>
    <IconOverlay xmlns="http://schemas.microsoft.com/sharepoint/v4" xsi:nil="true"/>
    <TaxCatchAll xmlns="76c08405-89e9-4c57-a585-b31d7bded94b">
      <Value>365</Value>
      <Value>576</Value>
      <Value>1</Value>
    </TaxCatchAll>
    <d34056e35d444dee82a795b7b19350c2 xmlns="76c08405-89e9-4c57-a585-b31d7bded94b">
      <Terms xmlns="http://schemas.microsoft.com/office/infopath/2007/PartnerControls"/>
    </d34056e35d444dee82a795b7b19350c2>
    <g7bcb40ba23249a78edca7d43a67c1c9 xmlns="76c08405-89e9-4c57-a585-b31d7bded94b">
      <Terms xmlns="http://schemas.microsoft.com/office/infopath/2007/PartnerControls"/>
    </g7bcb40ba23249a78edca7d43a67c1c9>
    <g04c65e7758e4a9bb076ed3b2f3b54e3 xmlns="76c08405-89e9-4c57-a585-b31d7bded94b">
      <Terms xmlns="http://schemas.microsoft.com/office/infopath/2007/PartnerControls"/>
    </g04c65e7758e4a9bb076ed3b2f3b54e3>
    <d8e408ae2551469fa177069ace196e9c xmlns="76c08405-89e9-4c57-a585-b31d7bded94b">
      <Terms xmlns="http://schemas.microsoft.com/office/infopath/2007/PartnerControls"/>
    </d8e408ae2551469fa177069ace196e9c>
    <DocHub_Jurisdiction xmlns="76c08405-89e9-4c57-a585-b31d7bded94b" xsi:nil="true"/>
    <Comments xmlns="http://schemas.microsoft.com/sharepoint/v3" xsi:nil="true"/>
    <_dlc_DocId xmlns="76c08405-89e9-4c57-a585-b31d7bded94b">P77SRJCMCQEC-285455694-1335</_dlc_DocId>
    <_dlc_DocIdUrl xmlns="76c08405-89e9-4c57-a585-b31d7bded94b">
      <Url>https://dochub/div/resources/businessfunctions/offshoreresources/environmentsafetysecurity/safetyindustrial/_layouts/15/DocIdRedir.aspx?ID=P77SRJCMCQEC-285455694-1335</Url>
      <Description>P77SRJCMCQEC-285455694-1335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385E993EE08846A450E9B6D1FA8A77" ma:contentTypeVersion="29" ma:contentTypeDescription="Create a new document." ma:contentTypeScope="" ma:versionID="08ff6d7af4261eac662a0187e26c1786">
  <xsd:schema xmlns:xsd="http://www.w3.org/2001/XMLSchema" xmlns:xs="http://www.w3.org/2001/XMLSchema" xmlns:p="http://schemas.microsoft.com/office/2006/metadata/properties" xmlns:ns1="http://schemas.microsoft.com/sharepoint/v3" xmlns:ns2="76c08405-89e9-4c57-a585-b31d7bded94b" xmlns:ns3="http://schemas.microsoft.com/sharepoint/v4" targetNamespace="http://schemas.microsoft.com/office/2006/metadata/properties" ma:root="true" ma:fieldsID="5936fcda36606b134acbf5b2dedf0c7d" ns1:_="" ns2:_="" ns3:_="">
    <xsd:import namespace="http://schemas.microsoft.com/sharepoint/v3"/>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04c65e7758e4a9bb076ed3b2f3b54e3" minOccurs="0"/>
                <xsd:element ref="ns2:g7cee4c3f49f4a8d957fe196d6fcc5b5" minOccurs="0"/>
                <xsd:element ref="ns2:DocHub_Jurisdiction" minOccurs="0"/>
                <xsd:element ref="ns2:d34056e35d444dee82a795b7b19350c2" minOccurs="0"/>
                <xsd:element ref="ns2:d8e408ae2551469fa177069ace196e9c" minOccurs="0"/>
                <xsd:element ref="ns2:f26de360fc5e40c78d93b560b6cc664b" minOccurs="0"/>
                <xsd:element ref="ns2:e63cd534a94446d68abe1904a0bcdfb2"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04c65e7758e4a9bb076ed3b2f3b54e3" ma:index="22" nillable="true" ma:taxonomy="true" ma:internalName="g04c65e7758e4a9bb076ed3b2f3b54e3" ma:taxonomyFieldName="DocHub_EnergyMineralResources" ma:displayName="Energy / Mineral Resources" ma:fieldId="{004c65e7-758e-4a9b-b076-ed3b2f3b54e3}" ma:taxonomyMulti="true" ma:sspId="fb0313f7-9433-48c0-866e-9e0bbee59a50" ma:termSetId="04ad5cb7-9a30-443d-bd7a-a524a8ff2361" ma:anchorId="00000000-0000-0000-0000-000000000000" ma:open="true" ma:isKeyword="false">
      <xsd:complexType>
        <xsd:sequence>
          <xsd:element ref="pc:Terms" minOccurs="0" maxOccurs="1"/>
        </xsd:sequence>
      </xsd:complexType>
    </xsd:element>
    <xsd:element name="g7cee4c3f49f4a8d957fe196d6fcc5b5" ma:index="24"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ocHub_Jurisdiction" ma:index="25" nillable="true" ma:displayName="Jurisdiction" ma:description="Scope to which authority extends or to which the item relates (Domestic / International / Cross-Jurisdiction)" ma:format="Dropdown" ma:internalName="DocHub_Jurisdiction">
      <xsd:simpleType>
        <xsd:restriction base="dms:Choice">
          <xsd:enumeration value="Domestic"/>
          <xsd:enumeration value="International"/>
          <xsd:enumeration value="Cross-Jurisdiction"/>
        </xsd:restriction>
      </xsd:simpleType>
    </xsd:element>
    <xsd:element name="d34056e35d444dee82a795b7b19350c2" ma:index="27"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8e408ae2551469fa177069ace196e9c" ma:index="29" nillable="true" ma:taxonomy="true" ma:internalName="d8e408ae2551469fa177069ace196e9c" ma:taxonomyFieldName="DocHub_RegionCountry" ma:displayName="Region / Country" ma:fieldId="{d8e408ae-2551-469f-a177-069ace196e9c}" ma:sspId="fb0313f7-9433-48c0-866e-9e0bbee59a50" ma:termSetId="dfb3c815-0d58-4d79-855d-8ebb6c91cf6d" ma:anchorId="00000000-0000-0000-0000-000000000000" ma:open="false" ma:isKeyword="false">
      <xsd:complexType>
        <xsd:sequence>
          <xsd:element ref="pc:Terms" minOccurs="0" maxOccurs="1"/>
        </xsd:sequence>
      </xsd:complexType>
    </xsd:element>
    <xsd:element name="f26de360fc5e40c78d93b560b6cc664b" ma:index="31"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e63cd534a94446d68abe1904a0bcdfb2" ma:index="33"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97B86-75A8-4A00-929B-4CC51C6F9126}">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76c08405-89e9-4c57-a585-b31d7bded94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2B7EB9A-2DF2-4E8E-BF71-D5A93161013C}">
  <ds:schemaRefs>
    <ds:schemaRef ds:uri="http://schemas.microsoft.com/sharepoint/events"/>
  </ds:schemaRefs>
</ds:datastoreItem>
</file>

<file path=customXml/itemProps3.xml><?xml version="1.0" encoding="utf-8"?>
<ds:datastoreItem xmlns:ds="http://schemas.openxmlformats.org/officeDocument/2006/customXml" ds:itemID="{EEA457EF-91CF-411B-8A4E-88C9B2C9718F}">
  <ds:schemaRefs>
    <ds:schemaRef ds:uri="http://schemas.microsoft.com/sharepoint/v3/contenttype/forms"/>
  </ds:schemaRefs>
</ds:datastoreItem>
</file>

<file path=customXml/itemProps4.xml><?xml version="1.0" encoding="utf-8"?>
<ds:datastoreItem xmlns:ds="http://schemas.openxmlformats.org/officeDocument/2006/customXml" ds:itemID="{20B8DD16-539A-4F54-AABC-995A1A0F1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941ACE-7A75-440D-B1A3-7959ABEC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2167</Words>
  <Characters>12355</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Artup, Grace</dc:creator>
  <cp:keywords/>
  <dc:description/>
  <cp:lastModifiedBy>Francis, Sophie</cp:lastModifiedBy>
  <cp:revision>6</cp:revision>
  <cp:lastPrinted>2017-07-30T22:55:00Z</cp:lastPrinted>
  <dcterms:created xsi:type="dcterms:W3CDTF">2019-01-06T22:51:00Z</dcterms:created>
  <dcterms:modified xsi:type="dcterms:W3CDTF">2019-02-05T21:07:00Z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0x01010017385E993EE08846A450E9B6D1FA8A77</vt:lpwstr>
  </property>
  <property fmtid="{D5CDD505-2E9C-101B-9397-08002B2CF9AE}" pid="3" name="_dlc_DocIdItemGuid">
    <vt:lpwstr>db56cd2a-5c17-458e-9f73-c8b848087636</vt:lpwstr>
  </property>
  <property fmtid="{D5CDD505-2E9C-101B-9397-08002B2CF9AE}" pid="4" name="DocHub_Year">
    <vt:lpwstr/>
  </property>
  <property fmtid="{D5CDD505-2E9C-101B-9397-08002B2CF9AE}" pid="5" name="DocHub_RegionCountry">
    <vt:lpwstr/>
  </property>
  <property fmtid="{D5CDD505-2E9C-101B-9397-08002B2CF9AE}" pid="6" name="DocHub_DocumentType">
    <vt:lpwstr>576;#Response|7897ed89-a3ff-48a8-b822-42f8261dd490</vt:lpwstr>
  </property>
  <property fmtid="{D5CDD505-2E9C-101B-9397-08002B2CF9AE}" pid="7" name="DocHub_GroupsOtherEntities">
    <vt:lpwstr/>
  </property>
  <property fmtid="{D5CDD505-2E9C-101B-9397-08002B2CF9AE}" pid="8" name="DocHub_MineName">
    <vt:lpwstr/>
  </property>
  <property fmtid="{D5CDD505-2E9C-101B-9397-08002B2CF9AE}" pid="9" name="DocHub_SecurityClassification">
    <vt:lpwstr>1;#UNCLASSIFIED|6106d03b-a1a0-4e30-9d91-d5e9fb4314f9</vt:lpwstr>
  </property>
  <property fmtid="{D5CDD505-2E9C-101B-9397-08002B2CF9AE}" pid="10" name="DocHub_GovernmentEntities">
    <vt:lpwstr/>
  </property>
  <property fmtid="{D5CDD505-2E9C-101B-9397-08002B2CF9AE}" pid="11" name="DocHub_OrganisationEntities">
    <vt:lpwstr/>
  </property>
  <property fmtid="{D5CDD505-2E9C-101B-9397-08002B2CF9AE}" pid="12" name="DocHub_WorkActivity">
    <vt:lpwstr/>
  </property>
  <property fmtid="{D5CDD505-2E9C-101B-9397-08002B2CF9AE}" pid="13" name="DocHub_WorkTopic">
    <vt:lpwstr>365;#Senate Inquiry|d21074c9-1461-4654-993c-6bec2fa6b792</vt:lpwstr>
  </property>
  <property fmtid="{D5CDD505-2E9C-101B-9397-08002B2CF9AE}" pid="14" name="DocHub_EnergyMineralResources">
    <vt:lpwstr/>
  </property>
  <property fmtid="{D5CDD505-2E9C-101B-9397-08002B2CF9AE}" pid="15" name="DocHub_Keywords">
    <vt:lpwstr/>
  </property>
  <property fmtid="{D5CDD505-2E9C-101B-9397-08002B2CF9AE}" pid="16" name="DocHub_State">
    <vt:lpwstr/>
  </property>
  <property fmtid="{D5CDD505-2E9C-101B-9397-08002B2CF9AE}" pid="17" name="Objective-Id">
    <vt:lpwstr>A560452</vt:lpwstr>
  </property>
  <property fmtid="{D5CDD505-2E9C-101B-9397-08002B2CF9AE}" pid="18" name="Objective-Title">
    <vt:lpwstr>Response - Australian Government response to the Environment and Communications References Committee Report - NOPSEMA comment</vt:lpwstr>
  </property>
  <property fmtid="{D5CDD505-2E9C-101B-9397-08002B2CF9AE}" pid="19" name="Objective-Comment">
    <vt:lpwstr/>
  </property>
  <property fmtid="{D5CDD505-2E9C-101B-9397-08002B2CF9AE}" pid="20" name="Objective-CreationStamp">
    <vt:filetime>2017-07-12T07:45:53Z</vt:filetime>
  </property>
  <property fmtid="{D5CDD505-2E9C-101B-9397-08002B2CF9AE}" pid="21" name="Objective-IsApproved">
    <vt:bool>false</vt:bool>
  </property>
  <property fmtid="{D5CDD505-2E9C-101B-9397-08002B2CF9AE}" pid="22" name="Objective-IsPublished">
    <vt:bool>true</vt:bool>
  </property>
  <property fmtid="{D5CDD505-2E9C-101B-9397-08002B2CF9AE}" pid="23" name="Objective-DatePublished">
    <vt:filetime>2017-07-13T09:34:23Z</vt:filetime>
  </property>
  <property fmtid="{D5CDD505-2E9C-101B-9397-08002B2CF9AE}" pid="24" name="Objective-ModificationStamp">
    <vt:filetime>2017-07-13T09:34:23Z</vt:filetime>
  </property>
  <property fmtid="{D5CDD505-2E9C-101B-9397-08002B2CF9AE}" pid="25" name="Objective-Owner">
    <vt:lpwstr>Owen Wilson</vt:lpwstr>
  </property>
  <property fmtid="{D5CDD505-2E9C-101B-9397-08002B2CF9AE}" pid="26" name="Objective-Path">
    <vt:lpwstr>Objective Global Folder:File Plan:Interagency Co-ordination and Relations:Inquiries:Inquiries directly related to NOPSEMA's functions:Senate Standing Committee on Environment and Communications Inquiry - Oil or Gas Production in the Great Australian Bight</vt:lpwstr>
  </property>
  <property fmtid="{D5CDD505-2E9C-101B-9397-08002B2CF9AE}" pid="27" name="Objective-Parent">
    <vt:lpwstr>Senate Standing Committee on Environment and Communications Inquiry - Oil or Gas Production in the Great Australian Bight</vt:lpwstr>
  </property>
  <property fmtid="{D5CDD505-2E9C-101B-9397-08002B2CF9AE}" pid="28" name="Objective-State">
    <vt:lpwstr>Published</vt:lpwstr>
  </property>
  <property fmtid="{D5CDD505-2E9C-101B-9397-08002B2CF9AE}" pid="29" name="Objective-Version">
    <vt:lpwstr>2.0</vt:lpwstr>
  </property>
  <property fmtid="{D5CDD505-2E9C-101B-9397-08002B2CF9AE}" pid="30" name="Objective-VersionNumber">
    <vt:r8>4</vt:r8>
  </property>
  <property fmtid="{D5CDD505-2E9C-101B-9397-08002B2CF9AE}" pid="31" name="Objective-VersionComment">
    <vt:lpwstr/>
  </property>
  <property fmtid="{D5CDD505-2E9C-101B-9397-08002B2CF9AE}" pid="32" name="Objective-FileNumber">
    <vt:lpwstr>C13116</vt:lpwstr>
  </property>
  <property fmtid="{D5CDD505-2E9C-101B-9397-08002B2CF9AE}" pid="33" name="Objective-Classification">
    <vt:lpwstr>[Inherited - none]</vt:lpwstr>
  </property>
  <property fmtid="{D5CDD505-2E9C-101B-9397-08002B2CF9AE}" pid="34" name="Objective-Caveats">
    <vt:lpwstr/>
  </property>
  <property fmtid="{D5CDD505-2E9C-101B-9397-08002B2CF9AE}" pid="35" name="Objective-DLM [system]">
    <vt:lpwstr/>
  </property>
  <property fmtid="{D5CDD505-2E9C-101B-9397-08002B2CF9AE}" pid="36" name="Objective-Internal Author [system]">
    <vt:lpwstr>Owen Wilson</vt:lpwstr>
  </property>
  <property fmtid="{D5CDD505-2E9C-101B-9397-08002B2CF9AE}" pid="37" name="Objective-Addressee [system]">
    <vt:lpwstr/>
  </property>
  <property fmtid="{D5CDD505-2E9C-101B-9397-08002B2CF9AE}" pid="38" name="Objective-Date Sent [system]">
    <vt:lpwstr/>
  </property>
  <property fmtid="{D5CDD505-2E9C-101B-9397-08002B2CF9AE}" pid="39" name="Objective-Sent By [system]">
    <vt:lpwstr/>
  </property>
  <property fmtid="{D5CDD505-2E9C-101B-9397-08002B2CF9AE}" pid="40" name="Objective-Duty Holders and Organisations [system]">
    <vt:lpwstr/>
  </property>
  <property fmtid="{D5CDD505-2E9C-101B-9397-08002B2CF9AE}" pid="41" name="Objective-Facility [system]">
    <vt:lpwstr/>
  </property>
  <property fmtid="{D5CDD505-2E9C-101B-9397-08002B2CF9AE}" pid="42" name="Objective-RMS ID [system]">
    <vt:lpwstr/>
  </property>
  <property fmtid="{D5CDD505-2E9C-101B-9397-08002B2CF9AE}" pid="43" name="Objective-Reply To [system]">
    <vt:lpwstr/>
  </property>
  <property fmtid="{D5CDD505-2E9C-101B-9397-08002B2CF9AE}" pid="44" name="Objective-External Reference [system]">
    <vt:lpwstr/>
  </property>
  <property fmtid="{D5CDD505-2E9C-101B-9397-08002B2CF9AE}" pid="45" name="Objective-RMS Tags [system]">
    <vt:lpwstr/>
  </property>
  <property fmtid="{D5CDD505-2E9C-101B-9397-08002B2CF9AE}" pid="46" name="Objective-Regulatory Object [system]">
    <vt:lpwstr/>
  </property>
  <property fmtid="{D5CDD505-2E9C-101B-9397-08002B2CF9AE}" pid="47" name="Objective-Regulatory Object RMS ID [system]">
    <vt:lpwstr/>
  </property>
  <property fmtid="{D5CDD505-2E9C-101B-9397-08002B2CF9AE}" pid="48" name="Objective-Organisation [system]">
    <vt:lpwstr/>
  </property>
  <property fmtid="{D5CDD505-2E9C-101B-9397-08002B2CF9AE}" pid="49" name="Objective-Signature Authorisation Number (SAN) [system]">
    <vt:lpwstr/>
  </property>
  <property fmtid="{D5CDD505-2E9C-101B-9397-08002B2CF9AE}" pid="50" name="Objective-Signing Officer [system]">
    <vt:lpwstr/>
  </property>
  <property fmtid="{D5CDD505-2E9C-101B-9397-08002B2CF9AE}" pid="51" name="DocHub_DepartmentalDivisions">
    <vt:lpwstr>1476;#Resources|6d7a055f-538e-4ee9-898b-2d8af6f97e4f</vt:lpwstr>
  </property>
  <property fmtid="{D5CDD505-2E9C-101B-9397-08002B2CF9AE}" pid="52" name="DocHub_Month">
    <vt:lpwstr/>
  </property>
  <property fmtid="{D5CDD505-2E9C-101B-9397-08002B2CF9AE}" pid="53" name="DocHub_BriefingCorrespondenceType">
    <vt:lpwstr/>
  </property>
</Properties>
</file>