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00AA9" w14:textId="6B1D4E4F" w:rsidR="00DE3B81" w:rsidRPr="00AC6FC6" w:rsidRDefault="00DE3B81" w:rsidP="003A4BEB">
      <w:pPr>
        <w:spacing w:before="1600"/>
        <w:jc w:val="center"/>
        <w:rPr>
          <w:rFonts w:ascii="Times New Roman" w:hAnsi="Times New Roman"/>
          <w:sz w:val="36"/>
        </w:rPr>
      </w:pPr>
      <w:r w:rsidRPr="00AC6FC6">
        <w:rPr>
          <w:rFonts w:ascii="Times New Roman" w:hAnsi="Times New Roman"/>
          <w:noProof/>
          <w:sz w:val="36"/>
          <w:lang w:eastAsia="en-AU"/>
        </w:rPr>
        <w:drawing>
          <wp:inline distT="0" distB="0" distL="0" distR="0" wp14:anchorId="5E5220C3" wp14:editId="0E291286">
            <wp:extent cx="2466975" cy="1371600"/>
            <wp:effectExtent l="0" t="0" r="9525"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70D064EB" w14:textId="1F2EFC51" w:rsidR="00E426D9" w:rsidRPr="00D24F3F" w:rsidRDefault="007B0674" w:rsidP="003A4BEB">
      <w:pPr>
        <w:pStyle w:val="Heading1"/>
      </w:pPr>
      <w:r w:rsidRPr="00AC6FC6">
        <w:t xml:space="preserve">Australian </w:t>
      </w:r>
      <w:r w:rsidRPr="003A4BEB">
        <w:t>Government</w:t>
      </w:r>
      <w:r w:rsidRPr="00AC6FC6">
        <w:t xml:space="preserve"> response to the</w:t>
      </w:r>
      <w:r w:rsidR="003A4BEB">
        <w:t xml:space="preserve"> </w:t>
      </w:r>
      <w:r w:rsidR="003A4BEB">
        <w:br/>
      </w:r>
      <w:r w:rsidRPr="00AC6FC6">
        <w:t>Senate Economics References Committee Report:</w:t>
      </w:r>
      <w:r w:rsidR="003A4BEB">
        <w:br/>
      </w:r>
      <w:r w:rsidR="003A4BEB">
        <w:br/>
      </w:r>
      <w:r w:rsidRPr="00AC6FC6">
        <w:t>Australia’s steel industry: forging ahead</w:t>
      </w:r>
    </w:p>
    <w:p w14:paraId="1A0F7DCD" w14:textId="53533BA2" w:rsidR="003A4BEB" w:rsidRDefault="00E85F22" w:rsidP="003A4BEB">
      <w:pPr>
        <w:spacing w:before="46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February 2019</w:t>
      </w:r>
      <w:r w:rsidR="003A4BEB">
        <w:rPr>
          <w:rFonts w:ascii="Times New Roman" w:eastAsia="Times New Roman" w:hAnsi="Times New Roman" w:cs="Times New Roman"/>
          <w:sz w:val="28"/>
          <w:szCs w:val="28"/>
        </w:rPr>
        <w:br w:type="page"/>
      </w:r>
    </w:p>
    <w:p w14:paraId="33784148" w14:textId="00DD1436" w:rsidR="007B0674" w:rsidRPr="00A9154A" w:rsidRDefault="00B7425E" w:rsidP="00B22765">
      <w:pPr>
        <w:pStyle w:val="Heading2"/>
        <w:rPr>
          <w:b w:val="0"/>
        </w:rPr>
      </w:pPr>
      <w:r w:rsidRPr="00A9154A">
        <w:lastRenderedPageBreak/>
        <w:t xml:space="preserve">Australian </w:t>
      </w:r>
      <w:r w:rsidR="007B0674" w:rsidRPr="00A9154A">
        <w:t>Government Response</w:t>
      </w:r>
    </w:p>
    <w:p w14:paraId="7F0766AD" w14:textId="3449E9CE" w:rsidR="00B32DCB" w:rsidRPr="00AB5E04" w:rsidRDefault="00B32DCB" w:rsidP="00B32DCB">
      <w:pPr>
        <w:rPr>
          <w:rFonts w:ascii="Times New Roman" w:hAnsi="Times New Roman" w:cs="Times New Roman"/>
        </w:rPr>
      </w:pPr>
      <w:r w:rsidRPr="00AB5E04">
        <w:rPr>
          <w:rFonts w:ascii="Times New Roman" w:hAnsi="Times New Roman" w:cs="Times New Roman"/>
        </w:rPr>
        <w:t xml:space="preserve">The Australian Government </w:t>
      </w:r>
      <w:r w:rsidR="00EA029F" w:rsidRPr="00AB5E04">
        <w:rPr>
          <w:rFonts w:ascii="Times New Roman" w:hAnsi="Times New Roman" w:cs="Times New Roman"/>
        </w:rPr>
        <w:t>(</w:t>
      </w:r>
      <w:r w:rsidR="00904AD2" w:rsidRPr="00AB5E04">
        <w:rPr>
          <w:rFonts w:ascii="Times New Roman" w:hAnsi="Times New Roman" w:cs="Times New Roman"/>
        </w:rPr>
        <w:t xml:space="preserve">the </w:t>
      </w:r>
      <w:r w:rsidR="00EA029F" w:rsidRPr="00AB5E04">
        <w:rPr>
          <w:rFonts w:ascii="Times New Roman" w:hAnsi="Times New Roman" w:cs="Times New Roman"/>
        </w:rPr>
        <w:t xml:space="preserve">Government) </w:t>
      </w:r>
      <w:r w:rsidR="002B1C74" w:rsidRPr="00AB5E04">
        <w:rPr>
          <w:rFonts w:ascii="Times New Roman" w:hAnsi="Times New Roman" w:cs="Times New Roman"/>
        </w:rPr>
        <w:t xml:space="preserve">recognises </w:t>
      </w:r>
      <w:r w:rsidRPr="00AB5E04">
        <w:rPr>
          <w:rFonts w:ascii="Times New Roman" w:hAnsi="Times New Roman" w:cs="Times New Roman"/>
        </w:rPr>
        <w:t xml:space="preserve">the important role the steel industry plays in supporting the Australian economy and the challenges it is experiencing, including pressure from low prices impacted by global </w:t>
      </w:r>
      <w:r w:rsidR="00C167F5">
        <w:rPr>
          <w:rFonts w:ascii="Times New Roman" w:hAnsi="Times New Roman" w:cs="Times New Roman"/>
        </w:rPr>
        <w:t xml:space="preserve">excess </w:t>
      </w:r>
      <w:r w:rsidRPr="00AB5E04">
        <w:rPr>
          <w:rFonts w:ascii="Times New Roman" w:hAnsi="Times New Roman" w:cs="Times New Roman"/>
        </w:rPr>
        <w:t xml:space="preserve">capacity. </w:t>
      </w:r>
    </w:p>
    <w:p w14:paraId="23E5119D" w14:textId="5D97DAB5" w:rsidR="00E30058" w:rsidRPr="00AB5E04" w:rsidRDefault="00E30058" w:rsidP="00F00053">
      <w:pPr>
        <w:rPr>
          <w:rFonts w:ascii="Times New Roman" w:hAnsi="Times New Roman" w:cs="Times New Roman"/>
        </w:rPr>
      </w:pPr>
      <w:r w:rsidRPr="00AB5E04">
        <w:rPr>
          <w:rFonts w:ascii="Times New Roman" w:hAnsi="Times New Roman" w:cs="Times New Roman"/>
        </w:rPr>
        <w:t xml:space="preserve">In </w:t>
      </w:r>
      <w:r w:rsidR="00CA10F0">
        <w:rPr>
          <w:rFonts w:ascii="Times New Roman" w:hAnsi="Times New Roman" w:cs="Times New Roman"/>
        </w:rPr>
        <w:t>2017-18</w:t>
      </w:r>
      <w:r w:rsidRPr="00AB5E04">
        <w:rPr>
          <w:rFonts w:ascii="Times New Roman" w:hAnsi="Times New Roman" w:cs="Times New Roman"/>
        </w:rPr>
        <w:t>, Australia produced 5.</w:t>
      </w:r>
      <w:r w:rsidR="00CA10F0">
        <w:rPr>
          <w:rFonts w:ascii="Times New Roman" w:hAnsi="Times New Roman" w:cs="Times New Roman"/>
        </w:rPr>
        <w:t>7</w:t>
      </w:r>
      <w:r w:rsidRPr="00AB5E04">
        <w:rPr>
          <w:rFonts w:ascii="Times New Roman" w:hAnsi="Times New Roman" w:cs="Times New Roman"/>
        </w:rPr>
        <w:t xml:space="preserve"> million tonnes of crude steel.</w:t>
      </w:r>
      <w:r w:rsidR="00C167F5" w:rsidRPr="00CC5876">
        <w:rPr>
          <w:rStyle w:val="FootnoteReference"/>
        </w:rPr>
        <w:footnoteReference w:id="2"/>
      </w:r>
      <w:r w:rsidRPr="00AB5E04">
        <w:rPr>
          <w:rFonts w:ascii="Times New Roman" w:hAnsi="Times New Roman" w:cs="Times New Roman"/>
        </w:rPr>
        <w:t xml:space="preserve"> However, Australia is a small producer on the global scale, contributing only 0.</w:t>
      </w:r>
      <w:r w:rsidR="00CA10F0">
        <w:rPr>
          <w:rFonts w:ascii="Times New Roman" w:hAnsi="Times New Roman" w:cs="Times New Roman"/>
        </w:rPr>
        <w:t>4</w:t>
      </w:r>
      <w:r w:rsidRPr="00AB5E04">
        <w:rPr>
          <w:rFonts w:ascii="Times New Roman" w:hAnsi="Times New Roman" w:cs="Times New Roman"/>
        </w:rPr>
        <w:t xml:space="preserve"> per cent to </w:t>
      </w:r>
      <w:r w:rsidR="00EA029F" w:rsidRPr="00AB5E04">
        <w:rPr>
          <w:rFonts w:ascii="Times New Roman" w:hAnsi="Times New Roman" w:cs="Times New Roman"/>
        </w:rPr>
        <w:t xml:space="preserve">total </w:t>
      </w:r>
      <w:r w:rsidRPr="00AB5E04">
        <w:rPr>
          <w:rFonts w:ascii="Times New Roman" w:hAnsi="Times New Roman" w:cs="Times New Roman"/>
        </w:rPr>
        <w:t>global steel production.</w:t>
      </w:r>
      <w:r w:rsidR="00494BC4" w:rsidRPr="00CC5876">
        <w:rPr>
          <w:rStyle w:val="FootnoteReference"/>
        </w:rPr>
        <w:footnoteReference w:id="3"/>
      </w:r>
    </w:p>
    <w:p w14:paraId="23C82F2B" w14:textId="7A1CAFE2" w:rsidR="00E32A86" w:rsidRPr="00AB5E04" w:rsidRDefault="00E84BF0" w:rsidP="00F00053">
      <w:pPr>
        <w:rPr>
          <w:rFonts w:ascii="Times New Roman" w:hAnsi="Times New Roman" w:cs="Times New Roman"/>
        </w:rPr>
      </w:pPr>
      <w:r w:rsidRPr="00AB5E04">
        <w:rPr>
          <w:rFonts w:ascii="Times New Roman" w:hAnsi="Times New Roman" w:cs="Times New Roman"/>
        </w:rPr>
        <w:t>Despite moderate cyclical growth in global steel demand in 2016 and 2017, the Australian steel industry is still experiencing sustained pressure from low international ste</w:t>
      </w:r>
      <w:r w:rsidR="00122F5C" w:rsidRPr="00AB5E04">
        <w:rPr>
          <w:rFonts w:ascii="Times New Roman" w:hAnsi="Times New Roman" w:cs="Times New Roman"/>
        </w:rPr>
        <w:t>el prices, impacted by global excess capacity</w:t>
      </w:r>
      <w:r w:rsidRPr="00AB5E04">
        <w:rPr>
          <w:rFonts w:ascii="Times New Roman" w:hAnsi="Times New Roman" w:cs="Times New Roman"/>
        </w:rPr>
        <w:t>.</w:t>
      </w:r>
      <w:r w:rsidR="00B00251" w:rsidRPr="00AB5E04">
        <w:rPr>
          <w:rFonts w:ascii="Times New Roman" w:hAnsi="Times New Roman" w:cs="Times New Roman"/>
        </w:rPr>
        <w:t xml:space="preserve"> </w:t>
      </w:r>
      <w:r w:rsidR="000D7455" w:rsidRPr="00AB5E04">
        <w:rPr>
          <w:rFonts w:ascii="Times New Roman" w:hAnsi="Times New Roman" w:cs="Times New Roman"/>
        </w:rPr>
        <w:t>The overall trend in</w:t>
      </w:r>
      <w:r w:rsidR="00C155B8">
        <w:rPr>
          <w:rFonts w:ascii="Times New Roman" w:hAnsi="Times New Roman" w:cs="Times New Roman"/>
        </w:rPr>
        <w:t xml:space="preserve"> world</w:t>
      </w:r>
      <w:r w:rsidR="000D7455" w:rsidRPr="00AB5E04">
        <w:rPr>
          <w:rFonts w:ascii="Times New Roman" w:hAnsi="Times New Roman" w:cs="Times New Roman"/>
        </w:rPr>
        <w:t xml:space="preserve"> steel demand is expected to remain weak in the coming years</w:t>
      </w:r>
      <w:r w:rsidR="003318D9" w:rsidRPr="00AB5E04">
        <w:rPr>
          <w:rFonts w:ascii="Times New Roman" w:hAnsi="Times New Roman" w:cs="Times New Roman"/>
        </w:rPr>
        <w:t xml:space="preserve">, with long-term </w:t>
      </w:r>
      <w:r w:rsidR="002A6A93" w:rsidRPr="00AB5E04">
        <w:rPr>
          <w:rFonts w:ascii="Times New Roman" w:hAnsi="Times New Roman" w:cs="Times New Roman"/>
        </w:rPr>
        <w:t xml:space="preserve">global </w:t>
      </w:r>
      <w:r w:rsidR="003318D9" w:rsidRPr="00AB5E04">
        <w:rPr>
          <w:rFonts w:ascii="Times New Roman" w:hAnsi="Times New Roman" w:cs="Times New Roman"/>
        </w:rPr>
        <w:t>demand esti</w:t>
      </w:r>
      <w:r w:rsidR="00AA17B3" w:rsidRPr="00AB5E04">
        <w:rPr>
          <w:rFonts w:ascii="Times New Roman" w:hAnsi="Times New Roman" w:cs="Times New Roman"/>
        </w:rPr>
        <w:t>mated to be around 1 per cent annually</w:t>
      </w:r>
      <w:r w:rsidR="003318D9" w:rsidRPr="00AB5E04">
        <w:rPr>
          <w:rFonts w:ascii="Times New Roman" w:hAnsi="Times New Roman" w:cs="Times New Roman"/>
        </w:rPr>
        <w:t>.</w:t>
      </w:r>
      <w:r w:rsidR="00AA17B3" w:rsidRPr="00CC5876">
        <w:rPr>
          <w:rStyle w:val="FootnoteReference"/>
        </w:rPr>
        <w:footnoteReference w:id="4"/>
      </w:r>
      <w:r w:rsidR="003318D9" w:rsidRPr="00CC5876">
        <w:rPr>
          <w:rStyle w:val="FootnoteReference"/>
        </w:rPr>
        <w:t xml:space="preserve"> </w:t>
      </w:r>
    </w:p>
    <w:p w14:paraId="444AC070" w14:textId="04059368" w:rsidR="004E6814" w:rsidRPr="00596F2A" w:rsidRDefault="00BD6A87" w:rsidP="00596F2A">
      <w:pPr>
        <w:rPr>
          <w:rFonts w:ascii="Times New Roman" w:hAnsi="Times New Roman" w:cs="Times New Roman"/>
        </w:rPr>
      </w:pPr>
      <w:r w:rsidRPr="00596F2A">
        <w:rPr>
          <w:rFonts w:ascii="Times New Roman" w:hAnsi="Times New Roman" w:cs="Times New Roman"/>
        </w:rPr>
        <w:t xml:space="preserve">Recognising the challenges facing the Australian steel industry due to </w:t>
      </w:r>
      <w:r w:rsidR="00122F5C" w:rsidRPr="00596F2A">
        <w:rPr>
          <w:rFonts w:ascii="Times New Roman" w:hAnsi="Times New Roman" w:cs="Times New Roman"/>
        </w:rPr>
        <w:t>excess capacity</w:t>
      </w:r>
      <w:r w:rsidRPr="00596F2A">
        <w:rPr>
          <w:rFonts w:ascii="Times New Roman" w:hAnsi="Times New Roman" w:cs="Times New Roman"/>
        </w:rPr>
        <w:t xml:space="preserve">, </w:t>
      </w:r>
      <w:r w:rsidR="00F44D00" w:rsidRPr="00596F2A">
        <w:rPr>
          <w:rFonts w:ascii="Times New Roman" w:hAnsi="Times New Roman" w:cs="Times New Roman"/>
        </w:rPr>
        <w:t xml:space="preserve">the Government </w:t>
      </w:r>
      <w:r w:rsidRPr="00596F2A">
        <w:rPr>
          <w:rFonts w:ascii="Times New Roman" w:hAnsi="Times New Roman" w:cs="Times New Roman"/>
        </w:rPr>
        <w:t xml:space="preserve">is </w:t>
      </w:r>
      <w:r w:rsidR="004B7AD2" w:rsidRPr="00596F2A">
        <w:rPr>
          <w:rFonts w:ascii="Times New Roman" w:hAnsi="Times New Roman" w:cs="Times New Roman"/>
        </w:rPr>
        <w:t>participating</w:t>
      </w:r>
      <w:r w:rsidRPr="00596F2A">
        <w:rPr>
          <w:rFonts w:ascii="Times New Roman" w:hAnsi="Times New Roman" w:cs="Times New Roman"/>
        </w:rPr>
        <w:t xml:space="preserve"> in the </w:t>
      </w:r>
      <w:r w:rsidR="004E6814" w:rsidRPr="00596F2A">
        <w:rPr>
          <w:rFonts w:ascii="Times New Roman" w:hAnsi="Times New Roman" w:cs="Times New Roman"/>
        </w:rPr>
        <w:t>Global</w:t>
      </w:r>
      <w:r w:rsidR="00BF612D" w:rsidRPr="00596F2A">
        <w:rPr>
          <w:rFonts w:ascii="Times New Roman" w:hAnsi="Times New Roman" w:cs="Times New Roman"/>
        </w:rPr>
        <w:t xml:space="preserve"> Forum on Steel Excess Capacity (</w:t>
      </w:r>
      <w:r w:rsidRPr="00596F2A">
        <w:rPr>
          <w:rFonts w:ascii="Times New Roman" w:hAnsi="Times New Roman" w:cs="Times New Roman"/>
        </w:rPr>
        <w:t xml:space="preserve">the </w:t>
      </w:r>
      <w:r w:rsidR="00BF612D" w:rsidRPr="00596F2A">
        <w:rPr>
          <w:rFonts w:ascii="Times New Roman" w:hAnsi="Times New Roman" w:cs="Times New Roman"/>
        </w:rPr>
        <w:t>Forum)</w:t>
      </w:r>
      <w:r w:rsidR="009E156F" w:rsidRPr="00596F2A">
        <w:rPr>
          <w:rFonts w:ascii="Times New Roman" w:hAnsi="Times New Roman" w:cs="Times New Roman"/>
        </w:rPr>
        <w:t>,</w:t>
      </w:r>
      <w:r w:rsidR="00BF612D" w:rsidRPr="00596F2A">
        <w:rPr>
          <w:rFonts w:ascii="Times New Roman" w:hAnsi="Times New Roman" w:cs="Times New Roman"/>
        </w:rPr>
        <w:t xml:space="preserve"> </w:t>
      </w:r>
      <w:r w:rsidRPr="00596F2A">
        <w:rPr>
          <w:rFonts w:ascii="Times New Roman" w:hAnsi="Times New Roman" w:cs="Times New Roman"/>
        </w:rPr>
        <w:t xml:space="preserve">established </w:t>
      </w:r>
      <w:r w:rsidR="00BF612D" w:rsidRPr="00596F2A">
        <w:rPr>
          <w:rFonts w:ascii="Times New Roman" w:hAnsi="Times New Roman" w:cs="Times New Roman"/>
        </w:rPr>
        <w:t>by G20 Leaders in September</w:t>
      </w:r>
      <w:r w:rsidR="00385F19" w:rsidRPr="00596F2A">
        <w:rPr>
          <w:rFonts w:ascii="Times New Roman" w:hAnsi="Times New Roman" w:cs="Times New Roman"/>
        </w:rPr>
        <w:t> </w:t>
      </w:r>
      <w:r w:rsidR="00FB5310" w:rsidRPr="00596F2A">
        <w:rPr>
          <w:rFonts w:ascii="Times New Roman" w:hAnsi="Times New Roman" w:cs="Times New Roman"/>
        </w:rPr>
        <w:t xml:space="preserve">2016 </w:t>
      </w:r>
      <w:r w:rsidRPr="00596F2A">
        <w:rPr>
          <w:rFonts w:ascii="Times New Roman" w:hAnsi="Times New Roman" w:cs="Times New Roman"/>
        </w:rPr>
        <w:t xml:space="preserve">to </w:t>
      </w:r>
      <w:r w:rsidR="004E6814" w:rsidRPr="00596F2A">
        <w:rPr>
          <w:rFonts w:ascii="Times New Roman" w:hAnsi="Times New Roman" w:cs="Times New Roman"/>
        </w:rPr>
        <w:t>address exces</w:t>
      </w:r>
      <w:r w:rsidR="00FB5310" w:rsidRPr="00596F2A">
        <w:rPr>
          <w:rFonts w:ascii="Times New Roman" w:hAnsi="Times New Roman" w:cs="Times New Roman"/>
        </w:rPr>
        <w:t>s capacity issues in the global steel market</w:t>
      </w:r>
      <w:r w:rsidR="0016238B">
        <w:rPr>
          <w:rFonts w:ascii="Times New Roman" w:hAnsi="Times New Roman" w:cs="Times New Roman"/>
        </w:rPr>
        <w:t xml:space="preserve">. </w:t>
      </w:r>
    </w:p>
    <w:p w14:paraId="15ABB55C" w14:textId="22E1B53C" w:rsidR="00313574" w:rsidRDefault="008329F9" w:rsidP="00313574">
      <w:pPr>
        <w:rPr>
          <w:rFonts w:ascii="Times New Roman" w:hAnsi="Times New Roman" w:cs="Times New Roman"/>
        </w:rPr>
      </w:pPr>
      <w:r w:rsidRPr="009D6657">
        <w:rPr>
          <w:rFonts w:ascii="Times New Roman" w:hAnsi="Times New Roman" w:cs="Times New Roman"/>
        </w:rPr>
        <w:t xml:space="preserve">In terms </w:t>
      </w:r>
      <w:r w:rsidR="00921B35">
        <w:rPr>
          <w:rFonts w:ascii="Times New Roman" w:hAnsi="Times New Roman" w:cs="Times New Roman"/>
        </w:rPr>
        <w:t xml:space="preserve">of </w:t>
      </w:r>
      <w:r w:rsidRPr="009D6657">
        <w:rPr>
          <w:rFonts w:ascii="Times New Roman" w:hAnsi="Times New Roman" w:cs="Times New Roman"/>
        </w:rPr>
        <w:t>other international developments</w:t>
      </w:r>
      <w:r w:rsidRPr="00460673">
        <w:rPr>
          <w:rFonts w:ascii="Times New Roman" w:hAnsi="Times New Roman" w:cs="Times New Roman"/>
        </w:rPr>
        <w:t>, i</w:t>
      </w:r>
      <w:r w:rsidR="00313574" w:rsidRPr="00460673">
        <w:rPr>
          <w:rFonts w:ascii="Times New Roman" w:hAnsi="Times New Roman" w:cs="Times New Roman"/>
        </w:rPr>
        <w:t>n response to an investigation under Section 232 of the</w:t>
      </w:r>
      <w:r w:rsidR="00313574" w:rsidRPr="00E70496">
        <w:rPr>
          <w:rFonts w:ascii="Times New Roman" w:hAnsi="Times New Roman" w:cs="Times New Roman"/>
        </w:rPr>
        <w:t xml:space="preserve"> </w:t>
      </w:r>
      <w:r w:rsidR="00CA10F0">
        <w:rPr>
          <w:rFonts w:ascii="Times New Roman" w:hAnsi="Times New Roman" w:cs="Times New Roman"/>
        </w:rPr>
        <w:t xml:space="preserve">United States </w:t>
      </w:r>
      <w:r w:rsidR="00313574" w:rsidRPr="00E70496">
        <w:rPr>
          <w:rFonts w:ascii="Times New Roman" w:hAnsi="Times New Roman" w:cs="Times New Roman"/>
        </w:rPr>
        <w:t xml:space="preserve">(US) </w:t>
      </w:r>
      <w:r w:rsidR="00313574" w:rsidRPr="00B520EB">
        <w:rPr>
          <w:rFonts w:ascii="Times New Roman" w:hAnsi="Times New Roman" w:cs="Times New Roman"/>
          <w:i/>
        </w:rPr>
        <w:t>Trade Expansion Act</w:t>
      </w:r>
      <w:r w:rsidR="00313574" w:rsidRPr="00E70496">
        <w:rPr>
          <w:rFonts w:ascii="Times New Roman" w:hAnsi="Times New Roman" w:cs="Times New Roman"/>
        </w:rPr>
        <w:t xml:space="preserve"> of 1962, on 23</w:t>
      </w:r>
      <w:r w:rsidR="00313574">
        <w:rPr>
          <w:rFonts w:ascii="Times New Roman" w:hAnsi="Times New Roman" w:cs="Times New Roman"/>
        </w:rPr>
        <w:t> </w:t>
      </w:r>
      <w:r w:rsidR="00313574" w:rsidRPr="00E70496">
        <w:rPr>
          <w:rFonts w:ascii="Times New Roman" w:hAnsi="Times New Roman" w:cs="Times New Roman"/>
        </w:rPr>
        <w:t>March</w:t>
      </w:r>
      <w:r w:rsidR="00313574">
        <w:rPr>
          <w:rFonts w:ascii="Times New Roman" w:hAnsi="Times New Roman" w:cs="Times New Roman"/>
        </w:rPr>
        <w:t xml:space="preserve"> 2018</w:t>
      </w:r>
      <w:r w:rsidR="00313574" w:rsidRPr="00E70496">
        <w:rPr>
          <w:rFonts w:ascii="Times New Roman" w:hAnsi="Times New Roman" w:cs="Times New Roman"/>
        </w:rPr>
        <w:t xml:space="preserve"> the US imposed tariffs of 25 per cent on certain steel products and 10 per cent on certain aluminium products. Presidential Proclamations of 22</w:t>
      </w:r>
      <w:r w:rsidR="00921B35">
        <w:rPr>
          <w:rFonts w:ascii="Times New Roman" w:hAnsi="Times New Roman" w:cs="Times New Roman"/>
        </w:rPr>
        <w:t> </w:t>
      </w:r>
      <w:r w:rsidR="00313574" w:rsidRPr="00E70496">
        <w:rPr>
          <w:rFonts w:ascii="Times New Roman" w:hAnsi="Times New Roman" w:cs="Times New Roman"/>
        </w:rPr>
        <w:t>March</w:t>
      </w:r>
      <w:r w:rsidR="00313574">
        <w:rPr>
          <w:rFonts w:ascii="Times New Roman" w:hAnsi="Times New Roman" w:cs="Times New Roman"/>
        </w:rPr>
        <w:t xml:space="preserve"> 2018</w:t>
      </w:r>
      <w:r w:rsidR="00313574" w:rsidRPr="00E70496">
        <w:rPr>
          <w:rFonts w:ascii="Times New Roman" w:hAnsi="Times New Roman" w:cs="Times New Roman"/>
        </w:rPr>
        <w:t>, 30 April 2018 and 31</w:t>
      </w:r>
      <w:r w:rsidR="00313574">
        <w:rPr>
          <w:rFonts w:ascii="Times New Roman" w:hAnsi="Times New Roman" w:cs="Times New Roman"/>
        </w:rPr>
        <w:t> </w:t>
      </w:r>
      <w:r w:rsidR="00313574" w:rsidRPr="00E70496">
        <w:rPr>
          <w:rFonts w:ascii="Times New Roman" w:hAnsi="Times New Roman" w:cs="Times New Roman"/>
        </w:rPr>
        <w:t>May</w:t>
      </w:r>
      <w:r w:rsidR="00313574">
        <w:rPr>
          <w:rFonts w:ascii="Times New Roman" w:hAnsi="Times New Roman" w:cs="Times New Roman"/>
        </w:rPr>
        <w:t> </w:t>
      </w:r>
      <w:r w:rsidR="00313574" w:rsidRPr="00E70496">
        <w:rPr>
          <w:rFonts w:ascii="Times New Roman" w:hAnsi="Times New Roman" w:cs="Times New Roman"/>
        </w:rPr>
        <w:t xml:space="preserve">2018 provided Australia with an exemption from the tariffs. </w:t>
      </w:r>
    </w:p>
    <w:p w14:paraId="2E46F78F" w14:textId="04C345AD" w:rsidR="008C70D6" w:rsidRPr="00596F2A" w:rsidRDefault="008C70D6" w:rsidP="00596F2A">
      <w:pPr>
        <w:rPr>
          <w:rFonts w:ascii="Times New Roman" w:hAnsi="Times New Roman" w:cs="Times New Roman"/>
        </w:rPr>
      </w:pPr>
      <w:r w:rsidRPr="00596F2A">
        <w:rPr>
          <w:rFonts w:ascii="Times New Roman" w:hAnsi="Times New Roman" w:cs="Times New Roman"/>
        </w:rPr>
        <w:t xml:space="preserve">The Government is </w:t>
      </w:r>
      <w:r w:rsidR="00D2703C" w:rsidRPr="00596F2A">
        <w:rPr>
          <w:rFonts w:ascii="Times New Roman" w:hAnsi="Times New Roman" w:cs="Times New Roman"/>
        </w:rPr>
        <w:t xml:space="preserve">also </w:t>
      </w:r>
      <w:r w:rsidRPr="00596F2A">
        <w:rPr>
          <w:rFonts w:ascii="Times New Roman" w:hAnsi="Times New Roman" w:cs="Times New Roman"/>
        </w:rPr>
        <w:t>committed to ensuring that Australia’s anti-dumping regime remains effective</w:t>
      </w:r>
      <w:r w:rsidR="00D2703C" w:rsidRPr="00596F2A">
        <w:rPr>
          <w:rFonts w:ascii="Times New Roman" w:hAnsi="Times New Roman" w:cs="Times New Roman"/>
        </w:rPr>
        <w:t xml:space="preserve"> and delivers a level playing field for Australian manufacturers and producers, while supporting business growth, employment and competitiveness.</w:t>
      </w:r>
      <w:r w:rsidR="007B45B7" w:rsidRPr="00596F2A">
        <w:rPr>
          <w:rFonts w:ascii="Times New Roman" w:hAnsi="Times New Roman" w:cs="Times New Roman"/>
        </w:rPr>
        <w:t xml:space="preserve"> </w:t>
      </w:r>
      <w:r w:rsidR="004359BE" w:rsidRPr="00596F2A">
        <w:rPr>
          <w:rFonts w:ascii="Times New Roman" w:hAnsi="Times New Roman" w:cs="Times New Roman"/>
        </w:rPr>
        <w:t>Recent o</w:t>
      </w:r>
      <w:r w:rsidR="00EE406E" w:rsidRPr="00596F2A">
        <w:rPr>
          <w:rFonts w:ascii="Times New Roman" w:hAnsi="Times New Roman" w:cs="Times New Roman"/>
        </w:rPr>
        <w:t>perational changes have been made to guarantee the system’s on-going effectiveness, including a new investigations model and an active, risk-based approach to circumvention.</w:t>
      </w:r>
    </w:p>
    <w:p w14:paraId="3D160334" w14:textId="1BB46870" w:rsidR="009317BF" w:rsidRDefault="009317BF" w:rsidP="00F00053">
      <w:pPr>
        <w:rPr>
          <w:rFonts w:ascii="Times New Roman" w:hAnsi="Times New Roman" w:cs="Times New Roman"/>
        </w:rPr>
      </w:pPr>
      <w:r w:rsidRPr="009317BF">
        <w:rPr>
          <w:rFonts w:ascii="Times New Roman" w:hAnsi="Times New Roman" w:cs="Times New Roman"/>
        </w:rPr>
        <w:t>As of 3</w:t>
      </w:r>
      <w:r w:rsidR="0058264F">
        <w:rPr>
          <w:rFonts w:ascii="Times New Roman" w:hAnsi="Times New Roman" w:cs="Times New Roman"/>
        </w:rPr>
        <w:t>1</w:t>
      </w:r>
      <w:r w:rsidRPr="009317BF">
        <w:rPr>
          <w:rFonts w:ascii="Times New Roman" w:hAnsi="Times New Roman" w:cs="Times New Roman"/>
        </w:rPr>
        <w:t xml:space="preserve"> </w:t>
      </w:r>
      <w:r w:rsidR="0058264F">
        <w:rPr>
          <w:rFonts w:ascii="Times New Roman" w:hAnsi="Times New Roman" w:cs="Times New Roman"/>
        </w:rPr>
        <w:t>Dec</w:t>
      </w:r>
      <w:r w:rsidR="0058264F" w:rsidRPr="009317BF">
        <w:rPr>
          <w:rFonts w:ascii="Times New Roman" w:hAnsi="Times New Roman" w:cs="Times New Roman"/>
        </w:rPr>
        <w:t xml:space="preserve">ember </w:t>
      </w:r>
      <w:r w:rsidRPr="009317BF">
        <w:rPr>
          <w:rFonts w:ascii="Times New Roman" w:hAnsi="Times New Roman" w:cs="Times New Roman"/>
        </w:rPr>
        <w:t xml:space="preserve">2018, there are </w:t>
      </w:r>
      <w:r w:rsidR="004C2534">
        <w:rPr>
          <w:rFonts w:ascii="Times New Roman" w:hAnsi="Times New Roman" w:cs="Times New Roman"/>
        </w:rPr>
        <w:t>49</w:t>
      </w:r>
      <w:r w:rsidR="004C2534" w:rsidRPr="009317BF">
        <w:rPr>
          <w:rFonts w:ascii="Times New Roman" w:hAnsi="Times New Roman" w:cs="Times New Roman"/>
        </w:rPr>
        <w:t xml:space="preserve"> </w:t>
      </w:r>
      <w:r w:rsidRPr="009317BF">
        <w:rPr>
          <w:rFonts w:ascii="Times New Roman" w:hAnsi="Times New Roman" w:cs="Times New Roman"/>
        </w:rPr>
        <w:t>anti-dumping measures in place on 1</w:t>
      </w:r>
      <w:r w:rsidR="004C2534">
        <w:rPr>
          <w:rFonts w:ascii="Times New Roman" w:hAnsi="Times New Roman" w:cs="Times New Roman"/>
        </w:rPr>
        <w:t>6</w:t>
      </w:r>
      <w:r w:rsidRPr="009317BF">
        <w:rPr>
          <w:rFonts w:ascii="Times New Roman" w:hAnsi="Times New Roman" w:cs="Times New Roman"/>
        </w:rPr>
        <w:t xml:space="preserve"> steel products from 18 countries, comprising </w:t>
      </w:r>
      <w:r w:rsidR="004C2534">
        <w:rPr>
          <w:rFonts w:ascii="Times New Roman" w:hAnsi="Times New Roman" w:cs="Times New Roman"/>
        </w:rPr>
        <w:t>59</w:t>
      </w:r>
      <w:r w:rsidR="004C2534" w:rsidRPr="009317BF">
        <w:rPr>
          <w:rFonts w:ascii="Times New Roman" w:hAnsi="Times New Roman" w:cs="Times New Roman"/>
        </w:rPr>
        <w:t xml:space="preserve"> </w:t>
      </w:r>
      <w:r w:rsidRPr="009317BF">
        <w:rPr>
          <w:rFonts w:ascii="Times New Roman" w:hAnsi="Times New Roman" w:cs="Times New Roman"/>
        </w:rPr>
        <w:t xml:space="preserve">per cent of all anti-dumping measures. Of these </w:t>
      </w:r>
      <w:r w:rsidR="004C2534">
        <w:rPr>
          <w:rFonts w:ascii="Times New Roman" w:hAnsi="Times New Roman" w:cs="Times New Roman"/>
        </w:rPr>
        <w:t>49</w:t>
      </w:r>
      <w:r w:rsidR="004C2534" w:rsidRPr="009317BF">
        <w:rPr>
          <w:rFonts w:ascii="Times New Roman" w:hAnsi="Times New Roman" w:cs="Times New Roman"/>
        </w:rPr>
        <w:t xml:space="preserve"> </w:t>
      </w:r>
      <w:r w:rsidRPr="009317BF">
        <w:rPr>
          <w:rFonts w:ascii="Times New Roman" w:hAnsi="Times New Roman" w:cs="Times New Roman"/>
        </w:rPr>
        <w:t>measures, 20 apply to prod</w:t>
      </w:r>
      <w:r w:rsidR="000E230A">
        <w:rPr>
          <w:rFonts w:ascii="Times New Roman" w:hAnsi="Times New Roman" w:cs="Times New Roman"/>
        </w:rPr>
        <w:t>ucts produced by Liberty Steel</w:t>
      </w:r>
      <w:r w:rsidR="005B54BD">
        <w:rPr>
          <w:rFonts w:ascii="Times New Roman" w:hAnsi="Times New Roman" w:cs="Times New Roman"/>
        </w:rPr>
        <w:t xml:space="preserve"> </w:t>
      </w:r>
      <w:r w:rsidRPr="009317BF">
        <w:rPr>
          <w:rFonts w:ascii="Times New Roman" w:hAnsi="Times New Roman" w:cs="Times New Roman"/>
        </w:rPr>
        <w:t xml:space="preserve">(formerly the </w:t>
      </w:r>
      <w:proofErr w:type="spellStart"/>
      <w:r w:rsidRPr="009317BF">
        <w:rPr>
          <w:rFonts w:ascii="Times New Roman" w:hAnsi="Times New Roman" w:cs="Times New Roman"/>
        </w:rPr>
        <w:t>Arrium</w:t>
      </w:r>
      <w:proofErr w:type="spellEnd"/>
      <w:r w:rsidRPr="009317BF">
        <w:rPr>
          <w:rFonts w:ascii="Times New Roman" w:hAnsi="Times New Roman" w:cs="Times New Roman"/>
        </w:rPr>
        <w:t xml:space="preserve"> Group) and </w:t>
      </w:r>
      <w:r w:rsidR="004C2534" w:rsidRPr="009317BF">
        <w:rPr>
          <w:rFonts w:ascii="Times New Roman" w:hAnsi="Times New Roman" w:cs="Times New Roman"/>
        </w:rPr>
        <w:t>1</w:t>
      </w:r>
      <w:r w:rsidR="004C2534">
        <w:rPr>
          <w:rFonts w:ascii="Times New Roman" w:hAnsi="Times New Roman" w:cs="Times New Roman"/>
        </w:rPr>
        <w:t>1</w:t>
      </w:r>
      <w:r w:rsidR="004C2534" w:rsidRPr="009317BF">
        <w:rPr>
          <w:rFonts w:ascii="Times New Roman" w:hAnsi="Times New Roman" w:cs="Times New Roman"/>
        </w:rPr>
        <w:t xml:space="preserve"> </w:t>
      </w:r>
      <w:r w:rsidRPr="009317BF">
        <w:rPr>
          <w:rFonts w:ascii="Times New Roman" w:hAnsi="Times New Roman" w:cs="Times New Roman"/>
        </w:rPr>
        <w:t>apply to products produced by BlueScope. As of 3</w:t>
      </w:r>
      <w:r w:rsidR="0058264F">
        <w:rPr>
          <w:rFonts w:ascii="Times New Roman" w:hAnsi="Times New Roman" w:cs="Times New Roman"/>
        </w:rPr>
        <w:t>1</w:t>
      </w:r>
      <w:r w:rsidRPr="009317BF">
        <w:rPr>
          <w:rFonts w:ascii="Times New Roman" w:hAnsi="Times New Roman" w:cs="Times New Roman"/>
        </w:rPr>
        <w:t xml:space="preserve"> </w:t>
      </w:r>
      <w:r w:rsidR="0058264F">
        <w:rPr>
          <w:rFonts w:ascii="Times New Roman" w:hAnsi="Times New Roman" w:cs="Times New Roman"/>
        </w:rPr>
        <w:t xml:space="preserve">December </w:t>
      </w:r>
      <w:r w:rsidRPr="009317BF">
        <w:rPr>
          <w:rFonts w:ascii="Times New Roman" w:hAnsi="Times New Roman" w:cs="Times New Roman"/>
        </w:rPr>
        <w:t xml:space="preserve">2018, steel products are the subject of </w:t>
      </w:r>
      <w:r w:rsidR="004C2534">
        <w:rPr>
          <w:rFonts w:ascii="Times New Roman" w:hAnsi="Times New Roman" w:cs="Times New Roman"/>
        </w:rPr>
        <w:t>60</w:t>
      </w:r>
      <w:r w:rsidR="004C2534" w:rsidRPr="009317BF">
        <w:rPr>
          <w:rFonts w:ascii="Times New Roman" w:hAnsi="Times New Roman" w:cs="Times New Roman"/>
        </w:rPr>
        <w:t xml:space="preserve"> </w:t>
      </w:r>
      <w:r w:rsidRPr="009317BF">
        <w:rPr>
          <w:rFonts w:ascii="Times New Roman" w:hAnsi="Times New Roman" w:cs="Times New Roman"/>
        </w:rPr>
        <w:t>per cent of current anti-dumping investigations.</w:t>
      </w:r>
      <w:r w:rsidRPr="009317BF" w:rsidDel="009317BF">
        <w:rPr>
          <w:rFonts w:ascii="Times New Roman" w:hAnsi="Times New Roman" w:cs="Times New Roman"/>
        </w:rPr>
        <w:t xml:space="preserve"> </w:t>
      </w:r>
    </w:p>
    <w:p w14:paraId="5A16071E" w14:textId="1085B2BE" w:rsidR="00D06B26" w:rsidRPr="00AB5E04" w:rsidRDefault="00161655" w:rsidP="00F00053">
      <w:pPr>
        <w:rPr>
          <w:rFonts w:ascii="Times New Roman" w:hAnsi="Times New Roman" w:cs="Times New Roman"/>
        </w:rPr>
      </w:pPr>
      <w:r w:rsidRPr="00F66652">
        <w:rPr>
          <w:rFonts w:ascii="Times New Roman" w:hAnsi="Times New Roman" w:cs="Times New Roman"/>
        </w:rPr>
        <w:t>The Government</w:t>
      </w:r>
      <w:r w:rsidR="002B1C74" w:rsidRPr="00F66652">
        <w:rPr>
          <w:rFonts w:ascii="Times New Roman" w:hAnsi="Times New Roman" w:cs="Times New Roman"/>
        </w:rPr>
        <w:t xml:space="preserve"> </w:t>
      </w:r>
      <w:r w:rsidR="00F649DB" w:rsidRPr="00F66652">
        <w:rPr>
          <w:rFonts w:ascii="Times New Roman" w:hAnsi="Times New Roman" w:cs="Times New Roman"/>
        </w:rPr>
        <w:t xml:space="preserve">has </w:t>
      </w:r>
      <w:r w:rsidR="00BD6A87" w:rsidRPr="00F66652">
        <w:rPr>
          <w:rFonts w:ascii="Times New Roman" w:hAnsi="Times New Roman" w:cs="Times New Roman"/>
        </w:rPr>
        <w:t xml:space="preserve">also </w:t>
      </w:r>
      <w:r w:rsidR="002B1C74" w:rsidRPr="00F66652">
        <w:rPr>
          <w:rFonts w:ascii="Times New Roman" w:hAnsi="Times New Roman" w:cs="Times New Roman"/>
        </w:rPr>
        <w:t>taken</w:t>
      </w:r>
      <w:r w:rsidR="002B1C74" w:rsidRPr="00AB5E04">
        <w:rPr>
          <w:rFonts w:ascii="Times New Roman" w:hAnsi="Times New Roman" w:cs="Times New Roman"/>
        </w:rPr>
        <w:t xml:space="preserve"> action</w:t>
      </w:r>
      <w:r w:rsidR="00040A9D" w:rsidRPr="00AB5E04">
        <w:rPr>
          <w:rFonts w:ascii="Times New Roman" w:hAnsi="Times New Roman" w:cs="Times New Roman"/>
        </w:rPr>
        <w:t xml:space="preserve"> to ensure that the Australian steel industry, and the manufacturing sector more broadly, can adapt to the challenging global trading environment.</w:t>
      </w:r>
      <w:r w:rsidR="00591E4A" w:rsidRPr="00AB5E04">
        <w:rPr>
          <w:rFonts w:ascii="Times New Roman" w:hAnsi="Times New Roman" w:cs="Times New Roman"/>
        </w:rPr>
        <w:t xml:space="preserve"> </w:t>
      </w:r>
      <w:r w:rsidR="005B550A" w:rsidRPr="00AB5E04">
        <w:rPr>
          <w:rFonts w:ascii="Times New Roman" w:hAnsi="Times New Roman" w:cs="Times New Roman"/>
        </w:rPr>
        <w:t xml:space="preserve">These </w:t>
      </w:r>
      <w:r w:rsidR="002B1C74" w:rsidRPr="00AB5E04">
        <w:rPr>
          <w:rFonts w:ascii="Times New Roman" w:hAnsi="Times New Roman" w:cs="Times New Roman"/>
        </w:rPr>
        <w:t xml:space="preserve">actions </w:t>
      </w:r>
      <w:r w:rsidR="005B550A" w:rsidRPr="00AB5E04">
        <w:rPr>
          <w:rFonts w:ascii="Times New Roman" w:hAnsi="Times New Roman" w:cs="Times New Roman"/>
        </w:rPr>
        <w:t>include:</w:t>
      </w:r>
    </w:p>
    <w:p w14:paraId="347E7E6B" w14:textId="19F5A092" w:rsidR="003351E0" w:rsidRPr="00CC5876" w:rsidRDefault="003351E0"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facilitating industry growth and innovation through the implementation of the National Innovation and Science Agenda (NISA). The NISA recognises that innovation is a driving force for productivity growth and job creation and it assists both existing and new business to create and seize the opportunities made possible by technological and scientific advances;</w:t>
      </w:r>
    </w:p>
    <w:p w14:paraId="4CBB7FCA" w14:textId="6ADE6311" w:rsidR="007A6D45" w:rsidRPr="00CC5876" w:rsidRDefault="003351E0"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 xml:space="preserve">the introduction of the </w:t>
      </w:r>
      <w:r w:rsidRPr="00CC5876">
        <w:rPr>
          <w:rFonts w:ascii="Times New Roman" w:hAnsi="Times New Roman" w:cs="Times New Roman"/>
          <w:bCs/>
          <w:i/>
        </w:rPr>
        <w:t xml:space="preserve">Code for the Tendering and Performance of Building Work 2016 </w:t>
      </w:r>
      <w:r w:rsidR="00921B35" w:rsidRPr="00CC5876">
        <w:rPr>
          <w:rFonts w:ascii="Times New Roman" w:hAnsi="Times New Roman" w:cs="Times New Roman"/>
          <w:bCs/>
          <w:i/>
        </w:rPr>
        <w:t>(</w:t>
      </w:r>
      <w:proofErr w:type="spellStart"/>
      <w:r w:rsidR="00921B35" w:rsidRPr="00CC5876">
        <w:rPr>
          <w:rFonts w:ascii="Times New Roman" w:hAnsi="Times New Roman" w:cs="Times New Roman"/>
          <w:bCs/>
          <w:i/>
        </w:rPr>
        <w:t>Cth</w:t>
      </w:r>
      <w:proofErr w:type="spellEnd"/>
      <w:r w:rsidR="00921B35" w:rsidRPr="00CC5876">
        <w:rPr>
          <w:rFonts w:ascii="Times New Roman" w:hAnsi="Times New Roman" w:cs="Times New Roman"/>
          <w:bCs/>
          <w:i/>
        </w:rPr>
        <w:t>),</w:t>
      </w:r>
      <w:r w:rsidR="00921B35" w:rsidRPr="00CC5876">
        <w:rPr>
          <w:rFonts w:ascii="Times New Roman" w:hAnsi="Times New Roman" w:cs="Times New Roman"/>
          <w:bCs/>
        </w:rPr>
        <w:t xml:space="preserve"> which sets out requirements for building industry participants that seek to be, or are, involved in Commonwealth funded building work</w:t>
      </w:r>
      <w:r w:rsidRPr="00CC5876">
        <w:rPr>
          <w:rFonts w:ascii="Times New Roman" w:hAnsi="Times New Roman" w:cs="Times New Roman"/>
          <w:bCs/>
        </w:rPr>
        <w:t>, including the need to provide information on the extent to which domestically sourced and manufactured materials will be used to undertake the building work;</w:t>
      </w:r>
    </w:p>
    <w:p w14:paraId="76D9907B" w14:textId="5022394E" w:rsidR="007A6D45" w:rsidRPr="00AC6FC6" w:rsidRDefault="007A6D45"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lastRenderedPageBreak/>
        <w:t xml:space="preserve">the update of the Commonwealth Procurement Rules to support the Government’s commitment to ensure equitable access to government contracts for Australian businesses, in particular small business, including consideration of the economic benefits of a procurement to the </w:t>
      </w:r>
      <w:r w:rsidRPr="00AC6FC6">
        <w:rPr>
          <w:rFonts w:ascii="Times New Roman" w:hAnsi="Times New Roman" w:cs="Times New Roman"/>
          <w:bCs/>
        </w:rPr>
        <w:t>Australian economy for procurements valued above $4 million; and</w:t>
      </w:r>
    </w:p>
    <w:p w14:paraId="1335A08B" w14:textId="2CF6EF21" w:rsidR="00F81322" w:rsidRPr="00CC5876" w:rsidRDefault="003351E0" w:rsidP="00CC5876">
      <w:pPr>
        <w:pStyle w:val="ListBullet"/>
        <w:numPr>
          <w:ilvl w:val="0"/>
          <w:numId w:val="34"/>
        </w:numPr>
        <w:spacing w:line="252" w:lineRule="auto"/>
        <w:rPr>
          <w:rFonts w:ascii="Times New Roman" w:hAnsi="Times New Roman" w:cs="Times New Roman"/>
          <w:bCs/>
        </w:rPr>
      </w:pPr>
      <w:r w:rsidRPr="00AC6FC6">
        <w:rPr>
          <w:rFonts w:ascii="Times New Roman" w:hAnsi="Times New Roman" w:cs="Times New Roman"/>
          <w:bCs/>
        </w:rPr>
        <w:t>working with the states and territories, via the Council of Australian Governments (COAG) Energy Council, to improve energy security and reduce energy costs.</w:t>
      </w:r>
    </w:p>
    <w:p w14:paraId="0362D940" w14:textId="3514A6B5" w:rsidR="00E90C78" w:rsidRPr="00AB5E04" w:rsidRDefault="00EA029F" w:rsidP="00BE6CE5">
      <w:pPr>
        <w:rPr>
          <w:rFonts w:ascii="Times New Roman" w:hAnsi="Times New Roman" w:cs="Times New Roman"/>
        </w:rPr>
      </w:pPr>
      <w:r w:rsidRPr="00AB5E04">
        <w:rPr>
          <w:rFonts w:ascii="Times New Roman" w:hAnsi="Times New Roman" w:cs="Times New Roman"/>
        </w:rPr>
        <w:t>As set out in the Government’s response to the interim report</w:t>
      </w:r>
      <w:r w:rsidR="00492D90" w:rsidRPr="00AB5E04">
        <w:rPr>
          <w:rFonts w:ascii="Times New Roman" w:hAnsi="Times New Roman" w:cs="Times New Roman"/>
        </w:rPr>
        <w:t xml:space="preserve"> into the future of Australia’s Steel Industry</w:t>
      </w:r>
      <w:r w:rsidR="00492D90" w:rsidRPr="00CC5876">
        <w:rPr>
          <w:rStyle w:val="FootnoteReference"/>
        </w:rPr>
        <w:footnoteReference w:id="5"/>
      </w:r>
      <w:r w:rsidRPr="00AB5E04">
        <w:rPr>
          <w:rFonts w:ascii="Times New Roman" w:hAnsi="Times New Roman" w:cs="Times New Roman"/>
        </w:rPr>
        <w:t>, t</w:t>
      </w:r>
      <w:r w:rsidR="00E90C78" w:rsidRPr="00AB5E04">
        <w:rPr>
          <w:rFonts w:ascii="Times New Roman" w:hAnsi="Times New Roman" w:cs="Times New Roman"/>
        </w:rPr>
        <w:t xml:space="preserve">he Government </w:t>
      </w:r>
      <w:r w:rsidRPr="00AB5E04">
        <w:rPr>
          <w:rFonts w:ascii="Times New Roman" w:hAnsi="Times New Roman" w:cs="Times New Roman"/>
        </w:rPr>
        <w:t xml:space="preserve">has already </w:t>
      </w:r>
      <w:r w:rsidR="00E90C78" w:rsidRPr="00AB5E04">
        <w:rPr>
          <w:rFonts w:ascii="Times New Roman" w:hAnsi="Times New Roman" w:cs="Times New Roman"/>
        </w:rPr>
        <w:t xml:space="preserve">provided significant support to </w:t>
      </w:r>
      <w:r w:rsidR="0054266E" w:rsidRPr="00AB5E04">
        <w:rPr>
          <w:rFonts w:ascii="Times New Roman" w:hAnsi="Times New Roman" w:cs="Times New Roman"/>
        </w:rPr>
        <w:t xml:space="preserve">the </w:t>
      </w:r>
      <w:r w:rsidR="00381EDD" w:rsidRPr="00AB5E04">
        <w:rPr>
          <w:rFonts w:ascii="Times New Roman" w:hAnsi="Times New Roman" w:cs="Times New Roman"/>
        </w:rPr>
        <w:t xml:space="preserve">former </w:t>
      </w:r>
      <w:proofErr w:type="spellStart"/>
      <w:r w:rsidR="00E90C78" w:rsidRPr="00AB5E04">
        <w:rPr>
          <w:rFonts w:ascii="Times New Roman" w:hAnsi="Times New Roman" w:cs="Times New Roman"/>
        </w:rPr>
        <w:t>Arrium</w:t>
      </w:r>
      <w:proofErr w:type="spellEnd"/>
      <w:r w:rsidR="0054266E" w:rsidRPr="00AB5E04">
        <w:rPr>
          <w:rFonts w:ascii="Times New Roman" w:hAnsi="Times New Roman" w:cs="Times New Roman"/>
        </w:rPr>
        <w:t xml:space="preserve"> Group</w:t>
      </w:r>
      <w:r w:rsidR="00E90C78" w:rsidRPr="00AB5E04">
        <w:rPr>
          <w:rFonts w:ascii="Times New Roman" w:hAnsi="Times New Roman" w:cs="Times New Roman"/>
        </w:rPr>
        <w:t xml:space="preserve">, and the wider community while </w:t>
      </w:r>
      <w:r w:rsidR="0054266E" w:rsidRPr="00AB5E04">
        <w:rPr>
          <w:rFonts w:ascii="Times New Roman" w:hAnsi="Times New Roman" w:cs="Times New Roman"/>
        </w:rPr>
        <w:t xml:space="preserve">the company </w:t>
      </w:r>
      <w:r w:rsidR="00E90C78" w:rsidRPr="00AB5E04">
        <w:rPr>
          <w:rFonts w:ascii="Times New Roman" w:hAnsi="Times New Roman" w:cs="Times New Roman"/>
        </w:rPr>
        <w:t>was in voluntary administration, including:</w:t>
      </w:r>
    </w:p>
    <w:p w14:paraId="3EF80244" w14:textId="77777777" w:rsidR="00413D9E" w:rsidRPr="00CC5876" w:rsidRDefault="00413D9E"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 xml:space="preserve">financing the instalment of new beneficiation equipment at the Whyalla operations through a completed loan of $49.2 million; </w:t>
      </w:r>
    </w:p>
    <w:p w14:paraId="5D539E41" w14:textId="6DEAB740" w:rsidR="008C7919" w:rsidRPr="00CC5876" w:rsidRDefault="008C7919"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 xml:space="preserve">bringing forward a project for the Australian Rail Track Corporation (ARTC) to upgrade </w:t>
      </w:r>
      <w:r w:rsidR="006840B6" w:rsidRPr="00CC5876">
        <w:rPr>
          <w:rFonts w:ascii="Times New Roman" w:hAnsi="Times New Roman" w:cs="Times New Roman"/>
          <w:bCs/>
        </w:rPr>
        <w:br/>
      </w:r>
      <w:r w:rsidRPr="00CC5876">
        <w:rPr>
          <w:rFonts w:ascii="Times New Roman" w:hAnsi="Times New Roman" w:cs="Times New Roman"/>
          <w:bCs/>
        </w:rPr>
        <w:t>1,200 kilometres of rail between Adelaide and Tarcoola</w:t>
      </w:r>
      <w:r w:rsidR="009F196F" w:rsidRPr="00CC5876">
        <w:rPr>
          <w:rFonts w:ascii="Times New Roman" w:hAnsi="Times New Roman" w:cs="Times New Roman"/>
          <w:bCs/>
        </w:rPr>
        <w:t xml:space="preserve"> using Whyalla made steel</w:t>
      </w:r>
      <w:r w:rsidRPr="00CC5876">
        <w:rPr>
          <w:rFonts w:ascii="Times New Roman" w:hAnsi="Times New Roman" w:cs="Times New Roman"/>
          <w:bCs/>
        </w:rPr>
        <w:t>; and</w:t>
      </w:r>
    </w:p>
    <w:p w14:paraId="654704A4" w14:textId="002E664D" w:rsidR="00413D9E" w:rsidRPr="00CC5876" w:rsidRDefault="003235AA"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 xml:space="preserve">providing </w:t>
      </w:r>
      <w:r w:rsidR="00413D9E" w:rsidRPr="00CC5876">
        <w:rPr>
          <w:rFonts w:ascii="Times New Roman" w:hAnsi="Times New Roman" w:cs="Times New Roman"/>
          <w:bCs/>
        </w:rPr>
        <w:t>$20 million in funding for the Upper Spencer Gulf region to diversify the economy, stimulate long term growth and provide sustainable employment.</w:t>
      </w:r>
    </w:p>
    <w:p w14:paraId="112A63BD" w14:textId="73175B8A" w:rsidR="00DC6862" w:rsidRPr="00AB5E04" w:rsidRDefault="00357C30">
      <w:pPr>
        <w:rPr>
          <w:rFonts w:ascii="Times New Roman" w:hAnsi="Times New Roman" w:cs="Times New Roman"/>
        </w:rPr>
      </w:pPr>
      <w:r w:rsidRPr="00AB5E04">
        <w:rPr>
          <w:rFonts w:ascii="Times New Roman" w:hAnsi="Times New Roman" w:cs="Times New Roman"/>
        </w:rPr>
        <w:t xml:space="preserve">The </w:t>
      </w:r>
      <w:r w:rsidR="00D05D8A" w:rsidRPr="00AB5E04">
        <w:rPr>
          <w:rFonts w:ascii="Times New Roman" w:hAnsi="Times New Roman" w:cs="Times New Roman"/>
        </w:rPr>
        <w:t xml:space="preserve">Government welcomes the sale of </w:t>
      </w:r>
      <w:proofErr w:type="spellStart"/>
      <w:r w:rsidR="00D05D8A" w:rsidRPr="00AB5E04">
        <w:rPr>
          <w:rFonts w:ascii="Times New Roman" w:hAnsi="Times New Roman" w:cs="Times New Roman"/>
        </w:rPr>
        <w:t>Arrium</w:t>
      </w:r>
      <w:proofErr w:type="spellEnd"/>
      <w:r w:rsidR="00D05D8A" w:rsidRPr="00AB5E04">
        <w:rPr>
          <w:rFonts w:ascii="Times New Roman" w:hAnsi="Times New Roman" w:cs="Times New Roman"/>
        </w:rPr>
        <w:t xml:space="preserve"> to GFG Alliance</w:t>
      </w:r>
      <w:r w:rsidR="00EA029F" w:rsidRPr="00AB5E04">
        <w:rPr>
          <w:rFonts w:ascii="Times New Roman" w:hAnsi="Times New Roman" w:cs="Times New Roman"/>
        </w:rPr>
        <w:t xml:space="preserve"> (GFG) and the announcement by GFG of its plan</w:t>
      </w:r>
      <w:r w:rsidR="004A7856">
        <w:rPr>
          <w:rFonts w:ascii="Times New Roman" w:hAnsi="Times New Roman" w:cs="Times New Roman"/>
        </w:rPr>
        <w:t>s</w:t>
      </w:r>
      <w:r w:rsidR="00EA029F" w:rsidRPr="00AB5E04">
        <w:rPr>
          <w:rFonts w:ascii="Times New Roman" w:hAnsi="Times New Roman" w:cs="Times New Roman"/>
        </w:rPr>
        <w:t xml:space="preserve"> to transform the Whyalla Steelworks</w:t>
      </w:r>
      <w:r w:rsidR="00E65B0A">
        <w:rPr>
          <w:rFonts w:ascii="Times New Roman" w:hAnsi="Times New Roman" w:cs="Times New Roman"/>
        </w:rPr>
        <w:t>, including to improve the energy efficiency of the steelworks</w:t>
      </w:r>
      <w:r w:rsidR="0054266E" w:rsidRPr="00AB5E04">
        <w:rPr>
          <w:rFonts w:ascii="Times New Roman" w:hAnsi="Times New Roman" w:cs="Times New Roman"/>
        </w:rPr>
        <w:t>. The Government</w:t>
      </w:r>
      <w:r w:rsidR="00E90C78" w:rsidRPr="00AB5E04">
        <w:rPr>
          <w:rFonts w:ascii="Times New Roman" w:hAnsi="Times New Roman" w:cs="Times New Roman"/>
        </w:rPr>
        <w:t xml:space="preserve"> </w:t>
      </w:r>
      <w:r w:rsidRPr="00AB5E04">
        <w:rPr>
          <w:rFonts w:ascii="Times New Roman" w:hAnsi="Times New Roman" w:cs="Times New Roman"/>
        </w:rPr>
        <w:t xml:space="preserve">will continue </w:t>
      </w:r>
      <w:r w:rsidR="00D05D8A" w:rsidRPr="00AB5E04">
        <w:rPr>
          <w:rFonts w:ascii="Times New Roman" w:hAnsi="Times New Roman" w:cs="Times New Roman"/>
        </w:rPr>
        <w:t xml:space="preserve">to work constructively with </w:t>
      </w:r>
      <w:r w:rsidR="00A609FB" w:rsidRPr="00AB5E04">
        <w:rPr>
          <w:rFonts w:ascii="Times New Roman" w:hAnsi="Times New Roman" w:cs="Times New Roman"/>
        </w:rPr>
        <w:t>GFG</w:t>
      </w:r>
      <w:r w:rsidRPr="00AB5E04">
        <w:rPr>
          <w:rFonts w:ascii="Times New Roman" w:hAnsi="Times New Roman" w:cs="Times New Roman"/>
        </w:rPr>
        <w:t xml:space="preserve"> to explore potential options to support </w:t>
      </w:r>
      <w:r w:rsidR="0054266E" w:rsidRPr="00AB5E04">
        <w:rPr>
          <w:rFonts w:ascii="Times New Roman" w:hAnsi="Times New Roman" w:cs="Times New Roman"/>
        </w:rPr>
        <w:t xml:space="preserve">its </w:t>
      </w:r>
      <w:r w:rsidRPr="00AB5E04">
        <w:rPr>
          <w:rFonts w:ascii="Times New Roman" w:hAnsi="Times New Roman" w:cs="Times New Roman"/>
        </w:rPr>
        <w:t>Whyalla Transformation Plan and ensure a sustainable and globally-competitive steel industry in Whyalla.</w:t>
      </w:r>
    </w:p>
    <w:p w14:paraId="54402742" w14:textId="1D686301" w:rsidR="008C7919" w:rsidRDefault="008C7919">
      <w:pPr>
        <w:rPr>
          <w:rFonts w:ascii="Times New Roman" w:hAnsi="Times New Roman" w:cs="Times New Roman"/>
        </w:rPr>
      </w:pPr>
      <w:r w:rsidRPr="008C7919">
        <w:rPr>
          <w:rFonts w:ascii="Times New Roman" w:hAnsi="Times New Roman" w:cs="Times New Roman"/>
        </w:rPr>
        <w:t xml:space="preserve">The Government has also committed to $75 billion in transport infrastructure funding and financing from 2017-18 to 2026-27 to enable the delivery of transformational projects that will reduce congestion, improve the liveability of our cities, connect regional communities and create new jobs and opportunities, including in the Australian steel industry. For instance, </w:t>
      </w:r>
      <w:r w:rsidR="008809EA">
        <w:rPr>
          <w:rFonts w:ascii="Times New Roman" w:hAnsi="Times New Roman" w:cs="Times New Roman"/>
        </w:rPr>
        <w:t xml:space="preserve">the </w:t>
      </w:r>
      <w:r w:rsidR="000E230A">
        <w:rPr>
          <w:rFonts w:ascii="Times New Roman" w:hAnsi="Times New Roman" w:cs="Times New Roman"/>
        </w:rPr>
        <w:t xml:space="preserve">Liberty </w:t>
      </w:r>
      <w:r w:rsidRPr="008C7919">
        <w:rPr>
          <w:rFonts w:ascii="Times New Roman" w:hAnsi="Times New Roman" w:cs="Times New Roman"/>
        </w:rPr>
        <w:t>Steel Whyalla Steelworks has been awarded the contract to supply Australian steel for the first section of the iconic Melbourne to Brisbane</w:t>
      </w:r>
      <w:r>
        <w:rPr>
          <w:rFonts w:ascii="Times New Roman" w:hAnsi="Times New Roman" w:cs="Times New Roman"/>
        </w:rPr>
        <w:t xml:space="preserve"> Australian Inland Rail project</w:t>
      </w:r>
      <w:r w:rsidRPr="008C7919">
        <w:rPr>
          <w:rFonts w:ascii="Times New Roman" w:hAnsi="Times New Roman" w:cs="Times New Roman"/>
        </w:rPr>
        <w:t>.</w:t>
      </w:r>
      <w:r w:rsidRPr="00CC5876">
        <w:rPr>
          <w:rStyle w:val="FootnoteReference"/>
        </w:rPr>
        <w:footnoteReference w:id="6"/>
      </w:r>
      <w:r w:rsidRPr="008C7919">
        <w:rPr>
          <w:rFonts w:ascii="Times New Roman" w:hAnsi="Times New Roman" w:cs="Times New Roman"/>
        </w:rPr>
        <w:t xml:space="preserve"> The Government has also committed to use Australian steel in future defence shipbuilding projects, where possible.</w:t>
      </w:r>
    </w:p>
    <w:p w14:paraId="3BABA4B8" w14:textId="0708E385" w:rsidR="00833813" w:rsidRPr="00AB5E04" w:rsidRDefault="00A537F2" w:rsidP="00F00053">
      <w:pPr>
        <w:rPr>
          <w:rFonts w:ascii="Times New Roman" w:hAnsi="Times New Roman" w:cs="Times New Roman"/>
        </w:rPr>
      </w:pPr>
      <w:r w:rsidRPr="00AB5E04">
        <w:rPr>
          <w:rFonts w:ascii="Times New Roman" w:hAnsi="Times New Roman" w:cs="Times New Roman"/>
        </w:rPr>
        <w:t xml:space="preserve">The remainder of this document provides the Government’s response </w:t>
      </w:r>
      <w:r w:rsidR="00E90C78" w:rsidRPr="00AB5E04">
        <w:rPr>
          <w:rFonts w:ascii="Times New Roman" w:hAnsi="Times New Roman" w:cs="Times New Roman"/>
        </w:rPr>
        <w:t>to each of the 28 </w:t>
      </w:r>
      <w:r w:rsidRPr="00AB5E04">
        <w:rPr>
          <w:rFonts w:ascii="Times New Roman" w:hAnsi="Times New Roman" w:cs="Times New Roman"/>
        </w:rPr>
        <w:t>recommendations from the Senate Economics Reference Committee’s report into the steel industry, which was tabled on 1 December 2017.</w:t>
      </w:r>
    </w:p>
    <w:p w14:paraId="4CF30B16" w14:textId="4181503F" w:rsidR="00833813" w:rsidRPr="00AB5E04" w:rsidRDefault="00833813" w:rsidP="00F00053">
      <w:pPr>
        <w:rPr>
          <w:rFonts w:ascii="Times New Roman" w:hAnsi="Times New Roman" w:cs="Times New Roman"/>
        </w:rPr>
      </w:pPr>
      <w:r w:rsidRPr="00AB5E04">
        <w:rPr>
          <w:rFonts w:ascii="Times New Roman" w:hAnsi="Times New Roman" w:cs="Times New Roman"/>
        </w:rPr>
        <w:br w:type="page"/>
      </w:r>
    </w:p>
    <w:p w14:paraId="28CDE227" w14:textId="77777777" w:rsidR="00B22765" w:rsidRPr="00AB5E04" w:rsidRDefault="00B22765" w:rsidP="003A4BEB">
      <w:pPr>
        <w:pStyle w:val="Heading3"/>
        <w:pBdr>
          <w:top w:val="single" w:sz="4" w:space="1" w:color="auto"/>
          <w:left w:val="single" w:sz="4" w:space="1" w:color="auto"/>
          <w:bottom w:val="single" w:sz="4" w:space="1" w:color="auto"/>
          <w:right w:val="single" w:sz="4" w:space="1" w:color="auto"/>
        </w:pBdr>
      </w:pPr>
      <w:r w:rsidRPr="00AB5E04">
        <w:lastRenderedPageBreak/>
        <w:t>Recommendation 1</w:t>
      </w:r>
    </w:p>
    <w:p w14:paraId="7D69CD21" w14:textId="77777777" w:rsidR="00B22765" w:rsidRPr="00AB5E04" w:rsidRDefault="00B22765" w:rsidP="003A4BEB">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B5E04">
        <w:rPr>
          <w:rFonts w:ascii="Times New Roman" w:hAnsi="Times New Roman" w:cs="Times New Roman"/>
        </w:rPr>
        <w:t>The committee recommends that the Australian Government develop a bipartisan solution to high energy costs that will reduce energy prices and secure supply for steel manufacturers.</w:t>
      </w:r>
    </w:p>
    <w:p w14:paraId="64185002" w14:textId="2B80BA0D" w:rsidR="007B0674" w:rsidRPr="00AB5E04" w:rsidRDefault="007B0674" w:rsidP="007B0674">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553362AF" w14:textId="1F9F5879" w:rsidR="0096014C" w:rsidRPr="00E65B0A" w:rsidRDefault="0096014C" w:rsidP="0096014C">
      <w:pPr>
        <w:rPr>
          <w:rFonts w:ascii="Times New Roman" w:hAnsi="Times New Roman" w:cs="Times New Roman"/>
        </w:rPr>
      </w:pPr>
      <w:r w:rsidRPr="00E65B0A">
        <w:rPr>
          <w:rFonts w:ascii="Times New Roman" w:hAnsi="Times New Roman" w:cs="Times New Roman"/>
        </w:rPr>
        <w:t xml:space="preserve">The Government is implementing recommendations from the Australian Competition and Consumer Commission (ACCC) Retail Electricity Pricing Inquiry. </w:t>
      </w:r>
      <w:r>
        <w:rPr>
          <w:rFonts w:ascii="Times New Roman" w:hAnsi="Times New Roman" w:cs="Times New Roman"/>
        </w:rPr>
        <w:t>T</w:t>
      </w:r>
      <w:r w:rsidRPr="00E65B0A">
        <w:rPr>
          <w:rFonts w:ascii="Times New Roman" w:hAnsi="Times New Roman" w:cs="Times New Roman"/>
        </w:rPr>
        <w:t>he Government is looking to introduce reforms aimed at boosting competition in generation, lowering supply chain costs, increasing reliability and improving the National Elect</w:t>
      </w:r>
      <w:r>
        <w:rPr>
          <w:rFonts w:ascii="Times New Roman" w:hAnsi="Times New Roman" w:cs="Times New Roman"/>
        </w:rPr>
        <w:t>ricity Market’s (NEM) operation</w:t>
      </w:r>
      <w:r w:rsidRPr="00E65B0A">
        <w:rPr>
          <w:rFonts w:ascii="Times New Roman" w:hAnsi="Times New Roman" w:cs="Times New Roman"/>
        </w:rPr>
        <w:t xml:space="preserve">. Many of these wholesale and network reforms will benefit large energy users like steel manufacturers. </w:t>
      </w:r>
      <w:r>
        <w:rPr>
          <w:rFonts w:ascii="Times New Roman" w:hAnsi="Times New Roman" w:cs="Times New Roman"/>
        </w:rPr>
        <w:t>These reforms include</w:t>
      </w:r>
      <w:r w:rsidRPr="00E65B0A">
        <w:rPr>
          <w:rFonts w:ascii="Times New Roman" w:hAnsi="Times New Roman" w:cs="Times New Roman"/>
        </w:rPr>
        <w:t>:</w:t>
      </w:r>
    </w:p>
    <w:p w14:paraId="2F5DB32F" w14:textId="7F7039CC" w:rsidR="0096014C" w:rsidRPr="00E5192C" w:rsidRDefault="0096014C" w:rsidP="0096014C">
      <w:pPr>
        <w:pStyle w:val="ListBullet"/>
        <w:numPr>
          <w:ilvl w:val="0"/>
          <w:numId w:val="34"/>
        </w:numPr>
        <w:spacing w:line="252" w:lineRule="auto"/>
        <w:rPr>
          <w:rFonts w:ascii="Times New Roman" w:hAnsi="Times New Roman" w:cs="Times New Roman"/>
          <w:bCs/>
        </w:rPr>
      </w:pPr>
      <w:r w:rsidRPr="00E65B0A">
        <w:rPr>
          <w:rFonts w:ascii="Times New Roman" w:hAnsi="Times New Roman" w:cs="Times New Roman"/>
          <w:bCs/>
        </w:rPr>
        <w:t>The Government</w:t>
      </w:r>
      <w:r>
        <w:rPr>
          <w:rFonts w:ascii="Times New Roman" w:hAnsi="Times New Roman" w:cs="Times New Roman"/>
          <w:bCs/>
        </w:rPr>
        <w:t xml:space="preserve"> </w:t>
      </w:r>
      <w:r w:rsidRPr="00E65B0A">
        <w:rPr>
          <w:rFonts w:ascii="Times New Roman" w:hAnsi="Times New Roman" w:cs="Times New Roman"/>
          <w:bCs/>
        </w:rPr>
        <w:t xml:space="preserve">backing investment in new power generators </w:t>
      </w:r>
      <w:r w:rsidRPr="00AC6FC6">
        <w:rPr>
          <w:rFonts w:ascii="Times New Roman" w:hAnsi="Times New Roman" w:cs="Times New Roman"/>
          <w:bCs/>
        </w:rPr>
        <w:t xml:space="preserve">to improve competition. Underwriting new electricity generation will attract new investment in the wholesale electricity market, increasing supply and reducing wholesale electricity prices. </w:t>
      </w:r>
    </w:p>
    <w:p w14:paraId="345AF3A0" w14:textId="77777777" w:rsidR="007D43E8" w:rsidRPr="007D43E8" w:rsidRDefault="007D43E8" w:rsidP="007D43E8">
      <w:pPr>
        <w:pStyle w:val="ListParagraph"/>
        <w:numPr>
          <w:ilvl w:val="1"/>
          <w:numId w:val="34"/>
        </w:numPr>
        <w:rPr>
          <w:rFonts w:ascii="Times New Roman" w:hAnsi="Times New Roman" w:cs="Times New Roman"/>
        </w:rPr>
      </w:pPr>
      <w:r w:rsidRPr="007D43E8">
        <w:rPr>
          <w:rFonts w:ascii="Times New Roman" w:hAnsi="Times New Roman" w:cs="Times New Roman"/>
        </w:rPr>
        <w:t>The Government released a consultation paper in October 2018 and a registration of interest process was held over December 2018 to January 2019. The program is planned to commence in the first quarter of 2019 with a formal Request for Proposals.</w:t>
      </w:r>
    </w:p>
    <w:p w14:paraId="56CE8E48" w14:textId="1D456D75" w:rsidR="0096014C" w:rsidRPr="00816E70" w:rsidRDefault="0096014C" w:rsidP="00816E70">
      <w:pPr>
        <w:pStyle w:val="ListBullet"/>
        <w:numPr>
          <w:ilvl w:val="0"/>
          <w:numId w:val="34"/>
        </w:numPr>
        <w:spacing w:line="252" w:lineRule="auto"/>
        <w:rPr>
          <w:rFonts w:ascii="Times New Roman" w:hAnsi="Times New Roman" w:cs="Times New Roman"/>
        </w:rPr>
      </w:pPr>
      <w:r w:rsidRPr="00816E70">
        <w:rPr>
          <w:rFonts w:ascii="Times New Roman" w:hAnsi="Times New Roman" w:cs="Times New Roman"/>
          <w:bCs/>
        </w:rPr>
        <w:t xml:space="preserve">The Government progressing further wholesale market reforms recommended by the ACCC through the COAG Energy Council. This includes recommendations to provide the </w:t>
      </w:r>
      <w:r w:rsidR="00E5192C" w:rsidRPr="00816E70">
        <w:rPr>
          <w:rFonts w:ascii="Times New Roman" w:hAnsi="Times New Roman" w:cs="Times New Roman"/>
          <w:bCs/>
        </w:rPr>
        <w:t>Australian Energy Regulator (</w:t>
      </w:r>
      <w:r w:rsidRPr="00816E70">
        <w:rPr>
          <w:rFonts w:ascii="Times New Roman" w:hAnsi="Times New Roman" w:cs="Times New Roman"/>
          <w:bCs/>
        </w:rPr>
        <w:t>AER</w:t>
      </w:r>
      <w:r w:rsidR="00E5192C" w:rsidRPr="00816E70">
        <w:rPr>
          <w:rFonts w:ascii="Times New Roman" w:hAnsi="Times New Roman" w:cs="Times New Roman"/>
          <w:bCs/>
        </w:rPr>
        <w:t>)</w:t>
      </w:r>
      <w:r w:rsidRPr="00816E70">
        <w:rPr>
          <w:rFonts w:ascii="Times New Roman" w:hAnsi="Times New Roman" w:cs="Times New Roman"/>
          <w:bCs/>
        </w:rPr>
        <w:t xml:space="preserve"> with powers to address wholesale market manipulation, expand the AER’s market monitoring power to include the contract market, and to </w:t>
      </w:r>
      <w:r w:rsidR="007D43E8">
        <w:rPr>
          <w:rFonts w:ascii="Times New Roman" w:hAnsi="Times New Roman" w:cs="Times New Roman"/>
          <w:bCs/>
        </w:rPr>
        <w:t>consider</w:t>
      </w:r>
      <w:r w:rsidR="007D43E8" w:rsidRPr="00816E70">
        <w:rPr>
          <w:rFonts w:ascii="Times New Roman" w:hAnsi="Times New Roman" w:cs="Times New Roman"/>
          <w:bCs/>
        </w:rPr>
        <w:t xml:space="preserve"> </w:t>
      </w:r>
      <w:r w:rsidR="00816E70" w:rsidRPr="00816E70">
        <w:rPr>
          <w:rFonts w:ascii="Times New Roman" w:hAnsi="Times New Roman" w:cs="Times New Roman"/>
          <w:bCs/>
        </w:rPr>
        <w:t>a limit on the ownership of electricity generation assets of no more than 20 pe</w:t>
      </w:r>
      <w:r w:rsidR="00816E70">
        <w:rPr>
          <w:rFonts w:ascii="Times New Roman" w:hAnsi="Times New Roman" w:cs="Times New Roman"/>
          <w:bCs/>
        </w:rPr>
        <w:t xml:space="preserve">r cent of the generation market. </w:t>
      </w:r>
      <w:r w:rsidRPr="00816E70">
        <w:rPr>
          <w:rFonts w:ascii="Times New Roman" w:hAnsi="Times New Roman" w:cs="Times New Roman"/>
        </w:rPr>
        <w:t xml:space="preserve">In addition to the ACCC reforms, the Government has directed the ACCC to monitor retail prices, </w:t>
      </w:r>
      <w:r w:rsidR="00816E70" w:rsidRPr="00816E70">
        <w:rPr>
          <w:rFonts w:ascii="Times New Roman" w:hAnsi="Times New Roman" w:cs="Times New Roman"/>
        </w:rPr>
        <w:t>wholesale bids and market competition</w:t>
      </w:r>
      <w:r w:rsidR="007D43E8">
        <w:rPr>
          <w:rFonts w:ascii="Times New Roman" w:hAnsi="Times New Roman" w:cs="Times New Roman"/>
        </w:rPr>
        <w:t xml:space="preserve"> out to 2025</w:t>
      </w:r>
      <w:r w:rsidR="00816E70" w:rsidRPr="00816E70">
        <w:rPr>
          <w:rFonts w:ascii="Times New Roman" w:hAnsi="Times New Roman" w:cs="Times New Roman"/>
        </w:rPr>
        <w:t>.</w:t>
      </w:r>
      <w:r w:rsidRPr="00816E70">
        <w:rPr>
          <w:rFonts w:ascii="Times New Roman" w:hAnsi="Times New Roman" w:cs="Times New Roman"/>
        </w:rPr>
        <w:t xml:space="preserve"> Under this public inquiry, the ACCC will prepare six-monthly reports to the Treasurer reporting on its findings including any identified unacceptable outcomes</w:t>
      </w:r>
      <w:r w:rsidR="007D43E8">
        <w:rPr>
          <w:rFonts w:ascii="Times New Roman" w:hAnsi="Times New Roman" w:cs="Times New Roman"/>
        </w:rPr>
        <w:t xml:space="preserve"> and further areas of reform</w:t>
      </w:r>
      <w:r w:rsidRPr="00816E70">
        <w:rPr>
          <w:rFonts w:ascii="Times New Roman" w:hAnsi="Times New Roman" w:cs="Times New Roman"/>
        </w:rPr>
        <w:t xml:space="preserve">. </w:t>
      </w:r>
    </w:p>
    <w:p w14:paraId="4D354FA6" w14:textId="0B84ED43" w:rsidR="0096014C" w:rsidRPr="00AC6FC6" w:rsidRDefault="0096014C" w:rsidP="0096014C">
      <w:pPr>
        <w:rPr>
          <w:rFonts w:ascii="Times New Roman" w:hAnsi="Times New Roman" w:cs="Times New Roman"/>
        </w:rPr>
      </w:pPr>
      <w:r w:rsidRPr="00AC6FC6">
        <w:rPr>
          <w:rFonts w:ascii="Times New Roman" w:hAnsi="Times New Roman" w:cs="Times New Roman"/>
        </w:rPr>
        <w:t>As a part of these reforms, the Government has indicated that where the ACCC identifies unacceptable</w:t>
      </w:r>
      <w:r w:rsidRPr="00E5192C">
        <w:rPr>
          <w:rFonts w:ascii="Times New Roman" w:hAnsi="Times New Roman" w:cs="Times New Roman"/>
        </w:rPr>
        <w:t xml:space="preserve"> outcomes, </w:t>
      </w:r>
      <w:r w:rsidR="007D43E8">
        <w:rPr>
          <w:rFonts w:ascii="Times New Roman" w:hAnsi="Times New Roman" w:cs="Times New Roman"/>
        </w:rPr>
        <w:t xml:space="preserve">a </w:t>
      </w:r>
      <w:r w:rsidRPr="00E5192C">
        <w:rPr>
          <w:rFonts w:ascii="Times New Roman" w:hAnsi="Times New Roman" w:cs="Times New Roman"/>
        </w:rPr>
        <w:t>graduated range of enforcement remedies and responses will be available for use as appropriate (proportional and targeted to the conduct of concern)</w:t>
      </w:r>
      <w:r w:rsidRPr="00AC6FC6">
        <w:rPr>
          <w:rFonts w:ascii="Times New Roman" w:hAnsi="Times New Roman" w:cs="Times New Roman"/>
        </w:rPr>
        <w:t>. These enforcement measures will include ACCC-issued public warning notices and infringement notices, court-ordered civil penalties, court-enforceable undertakings, and Treasurer imposed contracting orders. The Treasurer imposed orders will be based on the recommendation of the ACCC and prior to such recommendation being made, the relevant corporation will be given an opportunity to explain or rectify the conduct.</w:t>
      </w:r>
    </w:p>
    <w:p w14:paraId="113D77F0" w14:textId="77777777" w:rsidR="0096014C" w:rsidRPr="00AC6FC6" w:rsidRDefault="0096014C" w:rsidP="0096014C">
      <w:pPr>
        <w:rPr>
          <w:rFonts w:ascii="Times New Roman" w:hAnsi="Times New Roman" w:cs="Times New Roman"/>
        </w:rPr>
      </w:pPr>
      <w:r w:rsidRPr="00AC6FC6">
        <w:rPr>
          <w:rFonts w:ascii="Times New Roman" w:hAnsi="Times New Roman" w:cs="Times New Roman"/>
        </w:rPr>
        <w:t xml:space="preserve">The Government is also working with state and territory governments to progress a Retailer Reliability Obligation (RRO). An RRO will ensure sufficient resources will be available to meet demand in the NEM, particularly in regions with limited access to </w:t>
      </w:r>
      <w:proofErr w:type="spellStart"/>
      <w:r w:rsidRPr="00AC6FC6">
        <w:rPr>
          <w:rFonts w:ascii="Times New Roman" w:hAnsi="Times New Roman" w:cs="Times New Roman"/>
        </w:rPr>
        <w:t>dispatchable</w:t>
      </w:r>
      <w:proofErr w:type="spellEnd"/>
      <w:r w:rsidRPr="00AC6FC6">
        <w:rPr>
          <w:rFonts w:ascii="Times New Roman" w:hAnsi="Times New Roman" w:cs="Times New Roman"/>
        </w:rPr>
        <w:t xml:space="preserve"> generation. If the right investment does not come forward to address forecast supply shortfalls, this would trigger an obligation on electricity retailers to demonstrate they can meet their share of peak demand.</w:t>
      </w:r>
    </w:p>
    <w:p w14:paraId="7E2EE37D" w14:textId="59343743" w:rsidR="0096014C" w:rsidRPr="00AC6FC6" w:rsidRDefault="0001269F" w:rsidP="00CC5876">
      <w:pPr>
        <w:rPr>
          <w:rFonts w:ascii="Times New Roman" w:hAnsi="Times New Roman" w:cs="Times New Roman"/>
        </w:rPr>
      </w:pPr>
      <w:r w:rsidRPr="0001269F">
        <w:rPr>
          <w:rFonts w:ascii="Times New Roman" w:hAnsi="Times New Roman" w:cs="Times New Roman"/>
        </w:rPr>
        <w:t xml:space="preserve">The Government has taken strong action to ensure gas prices go down and gas supply goes up. It has put in place the Australian Domestic Gas Security Mechanism to ensure there is a sufficient supply of natural gas to meet the forecast needs of energy users within Australia. The Treasurer has directed the ACCC to monitor the supply and pricing of gas. The Government is also providing $2.5 million in the </w:t>
      </w:r>
      <w:r w:rsidR="0096014C" w:rsidRPr="00AC6FC6">
        <w:rPr>
          <w:rFonts w:ascii="Times New Roman" w:hAnsi="Times New Roman" w:cs="Times New Roman"/>
        </w:rPr>
        <w:t xml:space="preserve">2018-19 Budget to continue to improve the operation of the gas market. These measures complement the large COAG Energy Council Gas Market Reform Package announced in 2016 and augmented in 2017 that has progressed strongly.  Highlights of the reforms being developed with the states and territories on significant energy market reforms via the COAG Energy Council include: </w:t>
      </w:r>
    </w:p>
    <w:p w14:paraId="67DA202E" w14:textId="0E9EBF0F" w:rsidR="0096014C" w:rsidRPr="00AC6FC6" w:rsidRDefault="0096014C" w:rsidP="0096014C">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lastRenderedPageBreak/>
        <w:t>improvements to the Gas Bulletin board managed by the Australian Energy Market Operator to improve transparency and liquidity in the gas market</w:t>
      </w:r>
      <w:r w:rsidR="007F02E6">
        <w:rPr>
          <w:rFonts w:ascii="Times New Roman" w:hAnsi="Times New Roman" w:cs="Times New Roman"/>
          <w:bCs/>
        </w:rPr>
        <w:t>;</w:t>
      </w:r>
      <w:r w:rsidRPr="00CC5876">
        <w:rPr>
          <w:rFonts w:ascii="Times New Roman" w:hAnsi="Times New Roman" w:cs="Times New Roman"/>
          <w:bCs/>
        </w:rPr>
        <w:t xml:space="preserve"> </w:t>
      </w:r>
    </w:p>
    <w:p w14:paraId="36116299" w14:textId="7859C549" w:rsidR="0096014C" w:rsidRPr="00AC6FC6" w:rsidRDefault="0096014C" w:rsidP="0096014C">
      <w:pPr>
        <w:pStyle w:val="ListBullet"/>
        <w:numPr>
          <w:ilvl w:val="0"/>
          <w:numId w:val="34"/>
        </w:numPr>
        <w:spacing w:line="252" w:lineRule="auto"/>
        <w:rPr>
          <w:rFonts w:ascii="Times New Roman" w:hAnsi="Times New Roman" w:cs="Times New Roman"/>
          <w:bCs/>
        </w:rPr>
      </w:pPr>
      <w:r w:rsidRPr="00AC6FC6">
        <w:rPr>
          <w:rFonts w:ascii="Times New Roman" w:hAnsi="Times New Roman" w:cs="Times New Roman"/>
          <w:bCs/>
        </w:rPr>
        <w:t>Information Disclosure and Arbitration Rules under the National Gas Law. There has already been positive feedback that these reforms are putting downward pressure on the cost of shipping gas</w:t>
      </w:r>
      <w:r w:rsidR="007F02E6">
        <w:rPr>
          <w:rFonts w:ascii="Times New Roman" w:hAnsi="Times New Roman" w:cs="Times New Roman"/>
          <w:bCs/>
        </w:rPr>
        <w:t>;</w:t>
      </w:r>
      <w:r w:rsidRPr="00AC6FC6">
        <w:rPr>
          <w:rFonts w:ascii="Times New Roman" w:hAnsi="Times New Roman" w:cs="Times New Roman"/>
          <w:bCs/>
        </w:rPr>
        <w:t xml:space="preserve"> </w:t>
      </w:r>
    </w:p>
    <w:p w14:paraId="540051E9" w14:textId="77777777" w:rsidR="0096014C" w:rsidRPr="00AC6FC6" w:rsidRDefault="0096014C" w:rsidP="0096014C">
      <w:pPr>
        <w:pStyle w:val="ListBullet"/>
        <w:numPr>
          <w:ilvl w:val="0"/>
          <w:numId w:val="34"/>
        </w:numPr>
        <w:spacing w:line="252" w:lineRule="auto"/>
        <w:rPr>
          <w:rFonts w:ascii="Times New Roman" w:hAnsi="Times New Roman" w:cs="Times New Roman"/>
          <w:bCs/>
        </w:rPr>
      </w:pPr>
      <w:r w:rsidRPr="00AC6FC6">
        <w:rPr>
          <w:rFonts w:ascii="Times New Roman" w:hAnsi="Times New Roman" w:cs="Times New Roman"/>
          <w:bCs/>
        </w:rPr>
        <w:t>A capacity trading platform that will form part of the Gas Supply Hub trading exchange and will allow shippers to trade secondary capacity ahead of the nomination cut-off time; and</w:t>
      </w:r>
    </w:p>
    <w:p w14:paraId="0250DE9B" w14:textId="47179294" w:rsidR="00DD39FE" w:rsidRPr="003A4BEB" w:rsidRDefault="0096014C" w:rsidP="003A4BEB">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A day-ahead auction for contracted but un-nominated capacity.</w:t>
      </w:r>
    </w:p>
    <w:p w14:paraId="186EF240"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pPr>
      <w:r w:rsidRPr="00AB5E04">
        <w:t>Recommendation 2</w:t>
      </w:r>
    </w:p>
    <w:p w14:paraId="47C2D5B7" w14:textId="09502472" w:rsidR="000E6435" w:rsidRPr="003A4BEB"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investigate the possibility of making third-party certification of steel compulsory for structural and fabricated steel used in Australia where relevant standards are available.</w:t>
      </w:r>
    </w:p>
    <w:p w14:paraId="188DA6B9" w14:textId="57404B40" w:rsidR="000E6435" w:rsidRPr="00AB5E04" w:rsidRDefault="000E6435" w:rsidP="000E6435">
      <w:pPr>
        <w:rPr>
          <w:rFonts w:ascii="Times New Roman" w:hAnsi="Times New Roman" w:cs="Times New Roman"/>
        </w:rPr>
      </w:pPr>
      <w:r w:rsidRPr="00AB5E04">
        <w:rPr>
          <w:rFonts w:ascii="Times New Roman" w:hAnsi="Times New Roman" w:cs="Times New Roman"/>
        </w:rPr>
        <w:t xml:space="preserve">The Australian Government </w:t>
      </w:r>
      <w:r w:rsidR="00DB1E98"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19646743" w14:textId="78535E91" w:rsidR="00DB1E98" w:rsidRPr="00AB5E04" w:rsidRDefault="00DB1E98" w:rsidP="00DB1E98">
      <w:pPr>
        <w:rPr>
          <w:rFonts w:ascii="Times New Roman" w:hAnsi="Times New Roman" w:cs="Times New Roman"/>
        </w:rPr>
      </w:pPr>
      <w:r w:rsidRPr="00AB5E04">
        <w:rPr>
          <w:rFonts w:ascii="Times New Roman" w:hAnsi="Times New Roman" w:cs="Times New Roman"/>
        </w:rPr>
        <w:t>The Government recognises that there are already a number of voluntary certification processes in place for steel (both structural and fabricated). It would not be appropriate for the Government to mandate third-party certification processes</w:t>
      </w:r>
      <w:r w:rsidR="00FD0EC3" w:rsidRPr="00AB5E04">
        <w:rPr>
          <w:rFonts w:ascii="Times New Roman" w:hAnsi="Times New Roman" w:cs="Times New Roman"/>
        </w:rPr>
        <w:t xml:space="preserve">. </w:t>
      </w:r>
      <w:r w:rsidR="00EA029F" w:rsidRPr="00AB5E04">
        <w:rPr>
          <w:rFonts w:ascii="Times New Roman" w:hAnsi="Times New Roman" w:cs="Times New Roman"/>
        </w:rPr>
        <w:t xml:space="preserve">Rather, it is </w:t>
      </w:r>
      <w:r w:rsidRPr="00AB5E04">
        <w:rPr>
          <w:rFonts w:ascii="Times New Roman" w:hAnsi="Times New Roman" w:cs="Times New Roman"/>
        </w:rPr>
        <w:t>up to the market to determine the appropriateness of certification for each structural or fabricated product.</w:t>
      </w:r>
    </w:p>
    <w:p w14:paraId="0FE1ED52" w14:textId="0EE25112" w:rsidR="000E6435" w:rsidRPr="003A4BEB" w:rsidRDefault="00DB1E98">
      <w:pPr>
        <w:rPr>
          <w:rFonts w:ascii="Times New Roman" w:hAnsi="Times New Roman" w:cs="Times New Roman"/>
        </w:rPr>
      </w:pPr>
      <w:r w:rsidRPr="00AB5E04">
        <w:rPr>
          <w:rFonts w:ascii="Times New Roman" w:hAnsi="Times New Roman" w:cs="Times New Roman"/>
        </w:rPr>
        <w:t>Mandatory certification would impose a new</w:t>
      </w:r>
      <w:r w:rsidR="00B55204" w:rsidRPr="00AB5E04">
        <w:rPr>
          <w:rFonts w:ascii="Times New Roman" w:hAnsi="Times New Roman" w:cs="Times New Roman"/>
        </w:rPr>
        <w:t xml:space="preserve"> and unnecessary</w:t>
      </w:r>
      <w:r w:rsidRPr="00AB5E04">
        <w:rPr>
          <w:rFonts w:ascii="Times New Roman" w:hAnsi="Times New Roman" w:cs="Times New Roman"/>
        </w:rPr>
        <w:t xml:space="preserve"> regulatory burden on business. The Government is working to reduce the complexity of regulation for Australian businesses by streamlining regulatory and compliance requirements to ensure businesses can focus on growing, creating more jobs and developing new products and market opportunities.</w:t>
      </w:r>
    </w:p>
    <w:p w14:paraId="58E518C9"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t>Recommendation 3</w:t>
      </w:r>
    </w:p>
    <w:p w14:paraId="67F4CEFA"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work with the states and territories to improve consistency in standards between different Australian jurisdictions and regulatory bodies, with a view to harmonising current standards requirements.</w:t>
      </w:r>
    </w:p>
    <w:p w14:paraId="3F03ECA9" w14:textId="77777777" w:rsidR="000E6435" w:rsidRPr="00AB5E04" w:rsidRDefault="000E6435" w:rsidP="000E6435">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476040D5" w14:textId="2EDAC7A4" w:rsidR="00B236E6" w:rsidRDefault="00B55204" w:rsidP="00792BF1">
      <w:pPr>
        <w:rPr>
          <w:rFonts w:ascii="Times New Roman" w:hAnsi="Times New Roman" w:cs="Times New Roman"/>
        </w:rPr>
      </w:pPr>
      <w:r w:rsidRPr="00AB5E04">
        <w:rPr>
          <w:rFonts w:ascii="Times New Roman" w:hAnsi="Times New Roman" w:cs="Times New Roman"/>
        </w:rPr>
        <w:t>In 2016</w:t>
      </w:r>
      <w:r w:rsidR="00FD0EC3" w:rsidRPr="00AB5E04">
        <w:rPr>
          <w:rFonts w:ascii="Times New Roman" w:hAnsi="Times New Roman" w:cs="Times New Roman"/>
        </w:rPr>
        <w:t>,</w:t>
      </w:r>
      <w:r w:rsidRPr="00AB5E04">
        <w:rPr>
          <w:rFonts w:ascii="Times New Roman" w:hAnsi="Times New Roman" w:cs="Times New Roman"/>
        </w:rPr>
        <w:t xml:space="preserve"> the Department of Industry, Innovation and Science published a best practice guide to using standards and risk assessments in policy and regulation available at:</w:t>
      </w:r>
      <w:r w:rsidR="00DD021B">
        <w:rPr>
          <w:rFonts w:ascii="Times New Roman" w:hAnsi="Times New Roman" w:cs="Times New Roman"/>
        </w:rPr>
        <w:t xml:space="preserve"> </w:t>
      </w:r>
      <w:hyperlink r:id="rId13" w:history="1">
        <w:r w:rsidR="00DD021B" w:rsidRPr="003A596C">
          <w:rPr>
            <w:rStyle w:val="Hyperlink"/>
            <w:rFonts w:ascii="Times New Roman" w:hAnsi="Times New Roman" w:cs="Times New Roman"/>
          </w:rPr>
          <w:t>https://www.industry.gov.au/regulation-and-standards/developing-and-applying-standards</w:t>
        </w:r>
      </w:hyperlink>
      <w:r w:rsidR="00DD021B">
        <w:rPr>
          <w:rFonts w:ascii="Times New Roman" w:hAnsi="Times New Roman" w:cs="Times New Roman"/>
        </w:rPr>
        <w:t xml:space="preserve"> </w:t>
      </w:r>
      <w:bookmarkStart w:id="0" w:name="_GoBack"/>
      <w:bookmarkEnd w:id="0"/>
      <w:r w:rsidR="00B23ACB" w:rsidRPr="00B23ACB">
        <w:t xml:space="preserve"> </w:t>
      </w:r>
    </w:p>
    <w:p w14:paraId="64F9D039" w14:textId="52A4195F" w:rsidR="00EA029F" w:rsidRPr="00AB5E04" w:rsidRDefault="00B55204" w:rsidP="00792BF1">
      <w:pPr>
        <w:rPr>
          <w:rFonts w:ascii="Times New Roman" w:hAnsi="Times New Roman" w:cs="Times New Roman"/>
        </w:rPr>
      </w:pPr>
      <w:r w:rsidRPr="00AB5E04">
        <w:rPr>
          <w:rFonts w:ascii="Times New Roman" w:hAnsi="Times New Roman" w:cs="Times New Roman"/>
        </w:rPr>
        <w:t xml:space="preserve">The guide provides step-by-step </w:t>
      </w:r>
      <w:r w:rsidR="00BE6B41" w:rsidRPr="00AB5E04">
        <w:rPr>
          <w:rFonts w:ascii="Times New Roman" w:hAnsi="Times New Roman" w:cs="Times New Roman"/>
        </w:rPr>
        <w:t>instructions</w:t>
      </w:r>
      <w:r w:rsidRPr="00AB5E04">
        <w:rPr>
          <w:rFonts w:ascii="Times New Roman" w:hAnsi="Times New Roman" w:cs="Times New Roman"/>
        </w:rPr>
        <w:t xml:space="preserve"> on how to use standards and risk assessments in policy including: appropriate policy settings, standard</w:t>
      </w:r>
      <w:r w:rsidR="00EA029F" w:rsidRPr="00AB5E04">
        <w:rPr>
          <w:rFonts w:ascii="Times New Roman" w:hAnsi="Times New Roman" w:cs="Times New Roman"/>
        </w:rPr>
        <w:t>s</w:t>
      </w:r>
      <w:r w:rsidRPr="00AB5E04">
        <w:rPr>
          <w:rFonts w:ascii="Times New Roman" w:hAnsi="Times New Roman" w:cs="Times New Roman"/>
        </w:rPr>
        <w:t xml:space="preserve"> and risk assessment selection, assessment of performance and outcomes, and adoption into policy frameworks. </w:t>
      </w:r>
    </w:p>
    <w:p w14:paraId="0B5992CA" w14:textId="2F5E98A0" w:rsidR="00F767D8" w:rsidRDefault="00D30F4F">
      <w:pPr>
        <w:rPr>
          <w:rFonts w:ascii="Times New Roman" w:hAnsi="Times New Roman" w:cs="Times New Roman"/>
        </w:rPr>
      </w:pPr>
      <w:r>
        <w:rPr>
          <w:rFonts w:ascii="Times New Roman" w:hAnsi="Times New Roman" w:cs="Times New Roman"/>
        </w:rPr>
        <w:t xml:space="preserve">Building on this work, the COAG Industry and Skills Council (CISC) has considered and accepted options to improve the way jurisdictions collect </w:t>
      </w:r>
      <w:r w:rsidRPr="001A66BC">
        <w:rPr>
          <w:rFonts w:ascii="Times New Roman" w:hAnsi="Times New Roman" w:cs="Times New Roman"/>
        </w:rPr>
        <w:t xml:space="preserve">and share information relating to all standards referenced in legislation. Improvements in data collection and sharing </w:t>
      </w:r>
      <w:r w:rsidRPr="008C3B90">
        <w:rPr>
          <w:rFonts w:ascii="Times New Roman" w:hAnsi="Times New Roman" w:cs="Times New Roman"/>
        </w:rPr>
        <w:t xml:space="preserve">will </w:t>
      </w:r>
      <w:r w:rsidRPr="001A66BC">
        <w:rPr>
          <w:rFonts w:ascii="Times New Roman" w:hAnsi="Times New Roman" w:cs="Times New Roman"/>
        </w:rPr>
        <w:t>provide for more consistent approaches to updating legislation when referenced standards are revised</w:t>
      </w:r>
      <w:r w:rsidRPr="008C3B90">
        <w:rPr>
          <w:rFonts w:ascii="Times New Roman" w:hAnsi="Times New Roman" w:cs="Times New Roman"/>
        </w:rPr>
        <w:t>. It will also assist with</w:t>
      </w:r>
      <w:r w:rsidRPr="001A66BC">
        <w:rPr>
          <w:rFonts w:ascii="Times New Roman" w:hAnsi="Times New Roman" w:cs="Times New Roman"/>
        </w:rPr>
        <w:t xml:space="preserve"> greater</w:t>
      </w:r>
      <w:r w:rsidRPr="003B126F">
        <w:rPr>
          <w:rFonts w:ascii="Times New Roman" w:hAnsi="Times New Roman" w:cs="Times New Roman"/>
        </w:rPr>
        <w:t xml:space="preserve"> harmonisation of legislative requirements between jurisdictions. </w:t>
      </w:r>
    </w:p>
    <w:p w14:paraId="43FB88DD"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4</w:t>
      </w:r>
    </w:p>
    <w:p w14:paraId="23BE6AD7"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Subject to forthcoming recommendations from the Senate inquiry into non-conforming building products, the committee recommends that the Australian Government develop a confidential reporting mechanism through which industry and other stakeholders can report non-conforming steel products so that the Commonwealth Federal Safety Commissioner can take proportionate action based on the safety risk posed by the product.</w:t>
      </w:r>
    </w:p>
    <w:p w14:paraId="63A7B649" w14:textId="77777777" w:rsidR="000E6435" w:rsidRPr="00AB5E04" w:rsidRDefault="000E6435" w:rsidP="000E6435">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0F5EB679" w14:textId="36658D7D" w:rsidR="00FF19EE" w:rsidRPr="00AB5E04" w:rsidRDefault="00FF19EE" w:rsidP="00FF19EE">
      <w:pPr>
        <w:rPr>
          <w:rFonts w:ascii="Times New Roman" w:hAnsi="Times New Roman" w:cs="Times New Roman"/>
        </w:rPr>
      </w:pPr>
      <w:r w:rsidRPr="00AB5E04">
        <w:rPr>
          <w:rFonts w:ascii="Times New Roman" w:hAnsi="Times New Roman" w:cs="Times New Roman"/>
        </w:rPr>
        <w:t xml:space="preserve">Responsibility for ensuring compliance with the National Construction Code </w:t>
      </w:r>
      <w:r w:rsidR="00AF770D" w:rsidRPr="00AB5E04">
        <w:rPr>
          <w:rFonts w:ascii="Times New Roman" w:hAnsi="Times New Roman" w:cs="Times New Roman"/>
        </w:rPr>
        <w:t xml:space="preserve">(NCC) </w:t>
      </w:r>
      <w:r w:rsidRPr="00AB5E04">
        <w:rPr>
          <w:rFonts w:ascii="Times New Roman" w:hAnsi="Times New Roman" w:cs="Times New Roman"/>
        </w:rPr>
        <w:t>resides with the state and territory building regulators.</w:t>
      </w:r>
    </w:p>
    <w:p w14:paraId="3F8B020B" w14:textId="331F4954" w:rsidR="00FF19EE" w:rsidRPr="00AB5E04" w:rsidRDefault="00FF19EE" w:rsidP="00FF19EE">
      <w:pPr>
        <w:rPr>
          <w:rFonts w:ascii="Times New Roman" w:hAnsi="Times New Roman" w:cs="Times New Roman"/>
        </w:rPr>
      </w:pPr>
      <w:r w:rsidRPr="00AB5E04">
        <w:rPr>
          <w:rFonts w:ascii="Times New Roman" w:hAnsi="Times New Roman" w:cs="Times New Roman"/>
        </w:rPr>
        <w:t xml:space="preserve">On </w:t>
      </w:r>
      <w:r w:rsidR="00926844">
        <w:rPr>
          <w:rFonts w:ascii="Times New Roman" w:hAnsi="Times New Roman" w:cs="Times New Roman"/>
        </w:rPr>
        <w:t>30 June</w:t>
      </w:r>
      <w:r w:rsidRPr="00AB5E04">
        <w:rPr>
          <w:rFonts w:ascii="Times New Roman" w:hAnsi="Times New Roman" w:cs="Times New Roman"/>
        </w:rPr>
        <w:t xml:space="preserve"> 2017, the Building Ministers’ Forum</w:t>
      </w:r>
      <w:r w:rsidR="007F02E6">
        <w:rPr>
          <w:rFonts w:ascii="Times New Roman" w:hAnsi="Times New Roman" w:cs="Times New Roman"/>
        </w:rPr>
        <w:t xml:space="preserve"> (BMF)</w:t>
      </w:r>
      <w:r w:rsidRPr="00AB5E04">
        <w:rPr>
          <w:rFonts w:ascii="Times New Roman" w:hAnsi="Times New Roman" w:cs="Times New Roman"/>
        </w:rPr>
        <w:t xml:space="preserve"> launched the </w:t>
      </w:r>
      <w:r w:rsidR="00926844" w:rsidRPr="00AB5E04">
        <w:rPr>
          <w:rFonts w:ascii="Times New Roman" w:hAnsi="Times New Roman" w:cs="Times New Roman"/>
        </w:rPr>
        <w:t xml:space="preserve">non-conforming building product </w:t>
      </w:r>
      <w:r w:rsidRPr="00AB5E04">
        <w:rPr>
          <w:rFonts w:ascii="Times New Roman" w:hAnsi="Times New Roman" w:cs="Times New Roman"/>
        </w:rPr>
        <w:t xml:space="preserve">webpage </w:t>
      </w:r>
      <w:r w:rsidR="00926844">
        <w:rPr>
          <w:rFonts w:ascii="Times New Roman" w:hAnsi="Times New Roman" w:cs="Times New Roman"/>
        </w:rPr>
        <w:t>on the Australian Building Codes Board (ABCB) website (</w:t>
      </w:r>
      <w:hyperlink r:id="rId14" w:history="1">
        <w:r w:rsidR="00B55204" w:rsidRPr="00AB5E04">
          <w:rPr>
            <w:rStyle w:val="Hyperlink"/>
            <w:rFonts w:ascii="Times New Roman" w:hAnsi="Times New Roman" w:cs="Times New Roman"/>
          </w:rPr>
          <w:t>www.abcb.gov.au</w:t>
        </w:r>
      </w:hyperlink>
      <w:r w:rsidR="00926844">
        <w:rPr>
          <w:rStyle w:val="Hyperlink"/>
          <w:rFonts w:ascii="Times New Roman" w:hAnsi="Times New Roman" w:cs="Times New Roman"/>
        </w:rPr>
        <w:t>)</w:t>
      </w:r>
      <w:r w:rsidR="00B55204" w:rsidRPr="00AB5E04">
        <w:rPr>
          <w:rFonts w:ascii="Times New Roman" w:hAnsi="Times New Roman" w:cs="Times New Roman"/>
        </w:rPr>
        <w:t>.</w:t>
      </w:r>
      <w:r w:rsidRPr="00AB5E04">
        <w:rPr>
          <w:rFonts w:ascii="Times New Roman" w:hAnsi="Times New Roman" w:cs="Times New Roman"/>
        </w:rPr>
        <w:t xml:space="preserve"> </w:t>
      </w:r>
      <w:r w:rsidR="00926844">
        <w:rPr>
          <w:rFonts w:ascii="Times New Roman" w:hAnsi="Times New Roman" w:cs="Times New Roman"/>
        </w:rPr>
        <w:t xml:space="preserve">The webpage </w:t>
      </w:r>
      <w:r w:rsidR="00926844" w:rsidRPr="00584277">
        <w:rPr>
          <w:rFonts w:ascii="Times New Roman" w:hAnsi="Times New Roman" w:cs="Times New Roman"/>
        </w:rPr>
        <w:t xml:space="preserve">was developed in consultation with state and territory building jurisdictions and key industry stakeholders, and </w:t>
      </w:r>
      <w:r w:rsidRPr="00AB5E04">
        <w:rPr>
          <w:rFonts w:ascii="Times New Roman" w:hAnsi="Times New Roman" w:cs="Times New Roman"/>
        </w:rPr>
        <w:t>provides information on:</w:t>
      </w:r>
    </w:p>
    <w:p w14:paraId="0ED3F40B" w14:textId="77777777" w:rsidR="000530BD" w:rsidRPr="00CC5876" w:rsidRDefault="000530BD"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the requirements for compliance and conformance;</w:t>
      </w:r>
    </w:p>
    <w:p w14:paraId="7445FB12" w14:textId="77777777" w:rsidR="000530BD" w:rsidRPr="00CC5876" w:rsidRDefault="000530BD"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individual responsibility;</w:t>
      </w:r>
    </w:p>
    <w:p w14:paraId="3BBDE0C5" w14:textId="77777777" w:rsidR="000530BD" w:rsidRPr="00CC5876" w:rsidRDefault="000530BD"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how to ensure that a product conforms;</w:t>
      </w:r>
    </w:p>
    <w:p w14:paraId="7E64A986" w14:textId="77777777" w:rsidR="000530BD" w:rsidRPr="00CC5876" w:rsidRDefault="000530BD"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what to do with suspect non-conformance; and</w:t>
      </w:r>
    </w:p>
    <w:p w14:paraId="03315A9F" w14:textId="5B4BE64B" w:rsidR="000530BD" w:rsidRPr="00CC5876" w:rsidRDefault="000530BD" w:rsidP="00CC5876">
      <w:pPr>
        <w:pStyle w:val="ListBullet"/>
        <w:numPr>
          <w:ilvl w:val="0"/>
          <w:numId w:val="34"/>
        </w:numPr>
        <w:spacing w:line="252" w:lineRule="auto"/>
        <w:rPr>
          <w:rFonts w:ascii="Times New Roman" w:hAnsi="Times New Roman" w:cs="Times New Roman"/>
          <w:bCs/>
        </w:rPr>
      </w:pPr>
      <w:r w:rsidRPr="00CC5876">
        <w:rPr>
          <w:rFonts w:ascii="Times New Roman" w:hAnsi="Times New Roman" w:cs="Times New Roman"/>
          <w:bCs/>
        </w:rPr>
        <w:t xml:space="preserve">how to lodge a query or report a suspected </w:t>
      </w:r>
      <w:r w:rsidR="00926844" w:rsidRPr="00AB5E04">
        <w:rPr>
          <w:rFonts w:ascii="Times New Roman" w:hAnsi="Times New Roman" w:cs="Times New Roman"/>
        </w:rPr>
        <w:t xml:space="preserve">non-conforming building </w:t>
      </w:r>
      <w:r w:rsidR="00282E5E" w:rsidRPr="00AB5E04">
        <w:rPr>
          <w:rFonts w:ascii="Times New Roman" w:hAnsi="Times New Roman" w:cs="Times New Roman"/>
        </w:rPr>
        <w:t>product</w:t>
      </w:r>
      <w:r w:rsidRPr="00CC5876">
        <w:rPr>
          <w:rFonts w:ascii="Times New Roman" w:hAnsi="Times New Roman" w:cs="Times New Roman"/>
          <w:bCs/>
        </w:rPr>
        <w:t>.</w:t>
      </w:r>
    </w:p>
    <w:p w14:paraId="0139CE63" w14:textId="522CF35A" w:rsidR="00E3178C" w:rsidRPr="00AB5E04" w:rsidRDefault="00762DD1" w:rsidP="00E3178C">
      <w:pPr>
        <w:rPr>
          <w:rFonts w:ascii="Times New Roman" w:hAnsi="Times New Roman" w:cs="Times New Roman"/>
        </w:rPr>
      </w:pPr>
      <w:r w:rsidRPr="00AB5E04">
        <w:rPr>
          <w:rFonts w:ascii="Times New Roman" w:hAnsi="Times New Roman" w:cs="Times New Roman"/>
        </w:rPr>
        <w:t>Any query or report lodged through this webpage is confidential and directed to the relevant state or territory building regulator for appropriate remedial action, including referral to the appropriate occupational, health and safety regulator.</w:t>
      </w:r>
    </w:p>
    <w:p w14:paraId="7EBDC9EA" w14:textId="09CEA7F0" w:rsidR="00806B22" w:rsidRPr="00AB5E04" w:rsidRDefault="00806B22" w:rsidP="00CF2AD3">
      <w:pPr>
        <w:rPr>
          <w:rFonts w:ascii="Times New Roman" w:hAnsi="Times New Roman" w:cs="Times New Roman"/>
        </w:rPr>
      </w:pPr>
      <w:r w:rsidRPr="00AB5E04">
        <w:rPr>
          <w:rFonts w:ascii="Times New Roman" w:hAnsi="Times New Roman" w:cs="Times New Roman"/>
        </w:rPr>
        <w:t>The Federal Safety Commissioner (FSC) takes appropriate remedial action with FSC-accredited building companies in response to any advice about potential or actual non</w:t>
      </w:r>
      <w:r w:rsidRPr="00AB5E04">
        <w:rPr>
          <w:rFonts w:ascii="Times New Roman" w:hAnsi="Times New Roman" w:cs="Times New Roman"/>
        </w:rPr>
        <w:noBreakHyphen/>
        <w:t xml:space="preserve">compliance relevant to its functions, including from state and territory regulators. This includes the legislative function related to </w:t>
      </w:r>
      <w:r w:rsidR="00CD7733">
        <w:rPr>
          <w:rFonts w:ascii="Times New Roman" w:hAnsi="Times New Roman" w:cs="Times New Roman"/>
        </w:rPr>
        <w:t xml:space="preserve">auditing </w:t>
      </w:r>
      <w:r w:rsidRPr="00AB5E04">
        <w:rPr>
          <w:rFonts w:ascii="Times New Roman" w:hAnsi="Times New Roman" w:cs="Times New Roman"/>
        </w:rPr>
        <w:t xml:space="preserve">compliance of building materials with the performance specifications of the </w:t>
      </w:r>
      <w:r w:rsidR="00AF770D" w:rsidRPr="00AB5E04">
        <w:rPr>
          <w:rFonts w:ascii="Times New Roman" w:hAnsi="Times New Roman" w:cs="Times New Roman"/>
        </w:rPr>
        <w:t>NCC</w:t>
      </w:r>
      <w:r w:rsidRPr="00AB5E04">
        <w:rPr>
          <w:rFonts w:ascii="Times New Roman" w:hAnsi="Times New Roman" w:cs="Times New Roman"/>
        </w:rPr>
        <w:t xml:space="preserve">. </w:t>
      </w:r>
    </w:p>
    <w:p w14:paraId="37BB8105" w14:textId="77777777" w:rsidR="00041EE8" w:rsidRDefault="00041EE8" w:rsidP="00041EE8">
      <w:pPr>
        <w:rPr>
          <w:rFonts w:ascii="Times New Roman" w:hAnsi="Times New Roman" w:cs="Times New Roman"/>
        </w:rPr>
      </w:pPr>
      <w:r w:rsidRPr="00AB5E04">
        <w:rPr>
          <w:rFonts w:ascii="Times New Roman" w:hAnsi="Times New Roman" w:cs="Times New Roman"/>
        </w:rPr>
        <w:t xml:space="preserve">The </w:t>
      </w:r>
      <w:r>
        <w:rPr>
          <w:rFonts w:ascii="Times New Roman" w:hAnsi="Times New Roman" w:cs="Times New Roman"/>
        </w:rPr>
        <w:t xml:space="preserve">Government will consider and respond to the final report of the </w:t>
      </w:r>
      <w:r w:rsidRPr="00AB5E04">
        <w:rPr>
          <w:rFonts w:ascii="Times New Roman" w:hAnsi="Times New Roman" w:cs="Times New Roman"/>
        </w:rPr>
        <w:t>Senate inquiry into non-conforming building product</w:t>
      </w:r>
      <w:r>
        <w:rPr>
          <w:rFonts w:ascii="Times New Roman" w:hAnsi="Times New Roman" w:cs="Times New Roman"/>
        </w:rPr>
        <w:t>s in</w:t>
      </w:r>
      <w:r w:rsidRPr="00AB5E04">
        <w:rPr>
          <w:rFonts w:ascii="Times New Roman" w:hAnsi="Times New Roman" w:cs="Times New Roman"/>
        </w:rPr>
        <w:t xml:space="preserve"> due </w:t>
      </w:r>
      <w:r>
        <w:rPr>
          <w:rFonts w:ascii="Times New Roman" w:hAnsi="Times New Roman" w:cs="Times New Roman"/>
        </w:rPr>
        <w:t>course.</w:t>
      </w:r>
      <w:r w:rsidRPr="00AB5E04" w:rsidDel="00926844">
        <w:rPr>
          <w:rFonts w:ascii="Times New Roman" w:hAnsi="Times New Roman" w:cs="Times New Roman"/>
        </w:rPr>
        <w:t xml:space="preserve"> </w:t>
      </w:r>
    </w:p>
    <w:p w14:paraId="0D63492C" w14:textId="34FAD8B4" w:rsidR="006346B1" w:rsidRPr="00AB5E04" w:rsidRDefault="00577224">
      <w:r>
        <w:br w:type="page"/>
      </w:r>
    </w:p>
    <w:p w14:paraId="2A11D241"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5</w:t>
      </w:r>
    </w:p>
    <w:p w14:paraId="08BBC176"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Subject to forthcoming recommendations from the Senate inquiry into non-conforming building products, the committee recommends that the Australian Government develop a clearer regulatory framework to deal with non-conforming steel products, with consideration given to stricter penalties for non-conforming products or products found to have fraudulent certifications, and the development of a public database of these products and their origin.</w:t>
      </w:r>
    </w:p>
    <w:p w14:paraId="0C452037" w14:textId="1E757186" w:rsidR="00762DD1" w:rsidRPr="00AB5E04" w:rsidRDefault="00E3178C" w:rsidP="00762DD1">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20688214" w14:textId="2A19D0D9" w:rsidR="00041EE8" w:rsidRDefault="00041EE8" w:rsidP="00CF2AD3">
      <w:pPr>
        <w:rPr>
          <w:rFonts w:ascii="Times New Roman" w:hAnsi="Times New Roman" w:cs="Times New Roman"/>
        </w:rPr>
      </w:pPr>
      <w:r w:rsidRPr="00584277">
        <w:rPr>
          <w:rFonts w:ascii="Times New Roman" w:hAnsi="Times New Roman" w:cs="Times New Roman"/>
        </w:rPr>
        <w:t xml:space="preserve">It is important to note that the State and Territory governments have responsibility for regulating building and construction activities in their respective jurisdictions, which includes penalising </w:t>
      </w:r>
      <w:r w:rsidR="00584277" w:rsidRPr="00584277">
        <w:rPr>
          <w:rFonts w:ascii="Times New Roman" w:hAnsi="Times New Roman" w:cs="Times New Roman"/>
        </w:rPr>
        <w:t xml:space="preserve">non-compliant with the NCC and the inappropriate </w:t>
      </w:r>
      <w:r w:rsidRPr="00584277">
        <w:rPr>
          <w:rFonts w:ascii="Times New Roman" w:hAnsi="Times New Roman" w:cs="Times New Roman"/>
        </w:rPr>
        <w:t>use of non-conforming building products.</w:t>
      </w:r>
    </w:p>
    <w:p w14:paraId="1AD00B60" w14:textId="2FB019D1" w:rsidR="00762DD1" w:rsidRPr="00AB5E04" w:rsidRDefault="00762DD1" w:rsidP="00CF2AD3">
      <w:pPr>
        <w:rPr>
          <w:rFonts w:ascii="Times New Roman" w:hAnsi="Times New Roman" w:cs="Times New Roman"/>
        </w:rPr>
      </w:pPr>
      <w:r w:rsidRPr="00584277">
        <w:rPr>
          <w:rFonts w:ascii="Times New Roman" w:hAnsi="Times New Roman" w:cs="Times New Roman"/>
        </w:rPr>
        <w:t>The Government, through the BMF, is working with the states and territories to stamp out the use of non-conforming building products</w:t>
      </w:r>
      <w:r w:rsidR="00FD0EC3" w:rsidRPr="00584277">
        <w:rPr>
          <w:rFonts w:ascii="Times New Roman" w:hAnsi="Times New Roman" w:cs="Times New Roman"/>
        </w:rPr>
        <w:t>.</w:t>
      </w:r>
    </w:p>
    <w:p w14:paraId="530ED67B" w14:textId="0B7E0145" w:rsidR="00762DD1" w:rsidRDefault="00762DD1" w:rsidP="00CF2AD3">
      <w:pPr>
        <w:rPr>
          <w:rFonts w:ascii="Times New Roman" w:hAnsi="Times New Roman" w:cs="Times New Roman"/>
        </w:rPr>
      </w:pPr>
      <w:r w:rsidRPr="00AB5E04">
        <w:rPr>
          <w:rFonts w:ascii="Times New Roman" w:hAnsi="Times New Roman" w:cs="Times New Roman"/>
        </w:rPr>
        <w:t xml:space="preserve">In April 2017, the BMF </w:t>
      </w:r>
      <w:r w:rsidR="00FD0EC3" w:rsidRPr="00AB5E04">
        <w:rPr>
          <w:rFonts w:ascii="Times New Roman" w:hAnsi="Times New Roman" w:cs="Times New Roman"/>
        </w:rPr>
        <w:t>a</w:t>
      </w:r>
      <w:r w:rsidRPr="00AB5E04">
        <w:rPr>
          <w:rFonts w:ascii="Times New Roman" w:hAnsi="Times New Roman" w:cs="Times New Roman"/>
        </w:rPr>
        <w:t xml:space="preserve">greed on a set of example legislative provisions that can be used by jurisdictions and regulators to address </w:t>
      </w:r>
      <w:r w:rsidR="00926844" w:rsidRPr="00AB5E04">
        <w:rPr>
          <w:rFonts w:ascii="Times New Roman" w:hAnsi="Times New Roman" w:cs="Times New Roman"/>
        </w:rPr>
        <w:t>non-conforming building product</w:t>
      </w:r>
      <w:r w:rsidR="00926844">
        <w:rPr>
          <w:rFonts w:ascii="Times New Roman" w:hAnsi="Times New Roman" w:cs="Times New Roman"/>
        </w:rPr>
        <w:t>s</w:t>
      </w:r>
      <w:r w:rsidR="00926844" w:rsidRPr="00AB5E04">
        <w:rPr>
          <w:rFonts w:ascii="Times New Roman" w:hAnsi="Times New Roman" w:cs="Times New Roman"/>
        </w:rPr>
        <w:t xml:space="preserve"> </w:t>
      </w:r>
      <w:r w:rsidRPr="00AB5E04">
        <w:rPr>
          <w:rFonts w:ascii="Times New Roman" w:hAnsi="Times New Roman" w:cs="Times New Roman"/>
        </w:rPr>
        <w:t xml:space="preserve">in Australia. These were used in the development of Queensland’s </w:t>
      </w:r>
      <w:r w:rsidRPr="00AB5E04">
        <w:rPr>
          <w:rFonts w:ascii="Times New Roman" w:hAnsi="Times New Roman" w:cs="Times New Roman"/>
          <w:i/>
          <w:iCs/>
        </w:rPr>
        <w:t>Building Construction (Non-conforming Building Products – Chain of Responsibility and Other Matters) Amendment Act 2017</w:t>
      </w:r>
      <w:r w:rsidRPr="00AB5E04">
        <w:rPr>
          <w:rFonts w:ascii="Times New Roman" w:hAnsi="Times New Roman" w:cs="Times New Roman"/>
        </w:rPr>
        <w:t xml:space="preserve"> which sets a model for jurisdictions to consider.</w:t>
      </w:r>
    </w:p>
    <w:p w14:paraId="1AB3C833" w14:textId="77777777" w:rsidR="00041EE8" w:rsidRPr="00584277" w:rsidRDefault="00041EE8" w:rsidP="00041EE8">
      <w:pPr>
        <w:rPr>
          <w:rFonts w:ascii="Times New Roman" w:hAnsi="Times New Roman" w:cs="Times New Roman"/>
        </w:rPr>
      </w:pPr>
      <w:r w:rsidRPr="00584277">
        <w:rPr>
          <w:rFonts w:ascii="Times New Roman" w:hAnsi="Times New Roman" w:cs="Times New Roman"/>
        </w:rPr>
        <w:t>The purpose of the Queensland legislation is to, among other matters:</w:t>
      </w:r>
    </w:p>
    <w:p w14:paraId="7E13FA15" w14:textId="77777777" w:rsidR="00041EE8" w:rsidRPr="00584277" w:rsidRDefault="00041EE8" w:rsidP="00584277">
      <w:pPr>
        <w:pStyle w:val="ListBullet"/>
        <w:numPr>
          <w:ilvl w:val="0"/>
          <w:numId w:val="34"/>
        </w:numPr>
        <w:spacing w:line="252" w:lineRule="auto"/>
        <w:rPr>
          <w:rFonts w:ascii="Times New Roman" w:hAnsi="Times New Roman" w:cs="Times New Roman"/>
          <w:bCs/>
        </w:rPr>
      </w:pPr>
      <w:r w:rsidRPr="00584277">
        <w:rPr>
          <w:rFonts w:ascii="Times New Roman" w:hAnsi="Times New Roman" w:cs="Times New Roman"/>
          <w:bCs/>
        </w:rPr>
        <w:t>confer responsibilities on the building product supply chain to ensure building products, so far as reasonably practicable, conform to mandatory standards;</w:t>
      </w:r>
    </w:p>
    <w:p w14:paraId="5F6DE240" w14:textId="77777777" w:rsidR="00041EE8" w:rsidRPr="00584277" w:rsidRDefault="00041EE8" w:rsidP="00584277">
      <w:pPr>
        <w:pStyle w:val="ListBullet"/>
        <w:numPr>
          <w:ilvl w:val="0"/>
          <w:numId w:val="34"/>
        </w:numPr>
        <w:spacing w:line="252" w:lineRule="auto"/>
        <w:rPr>
          <w:rFonts w:ascii="Times New Roman" w:hAnsi="Times New Roman" w:cs="Times New Roman"/>
          <w:bCs/>
        </w:rPr>
      </w:pPr>
      <w:r w:rsidRPr="00584277">
        <w:rPr>
          <w:rFonts w:ascii="Times New Roman" w:hAnsi="Times New Roman" w:cs="Times New Roman"/>
          <w:bCs/>
        </w:rPr>
        <w:t>expand the obligations of building practitioners (licensee’s) to notify the Queensland building regulator of work health and safety issues; and</w:t>
      </w:r>
    </w:p>
    <w:p w14:paraId="158D9D60" w14:textId="77777777" w:rsidR="00041EE8" w:rsidRPr="00584277" w:rsidRDefault="00041EE8" w:rsidP="00584277">
      <w:pPr>
        <w:pStyle w:val="ListBullet"/>
        <w:numPr>
          <w:ilvl w:val="0"/>
          <w:numId w:val="34"/>
        </w:numPr>
        <w:spacing w:line="252" w:lineRule="auto"/>
        <w:rPr>
          <w:rFonts w:ascii="Times New Roman" w:hAnsi="Times New Roman" w:cs="Times New Roman"/>
          <w:bCs/>
        </w:rPr>
      </w:pPr>
      <w:r w:rsidRPr="00584277">
        <w:rPr>
          <w:rFonts w:ascii="Times New Roman" w:hAnsi="Times New Roman" w:cs="Times New Roman"/>
          <w:bCs/>
        </w:rPr>
        <w:t>widen grounds for the Queensland building regulator to take disciplinary action against licensees.</w:t>
      </w:r>
    </w:p>
    <w:p w14:paraId="6E39BB34" w14:textId="413BC503" w:rsidR="00762DD1" w:rsidRPr="00AB5E04" w:rsidRDefault="00041EE8" w:rsidP="00CF2AD3">
      <w:pPr>
        <w:rPr>
          <w:rFonts w:ascii="Times New Roman" w:hAnsi="Times New Roman" w:cs="Times New Roman"/>
        </w:rPr>
      </w:pPr>
      <w:r>
        <w:rPr>
          <w:rFonts w:ascii="Times New Roman" w:hAnsi="Times New Roman" w:cs="Times New Roman"/>
        </w:rPr>
        <w:t>It is also worth noting, o</w:t>
      </w:r>
      <w:r w:rsidR="00762DD1" w:rsidRPr="00AB5E04">
        <w:rPr>
          <w:rFonts w:ascii="Times New Roman" w:hAnsi="Times New Roman" w:cs="Times New Roman"/>
        </w:rPr>
        <w:t xml:space="preserve">n 24 August 2017, the BMF announced that Professor Peter </w:t>
      </w:r>
      <w:proofErr w:type="spellStart"/>
      <w:r w:rsidR="00762DD1" w:rsidRPr="00AB5E04">
        <w:rPr>
          <w:rFonts w:ascii="Times New Roman" w:hAnsi="Times New Roman" w:cs="Times New Roman"/>
        </w:rPr>
        <w:t>Shergold</w:t>
      </w:r>
      <w:proofErr w:type="spellEnd"/>
      <w:r w:rsidR="00762DD1" w:rsidRPr="00AB5E04">
        <w:rPr>
          <w:rFonts w:ascii="Times New Roman" w:hAnsi="Times New Roman" w:cs="Times New Roman"/>
        </w:rPr>
        <w:t xml:space="preserve"> AC and Ms Bronwyn Weir would examine the broader compliance and enforcement problems within the building and construction systems that affect the effective implementation of the NCC.</w:t>
      </w:r>
    </w:p>
    <w:p w14:paraId="10897B05" w14:textId="3A3D476B" w:rsidR="00015D09" w:rsidRPr="00AB5E04" w:rsidRDefault="00015D09" w:rsidP="00015D09">
      <w:pPr>
        <w:rPr>
          <w:rFonts w:ascii="Times New Roman" w:hAnsi="Times New Roman" w:cs="Times New Roman"/>
        </w:rPr>
      </w:pPr>
      <w:r w:rsidRPr="00AB5E04">
        <w:rPr>
          <w:rFonts w:ascii="Times New Roman" w:hAnsi="Times New Roman" w:cs="Times New Roman"/>
        </w:rPr>
        <w:t xml:space="preserve">The BMF is committed to strengthening the effective implementation of the NCC and the work undertaken by Professor </w:t>
      </w:r>
      <w:proofErr w:type="spellStart"/>
      <w:r w:rsidRPr="00AB5E04">
        <w:rPr>
          <w:rFonts w:ascii="Times New Roman" w:hAnsi="Times New Roman" w:cs="Times New Roman"/>
        </w:rPr>
        <w:t>Shergold</w:t>
      </w:r>
      <w:proofErr w:type="spellEnd"/>
      <w:r w:rsidRPr="00AB5E04">
        <w:rPr>
          <w:rFonts w:ascii="Times New Roman" w:hAnsi="Times New Roman" w:cs="Times New Roman"/>
        </w:rPr>
        <w:t xml:space="preserve"> and Ms Weir is another important step on that path.</w:t>
      </w:r>
    </w:p>
    <w:p w14:paraId="7B2BDBA3" w14:textId="3EC9297F" w:rsidR="00111EE1" w:rsidRPr="00CC5876" w:rsidRDefault="00111EE1" w:rsidP="00CC5876">
      <w:pPr>
        <w:rPr>
          <w:rFonts w:ascii="Times New Roman" w:hAnsi="Times New Roman" w:cs="Times New Roman"/>
          <w:i/>
        </w:rPr>
      </w:pPr>
      <w:r w:rsidRPr="00CC5876">
        <w:rPr>
          <w:rFonts w:ascii="Times New Roman" w:hAnsi="Times New Roman" w:cs="Times New Roman"/>
        </w:rPr>
        <w:t xml:space="preserve">On 27 April 2018, the BMF released </w:t>
      </w:r>
      <w:r w:rsidRPr="00111EE1">
        <w:rPr>
          <w:rFonts w:ascii="Times New Roman" w:hAnsi="Times New Roman" w:cs="Times New Roman"/>
        </w:rPr>
        <w:t>Professor </w:t>
      </w:r>
      <w:proofErr w:type="spellStart"/>
      <w:r w:rsidRPr="00111EE1">
        <w:rPr>
          <w:rFonts w:ascii="Times New Roman" w:hAnsi="Times New Roman" w:cs="Times New Roman"/>
        </w:rPr>
        <w:t>Shergold</w:t>
      </w:r>
      <w:proofErr w:type="spellEnd"/>
      <w:r w:rsidRPr="00111EE1">
        <w:rPr>
          <w:rFonts w:ascii="Times New Roman" w:hAnsi="Times New Roman" w:cs="Times New Roman"/>
        </w:rPr>
        <w:t xml:space="preserve"> and Ms Weir’s final </w:t>
      </w:r>
      <w:r w:rsidRPr="00584277">
        <w:rPr>
          <w:rFonts w:ascii="Times New Roman" w:hAnsi="Times New Roman" w:cs="Times New Roman"/>
        </w:rPr>
        <w:t>report</w:t>
      </w:r>
      <w:r w:rsidRPr="00CC5876">
        <w:rPr>
          <w:rFonts w:ascii="Times New Roman" w:hAnsi="Times New Roman" w:cs="Times New Roman"/>
          <w:i/>
        </w:rPr>
        <w:t xml:space="preserve"> </w:t>
      </w:r>
      <w:r w:rsidR="00926844">
        <w:rPr>
          <w:rFonts w:ascii="Times New Roman" w:hAnsi="Times New Roman" w:cs="Times New Roman"/>
          <w:i/>
        </w:rPr>
        <w:t>“</w:t>
      </w:r>
      <w:r w:rsidRPr="00CC5876">
        <w:rPr>
          <w:rFonts w:ascii="Times New Roman" w:hAnsi="Times New Roman" w:cs="Times New Roman"/>
          <w:i/>
        </w:rPr>
        <w:t>Building Confidence – Improving the effectiveness of compliance and enforcement systems for the building and construction industry across Australia</w:t>
      </w:r>
      <w:r w:rsidR="00926844">
        <w:rPr>
          <w:rFonts w:ascii="Times New Roman" w:hAnsi="Times New Roman" w:cs="Times New Roman"/>
          <w:i/>
        </w:rPr>
        <w:t>”</w:t>
      </w:r>
      <w:r w:rsidRPr="00584277">
        <w:rPr>
          <w:rFonts w:ascii="Times New Roman" w:hAnsi="Times New Roman" w:cs="Times New Roman"/>
        </w:rPr>
        <w:t xml:space="preserve"> (the </w:t>
      </w:r>
      <w:r w:rsidR="00926844" w:rsidRPr="00584277">
        <w:rPr>
          <w:rFonts w:ascii="Times New Roman" w:hAnsi="Times New Roman" w:cs="Times New Roman"/>
        </w:rPr>
        <w:t xml:space="preserve">Building Confidence </w:t>
      </w:r>
      <w:r w:rsidRPr="00584277">
        <w:rPr>
          <w:rFonts w:ascii="Times New Roman" w:hAnsi="Times New Roman" w:cs="Times New Roman"/>
        </w:rPr>
        <w:t>Report).</w:t>
      </w:r>
    </w:p>
    <w:p w14:paraId="339544BB" w14:textId="4D4E0AF1" w:rsidR="00041EE8" w:rsidRPr="00584277" w:rsidRDefault="00111EE1" w:rsidP="00111EE1">
      <w:pPr>
        <w:rPr>
          <w:rFonts w:ascii="Times New Roman" w:hAnsi="Times New Roman" w:cs="Times New Roman"/>
          <w:szCs w:val="24"/>
        </w:rPr>
      </w:pPr>
      <w:r w:rsidRPr="00584277">
        <w:rPr>
          <w:rFonts w:ascii="Times New Roman" w:hAnsi="Times New Roman" w:cs="Times New Roman"/>
        </w:rPr>
        <w:t xml:space="preserve">The </w:t>
      </w:r>
      <w:r w:rsidR="00926844" w:rsidRPr="00584277">
        <w:rPr>
          <w:rFonts w:ascii="Times New Roman" w:hAnsi="Times New Roman" w:cs="Times New Roman"/>
        </w:rPr>
        <w:t xml:space="preserve">Building Confidence </w:t>
      </w:r>
      <w:r w:rsidRPr="00584277">
        <w:rPr>
          <w:rFonts w:ascii="Times New Roman" w:hAnsi="Times New Roman" w:cs="Times New Roman"/>
        </w:rPr>
        <w:t xml:space="preserve">Report </w:t>
      </w:r>
      <w:r w:rsidRPr="00584277">
        <w:rPr>
          <w:rFonts w:ascii="Times New Roman" w:hAnsi="Times New Roman" w:cs="Times New Roman"/>
          <w:szCs w:val="24"/>
        </w:rPr>
        <w:t>provide</w:t>
      </w:r>
      <w:r w:rsidR="00926844" w:rsidRPr="00584277">
        <w:rPr>
          <w:rFonts w:ascii="Times New Roman" w:hAnsi="Times New Roman" w:cs="Times New Roman"/>
          <w:szCs w:val="24"/>
        </w:rPr>
        <w:t>s</w:t>
      </w:r>
      <w:r w:rsidRPr="00584277">
        <w:rPr>
          <w:rFonts w:ascii="Times New Roman" w:hAnsi="Times New Roman" w:cs="Times New Roman"/>
          <w:szCs w:val="24"/>
        </w:rPr>
        <w:t xml:space="preserve"> the BMF with a comprehensive package of reforms intended to strengthen the effective implementation of the NCC.  </w:t>
      </w:r>
    </w:p>
    <w:p w14:paraId="67775852" w14:textId="12842468" w:rsidR="00041EE8" w:rsidRDefault="00041EE8" w:rsidP="00CF2AD3">
      <w:pPr>
        <w:rPr>
          <w:rFonts w:ascii="Times New Roman" w:hAnsi="Times New Roman" w:cs="Times New Roman"/>
          <w:szCs w:val="24"/>
        </w:rPr>
      </w:pPr>
      <w:r w:rsidRPr="00041EE8">
        <w:rPr>
          <w:rFonts w:ascii="Times New Roman" w:hAnsi="Times New Roman" w:cs="Times New Roman"/>
          <w:szCs w:val="24"/>
        </w:rPr>
        <w:t>The BMF is now working to implement a national best practice model for compliance and enforcement consistent with the recommendations of the Building Confidence Report.</w:t>
      </w:r>
      <w:r>
        <w:rPr>
          <w:rFonts w:ascii="Times New Roman" w:hAnsi="Times New Roman" w:cs="Times New Roman"/>
          <w:szCs w:val="24"/>
        </w:rPr>
        <w:t xml:space="preserve"> </w:t>
      </w:r>
    </w:p>
    <w:p w14:paraId="46F404F7" w14:textId="2A0329F3" w:rsidR="003A4BEB" w:rsidRDefault="00041EE8">
      <w:pPr>
        <w:rPr>
          <w:rFonts w:ascii="Times New Roman" w:hAnsi="Times New Roman" w:cs="Times New Roman"/>
        </w:rPr>
      </w:pPr>
      <w:r w:rsidRPr="00AB5E04">
        <w:rPr>
          <w:rFonts w:ascii="Times New Roman" w:hAnsi="Times New Roman" w:cs="Times New Roman"/>
        </w:rPr>
        <w:t xml:space="preserve">The </w:t>
      </w:r>
      <w:r>
        <w:rPr>
          <w:rFonts w:ascii="Times New Roman" w:hAnsi="Times New Roman" w:cs="Times New Roman"/>
        </w:rPr>
        <w:t xml:space="preserve">Government will consider and respond to the final report of the </w:t>
      </w:r>
      <w:r w:rsidRPr="00AB5E04">
        <w:rPr>
          <w:rFonts w:ascii="Times New Roman" w:hAnsi="Times New Roman" w:cs="Times New Roman"/>
        </w:rPr>
        <w:t>Senate inquiry into non-conforming building product</w:t>
      </w:r>
      <w:r>
        <w:rPr>
          <w:rFonts w:ascii="Times New Roman" w:hAnsi="Times New Roman" w:cs="Times New Roman"/>
        </w:rPr>
        <w:t>s in</w:t>
      </w:r>
      <w:r w:rsidRPr="00AB5E04">
        <w:rPr>
          <w:rFonts w:ascii="Times New Roman" w:hAnsi="Times New Roman" w:cs="Times New Roman"/>
        </w:rPr>
        <w:t xml:space="preserve"> due </w:t>
      </w:r>
      <w:r>
        <w:rPr>
          <w:rFonts w:ascii="Times New Roman" w:hAnsi="Times New Roman" w:cs="Times New Roman"/>
        </w:rPr>
        <w:t>course.</w:t>
      </w:r>
      <w:r w:rsidRPr="00AB5E04" w:rsidDel="00926844">
        <w:rPr>
          <w:rFonts w:ascii="Times New Roman" w:hAnsi="Times New Roman" w:cs="Times New Roman"/>
        </w:rPr>
        <w:t xml:space="preserve"> </w:t>
      </w:r>
    </w:p>
    <w:p w14:paraId="566D0F91" w14:textId="77777777" w:rsidR="003A4BEB" w:rsidRDefault="003A4BEB">
      <w:pPr>
        <w:rPr>
          <w:rFonts w:ascii="Times New Roman" w:hAnsi="Times New Roman" w:cs="Times New Roman"/>
        </w:rPr>
      </w:pPr>
      <w:r>
        <w:rPr>
          <w:rFonts w:ascii="Times New Roman" w:hAnsi="Times New Roman" w:cs="Times New Roman"/>
        </w:rPr>
        <w:br w:type="page"/>
      </w:r>
    </w:p>
    <w:p w14:paraId="5B262437"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6</w:t>
      </w:r>
    </w:p>
    <w:p w14:paraId="61483482"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convene a national steel forum comprised of representatives from industry, government and other stakeholders to investigate the possibility of establishing and funding an industry-managed steel compliance scheme that involves random independent conformity inspections.</w:t>
      </w:r>
    </w:p>
    <w:p w14:paraId="1C7B7413" w14:textId="343458D2"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FD0EC3"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509F78C1" w14:textId="01B37818" w:rsidR="00577224" w:rsidRPr="00AB5E04" w:rsidRDefault="00A11B6B" w:rsidP="00CF2AD3">
      <w:pPr>
        <w:rPr>
          <w:rFonts w:ascii="Times New Roman" w:hAnsi="Times New Roman" w:cs="Times New Roman"/>
        </w:rPr>
      </w:pPr>
      <w:r w:rsidRPr="00AB5E04">
        <w:rPr>
          <w:rFonts w:ascii="Times New Roman" w:hAnsi="Times New Roman" w:cs="Times New Roman"/>
        </w:rPr>
        <w:t xml:space="preserve">As </w:t>
      </w:r>
      <w:r w:rsidR="00FD0EC3" w:rsidRPr="00AB5E04">
        <w:rPr>
          <w:rFonts w:ascii="Times New Roman" w:hAnsi="Times New Roman" w:cs="Times New Roman"/>
        </w:rPr>
        <w:t>outlined</w:t>
      </w:r>
      <w:r w:rsidRPr="00AB5E04">
        <w:rPr>
          <w:rFonts w:ascii="Times New Roman" w:hAnsi="Times New Roman" w:cs="Times New Roman"/>
        </w:rPr>
        <w:t xml:space="preserve"> in the response to recommendation 2, the Government does not believe that it would be appropriate to mandate third-party certification processes. </w:t>
      </w:r>
      <w:r w:rsidR="006F14E8" w:rsidRPr="00AB5E04">
        <w:rPr>
          <w:rFonts w:ascii="Times New Roman" w:hAnsi="Times New Roman" w:cs="Times New Roman"/>
        </w:rPr>
        <w:t>As such, the Government does not support the convening of a national steel foru</w:t>
      </w:r>
      <w:r w:rsidR="00C17FF1" w:rsidRPr="00AB5E04">
        <w:rPr>
          <w:rFonts w:ascii="Times New Roman" w:hAnsi="Times New Roman" w:cs="Times New Roman"/>
        </w:rPr>
        <w:t>m on compliance scheme matters.</w:t>
      </w:r>
    </w:p>
    <w:p w14:paraId="2AC9EEAF"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t>Recommendation 7</w:t>
      </w:r>
    </w:p>
    <w:p w14:paraId="1FD67782"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maximise the use of locally made steel in Commonwealth funded projects.</w:t>
      </w:r>
    </w:p>
    <w:p w14:paraId="1765BCFB" w14:textId="1B8698D9" w:rsidR="007A6D45" w:rsidRPr="00AB5E04" w:rsidRDefault="007A6D45" w:rsidP="007A6D45">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00596F2A" w:rsidRPr="00596F2A">
        <w:rPr>
          <w:rFonts w:ascii="Times New Roman" w:hAnsi="Times New Roman" w:cs="Times New Roman"/>
        </w:rPr>
        <w:t xml:space="preserve"> </w:t>
      </w:r>
      <w:r w:rsidRPr="00AB5E04">
        <w:rPr>
          <w:rFonts w:ascii="Times New Roman" w:hAnsi="Times New Roman" w:cs="Times New Roman"/>
        </w:rPr>
        <w:t>this recommendation.</w:t>
      </w:r>
    </w:p>
    <w:p w14:paraId="350FAF2B" w14:textId="77777777" w:rsidR="007A6D45" w:rsidRPr="00AB5E04" w:rsidRDefault="007A6D45" w:rsidP="007A6D45">
      <w:pPr>
        <w:rPr>
          <w:rFonts w:ascii="Times New Roman" w:hAnsi="Times New Roman" w:cs="Times New Roman"/>
        </w:rPr>
      </w:pPr>
      <w:r w:rsidRPr="00AB5E04">
        <w:rPr>
          <w:rFonts w:ascii="Times New Roman" w:hAnsi="Times New Roman" w:cs="Times New Roman"/>
        </w:rPr>
        <w:t xml:space="preserve">The Commonwealth Procurement Framework does not discriminate against suppliers based on the origin of their goods or services, and the Commonwealth Procurement Rules (CPRs) are not intended to target specific categories of goods or services, nor specific industries. </w:t>
      </w:r>
    </w:p>
    <w:p w14:paraId="35BFD120" w14:textId="7B470AF8" w:rsidR="007A6D45" w:rsidRPr="00AB5E04" w:rsidRDefault="007A6D45" w:rsidP="007A6D45">
      <w:pPr>
        <w:rPr>
          <w:rFonts w:ascii="Times New Roman" w:hAnsi="Times New Roman" w:cs="Times New Roman"/>
        </w:rPr>
      </w:pPr>
      <w:r w:rsidRPr="00AB5E04">
        <w:rPr>
          <w:rFonts w:ascii="Times New Roman" w:hAnsi="Times New Roman" w:cs="Times New Roman"/>
        </w:rPr>
        <w:t xml:space="preserve">The Australian Industry Participation (AIP) policy, which is a procurement-connected policy (PCP) has the key objective of ensuring that Australian entities have full, fair and reasonable opportunity to bid for the supply of goods or services for a project. Project proponents are specifically questioned about their steel procurement intentions and reminded of the need to ensure Australian steel supply chain participants – manufacturers, </w:t>
      </w:r>
      <w:proofErr w:type="spellStart"/>
      <w:r w:rsidRPr="00AB5E04">
        <w:rPr>
          <w:rFonts w:ascii="Times New Roman" w:hAnsi="Times New Roman" w:cs="Times New Roman"/>
        </w:rPr>
        <w:t>detailers</w:t>
      </w:r>
      <w:proofErr w:type="spellEnd"/>
      <w:r w:rsidRPr="00AB5E04">
        <w:rPr>
          <w:rFonts w:ascii="Times New Roman" w:hAnsi="Times New Roman" w:cs="Times New Roman"/>
        </w:rPr>
        <w:t xml:space="preserve"> and fabricators – are provided with opportunities to participate.</w:t>
      </w:r>
      <w:r w:rsidR="00D00C38" w:rsidRPr="00D00C38">
        <w:t xml:space="preserve"> </w:t>
      </w:r>
      <w:r w:rsidR="00D00C38" w:rsidRPr="00D00C38">
        <w:rPr>
          <w:rFonts w:ascii="Times New Roman" w:hAnsi="Times New Roman" w:cs="Times New Roman"/>
        </w:rPr>
        <w:t>Project proponents are also asked for a rationale for any steel items for which the proponent has identified no opportunities for Australian suppliers.</w:t>
      </w:r>
    </w:p>
    <w:p w14:paraId="1AC67D90" w14:textId="5C55BA53" w:rsidR="007A6D45" w:rsidRPr="00AB5E04" w:rsidRDefault="007A6D45" w:rsidP="007A6D45">
      <w:pPr>
        <w:rPr>
          <w:rFonts w:ascii="Times New Roman" w:hAnsi="Times New Roman" w:cs="Times New Roman"/>
        </w:rPr>
      </w:pPr>
      <w:r w:rsidRPr="00AB5E04">
        <w:rPr>
          <w:rFonts w:ascii="Times New Roman" w:hAnsi="Times New Roman" w:cs="Times New Roman"/>
        </w:rPr>
        <w:t>On 9 March 2016, the Prime Minister committed to bringing forward a project for the ARTC to upgrade rail line between Adelaide and Tarcoola using locally made steel. This upgrade will improve the productivity of the rail network.</w:t>
      </w:r>
    </w:p>
    <w:p w14:paraId="4BCBB4FC" w14:textId="4FF5117F" w:rsidR="007A6D45" w:rsidRPr="00AB5E04" w:rsidRDefault="007A6D45" w:rsidP="007A6D45">
      <w:pPr>
        <w:rPr>
          <w:rFonts w:ascii="Times New Roman" w:hAnsi="Times New Roman" w:cs="Times New Roman"/>
        </w:rPr>
      </w:pPr>
      <w:r w:rsidRPr="00AB5E04">
        <w:rPr>
          <w:rFonts w:ascii="Times New Roman" w:hAnsi="Times New Roman" w:cs="Times New Roman"/>
        </w:rPr>
        <w:t>The Government has also made public announcements that Australian steel will be used in future defence shipbuilding projects, where possible.</w:t>
      </w:r>
      <w:r w:rsidR="00FC0543">
        <w:rPr>
          <w:rFonts w:ascii="Times New Roman" w:hAnsi="Times New Roman" w:cs="Times New Roman"/>
        </w:rPr>
        <w:t xml:space="preserve"> </w:t>
      </w:r>
      <w:r w:rsidR="00FC0543" w:rsidRPr="00FC0543">
        <w:rPr>
          <w:rFonts w:ascii="Times New Roman" w:hAnsi="Times New Roman" w:cs="Times New Roman"/>
        </w:rPr>
        <w:t>The Government has announced that Australian steel will be used as part of the Offshore Patrol Vessel project</w:t>
      </w:r>
      <w:r w:rsidR="00FC0543" w:rsidRPr="00CC5876">
        <w:rPr>
          <w:rStyle w:val="FootnoteReference"/>
        </w:rPr>
        <w:footnoteReference w:id="7"/>
      </w:r>
      <w:r w:rsidR="00E53725">
        <w:rPr>
          <w:rFonts w:ascii="Times New Roman" w:hAnsi="Times New Roman" w:cs="Times New Roman"/>
        </w:rPr>
        <w:t>.</w:t>
      </w:r>
    </w:p>
    <w:p w14:paraId="60EAFFD0" w14:textId="1D546985" w:rsidR="007A6D45" w:rsidRPr="00AB5E04" w:rsidRDefault="007A6D45" w:rsidP="007A6D45">
      <w:pPr>
        <w:rPr>
          <w:rFonts w:ascii="Times New Roman" w:hAnsi="Times New Roman" w:cs="Times New Roman"/>
        </w:rPr>
      </w:pPr>
      <w:r w:rsidRPr="00AB5E04">
        <w:rPr>
          <w:rFonts w:ascii="Times New Roman" w:hAnsi="Times New Roman" w:cs="Times New Roman"/>
        </w:rPr>
        <w:t xml:space="preserve">The Commonwealth’s ability to impose the requirements of the CPRs on states and territories is largely dependent on the nature of the funds transfer or payment arrangements, and which </w:t>
      </w:r>
      <w:r w:rsidR="00C2247D">
        <w:rPr>
          <w:rFonts w:ascii="Times New Roman" w:hAnsi="Times New Roman" w:cs="Times New Roman"/>
        </w:rPr>
        <w:t xml:space="preserve">entity is receiving the funds. </w:t>
      </w:r>
      <w:r w:rsidRPr="00AB5E04">
        <w:rPr>
          <w:rFonts w:ascii="Times New Roman" w:hAnsi="Times New Roman" w:cs="Times New Roman"/>
        </w:rPr>
        <w:t>Arrangements can include grants, intergovernmental agreements or memoranda of understanding.</w:t>
      </w:r>
    </w:p>
    <w:p w14:paraId="17EBA237" w14:textId="5D12D73B" w:rsidR="00F00053" w:rsidRPr="00AB5E04" w:rsidRDefault="007A6D45" w:rsidP="00CF2AD3">
      <w:pPr>
        <w:rPr>
          <w:rFonts w:ascii="Times New Roman" w:hAnsi="Times New Roman" w:cs="Times New Roman"/>
        </w:rPr>
      </w:pPr>
      <w:r w:rsidRPr="00AB5E04">
        <w:rPr>
          <w:rFonts w:ascii="Times New Roman" w:hAnsi="Times New Roman" w:cs="Times New Roman"/>
        </w:rPr>
        <w:t>State and territory government procurements are governed by their own procurement frameworks. These frameworks, while similar to the Commonwealth, are designed to be used in the relevant jurisdiction.</w:t>
      </w:r>
    </w:p>
    <w:p w14:paraId="3AD2E6BB"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8</w:t>
      </w:r>
    </w:p>
    <w:p w14:paraId="47EA5CB0"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develop an overarching steel policy that would form the basis for decision-making and initiatives affecting the industry.</w:t>
      </w:r>
    </w:p>
    <w:p w14:paraId="5A887261" w14:textId="5BBCBD27"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792BF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69639CEA" w14:textId="172B02A7" w:rsidR="00321543" w:rsidRPr="00AB5E04" w:rsidRDefault="00FB1A3E" w:rsidP="00792BF1">
      <w:pPr>
        <w:rPr>
          <w:rFonts w:ascii="Times New Roman" w:hAnsi="Times New Roman" w:cs="Times New Roman"/>
        </w:rPr>
      </w:pPr>
      <w:r w:rsidRPr="00FB1A3E">
        <w:rPr>
          <w:rFonts w:ascii="Times New Roman" w:hAnsi="Times New Roman" w:cs="Times New Roman"/>
        </w:rPr>
        <w:t xml:space="preserve">Australia has amongst the world’s most open economic settings, supported by an effective </w:t>
      </w:r>
      <w:r w:rsidR="004445F9">
        <w:rPr>
          <w:rFonts w:ascii="Times New Roman" w:hAnsi="Times New Roman" w:cs="Times New Roman"/>
        </w:rPr>
        <w:br/>
      </w:r>
      <w:r w:rsidRPr="00FB1A3E">
        <w:rPr>
          <w:rFonts w:ascii="Times New Roman" w:hAnsi="Times New Roman" w:cs="Times New Roman"/>
        </w:rPr>
        <w:t>anti-dumping system</w:t>
      </w:r>
      <w:r w:rsidR="005F2CB3" w:rsidRPr="00FB1A3E">
        <w:rPr>
          <w:rFonts w:ascii="Times New Roman" w:hAnsi="Times New Roman" w:cs="Times New Roman"/>
        </w:rPr>
        <w:t>.</w:t>
      </w:r>
      <w:r w:rsidR="00632207" w:rsidRPr="00AB5E04">
        <w:rPr>
          <w:rFonts w:ascii="Times New Roman" w:hAnsi="Times New Roman" w:cs="Times New Roman"/>
        </w:rPr>
        <w:t xml:space="preserve"> Consistent with this, the </w:t>
      </w:r>
      <w:r w:rsidR="00792BF1" w:rsidRPr="00AB5E04">
        <w:rPr>
          <w:rFonts w:ascii="Times New Roman" w:hAnsi="Times New Roman" w:cs="Times New Roman"/>
        </w:rPr>
        <w:t xml:space="preserve">Government’s industry policy </w:t>
      </w:r>
      <w:r w:rsidR="00632207" w:rsidRPr="00AB5E04">
        <w:rPr>
          <w:rFonts w:ascii="Times New Roman" w:hAnsi="Times New Roman" w:cs="Times New Roman"/>
        </w:rPr>
        <w:t>s</w:t>
      </w:r>
      <w:r w:rsidR="00792BF1" w:rsidRPr="00AB5E04">
        <w:rPr>
          <w:rFonts w:ascii="Times New Roman" w:hAnsi="Times New Roman" w:cs="Times New Roman"/>
        </w:rPr>
        <w:t>upport</w:t>
      </w:r>
      <w:r w:rsidR="00632207" w:rsidRPr="00AB5E04">
        <w:rPr>
          <w:rFonts w:ascii="Times New Roman" w:hAnsi="Times New Roman" w:cs="Times New Roman"/>
        </w:rPr>
        <w:t>s</w:t>
      </w:r>
      <w:r w:rsidR="00792BF1" w:rsidRPr="00AB5E04">
        <w:rPr>
          <w:rFonts w:ascii="Times New Roman" w:hAnsi="Times New Roman" w:cs="Times New Roman"/>
        </w:rPr>
        <w:t xml:space="preserve"> a</w:t>
      </w:r>
      <w:r w:rsidR="00BF3E22" w:rsidRPr="00AB5E04">
        <w:rPr>
          <w:rFonts w:ascii="Times New Roman" w:hAnsi="Times New Roman" w:cs="Times New Roman"/>
        </w:rPr>
        <w:t xml:space="preserve"> </w:t>
      </w:r>
      <w:r w:rsidR="00792BF1" w:rsidRPr="00AB5E04">
        <w:rPr>
          <w:rFonts w:ascii="Times New Roman" w:hAnsi="Times New Roman" w:cs="Times New Roman"/>
        </w:rPr>
        <w:t xml:space="preserve">business environment that </w:t>
      </w:r>
      <w:r w:rsidR="00C94DE0" w:rsidRPr="00AB5E04">
        <w:rPr>
          <w:rFonts w:ascii="Times New Roman" w:hAnsi="Times New Roman" w:cs="Times New Roman"/>
        </w:rPr>
        <w:t>encourages</w:t>
      </w:r>
      <w:r w:rsidR="00E72905" w:rsidRPr="00AB5E04">
        <w:rPr>
          <w:rFonts w:ascii="Times New Roman" w:hAnsi="Times New Roman" w:cs="Times New Roman"/>
        </w:rPr>
        <w:t xml:space="preserve"> innovation and </w:t>
      </w:r>
      <w:r w:rsidR="00792BF1" w:rsidRPr="00AB5E04">
        <w:rPr>
          <w:rFonts w:ascii="Times New Roman" w:hAnsi="Times New Roman" w:cs="Times New Roman"/>
        </w:rPr>
        <w:t xml:space="preserve">enables growth for globally competitive industries. </w:t>
      </w:r>
    </w:p>
    <w:p w14:paraId="455E12C5" w14:textId="1AC74343" w:rsidR="00E3178C" w:rsidRPr="00AB5E04" w:rsidRDefault="00822411">
      <w:r w:rsidRPr="00822411">
        <w:rPr>
          <w:rFonts w:ascii="Times New Roman" w:hAnsi="Times New Roman" w:cs="Times New Roman"/>
        </w:rPr>
        <w:t>The Government has taken action to ensure that the Australian steel industry, and the manufacturing sector more broadly, can adapt to the challenging global trading environment. Detail of these initiatives a</w:t>
      </w:r>
      <w:r w:rsidR="00D44D92">
        <w:rPr>
          <w:rFonts w:ascii="Times New Roman" w:hAnsi="Times New Roman" w:cs="Times New Roman"/>
        </w:rPr>
        <w:t>re set out in the Introduction</w:t>
      </w:r>
      <w:r w:rsidRPr="00822411">
        <w:rPr>
          <w:rFonts w:ascii="Times New Roman" w:hAnsi="Times New Roman" w:cs="Times New Roman"/>
        </w:rPr>
        <w:t>.</w:t>
      </w:r>
    </w:p>
    <w:p w14:paraId="42BF134A"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t>Recommendation 9</w:t>
      </w:r>
    </w:p>
    <w:p w14:paraId="3753CE95" w14:textId="77777777" w:rsidR="003A4BEB" w:rsidRPr="00AC6FC6" w:rsidRDefault="003A4BEB" w:rsidP="003A4BEB">
      <w:pPr>
        <w:pBdr>
          <w:top w:val="single" w:sz="4" w:space="1" w:color="auto"/>
          <w:left w:val="single" w:sz="4" w:space="4" w:color="auto"/>
          <w:bottom w:val="single" w:sz="4" w:space="1" w:color="auto"/>
          <w:right w:val="single" w:sz="4" w:space="4" w:color="auto"/>
        </w:pBdr>
        <w:rPr>
          <w:rFonts w:ascii="Times New Roman" w:hAnsi="Times New Roman"/>
        </w:rPr>
      </w:pPr>
      <w:r w:rsidRPr="00AC6FC6">
        <w:rPr>
          <w:rFonts w:ascii="Times New Roman" w:hAnsi="Times New Roman"/>
        </w:rPr>
        <w:t>The committee recommends the establishment of a national Steel Supplier Advocate, which will:</w:t>
      </w:r>
    </w:p>
    <w:p w14:paraId="2528F5A9" w14:textId="77777777" w:rsidR="003A4BEB" w:rsidRPr="00AC6FC6" w:rsidRDefault="003A4BEB" w:rsidP="003A4BEB">
      <w:pPr>
        <w:pStyle w:val="ListBullet"/>
        <w:numPr>
          <w:ilvl w:val="0"/>
          <w:numId w:val="34"/>
        </w:numPr>
        <w:pBdr>
          <w:top w:val="single" w:sz="4" w:space="1" w:color="auto"/>
          <w:left w:val="single" w:sz="4" w:space="4" w:color="auto"/>
          <w:bottom w:val="single" w:sz="4" w:space="1" w:color="auto"/>
          <w:right w:val="single" w:sz="4" w:space="4" w:color="auto"/>
        </w:pBdr>
        <w:spacing w:line="252" w:lineRule="auto"/>
        <w:rPr>
          <w:rFonts w:ascii="Times New Roman" w:hAnsi="Times New Roman" w:cs="Times New Roman"/>
          <w:bCs/>
        </w:rPr>
      </w:pPr>
      <w:r w:rsidRPr="00AC6FC6">
        <w:rPr>
          <w:rFonts w:ascii="Times New Roman" w:hAnsi="Times New Roman" w:cs="Times New Roman"/>
          <w:bCs/>
        </w:rPr>
        <w:t>provide strategic advice to the Australian Government on the challenges and opportunities facing the industry;</w:t>
      </w:r>
    </w:p>
    <w:p w14:paraId="2F650B78" w14:textId="77777777" w:rsidR="003A4BEB" w:rsidRPr="00AC6FC6" w:rsidRDefault="003A4BEB" w:rsidP="003A4BEB">
      <w:pPr>
        <w:pStyle w:val="ListBullet"/>
        <w:numPr>
          <w:ilvl w:val="0"/>
          <w:numId w:val="34"/>
        </w:numPr>
        <w:pBdr>
          <w:top w:val="single" w:sz="4" w:space="1" w:color="auto"/>
          <w:left w:val="single" w:sz="4" w:space="4" w:color="auto"/>
          <w:bottom w:val="single" w:sz="4" w:space="1" w:color="auto"/>
          <w:right w:val="single" w:sz="4" w:space="4" w:color="auto"/>
        </w:pBdr>
        <w:spacing w:line="252" w:lineRule="auto"/>
        <w:rPr>
          <w:rFonts w:ascii="Times New Roman" w:hAnsi="Times New Roman" w:cs="Times New Roman"/>
          <w:bCs/>
        </w:rPr>
      </w:pPr>
      <w:r w:rsidRPr="00AC6FC6">
        <w:rPr>
          <w:rFonts w:ascii="Times New Roman" w:hAnsi="Times New Roman" w:cs="Times New Roman"/>
          <w:bCs/>
        </w:rPr>
        <w:t>assist Australian steel manufacturers to win major contracts and identify opportunities to improve competitiveness; and</w:t>
      </w:r>
    </w:p>
    <w:p w14:paraId="5275C17A" w14:textId="77777777" w:rsidR="003A4BEB" w:rsidRPr="00AC6FC6" w:rsidRDefault="003A4BEB" w:rsidP="003A4BEB">
      <w:pPr>
        <w:pStyle w:val="ListBullet"/>
        <w:numPr>
          <w:ilvl w:val="0"/>
          <w:numId w:val="34"/>
        </w:numPr>
        <w:pBdr>
          <w:top w:val="single" w:sz="4" w:space="1" w:color="auto"/>
          <w:left w:val="single" w:sz="4" w:space="4" w:color="auto"/>
          <w:bottom w:val="single" w:sz="4" w:space="1" w:color="auto"/>
          <w:right w:val="single" w:sz="4" w:space="4" w:color="auto"/>
        </w:pBdr>
        <w:spacing w:line="252" w:lineRule="auto"/>
        <w:rPr>
          <w:rFonts w:ascii="Times New Roman" w:hAnsi="Times New Roman" w:cs="Times New Roman"/>
          <w:bCs/>
        </w:rPr>
      </w:pPr>
      <w:r w:rsidRPr="00AC6FC6">
        <w:rPr>
          <w:rFonts w:ascii="Times New Roman" w:hAnsi="Times New Roman" w:cs="Times New Roman"/>
          <w:bCs/>
        </w:rPr>
        <w:t>work with state government counterparts to plan for the sector and develop future industry initiatives.</w:t>
      </w:r>
    </w:p>
    <w:p w14:paraId="1DBAF5B2" w14:textId="3DEFB239"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F00053" w:rsidRPr="00AB5E04">
        <w:rPr>
          <w:rFonts w:ascii="Times New Roman" w:hAnsi="Times New Roman" w:cs="Times New Roman"/>
          <w:b/>
          <w:u w:val="single"/>
        </w:rPr>
        <w:t xml:space="preserve">does not support </w:t>
      </w:r>
      <w:r w:rsidRPr="00AB5E04">
        <w:rPr>
          <w:rFonts w:ascii="Times New Roman" w:hAnsi="Times New Roman" w:cs="Times New Roman"/>
        </w:rPr>
        <w:t>this recommendation.</w:t>
      </w:r>
    </w:p>
    <w:p w14:paraId="71927970" w14:textId="58158B96" w:rsidR="008D7B93" w:rsidRPr="00AB5E04" w:rsidRDefault="00632207" w:rsidP="00CF2AD3">
      <w:pPr>
        <w:rPr>
          <w:rFonts w:ascii="Times New Roman" w:hAnsi="Times New Roman" w:cs="Times New Roman"/>
        </w:rPr>
      </w:pPr>
      <w:r w:rsidRPr="00AB5E04">
        <w:rPr>
          <w:rFonts w:ascii="Times New Roman" w:hAnsi="Times New Roman" w:cs="Times New Roman"/>
        </w:rPr>
        <w:t>Departmental e</w:t>
      </w:r>
      <w:r w:rsidR="00F00053" w:rsidRPr="00AB5E04">
        <w:rPr>
          <w:rFonts w:ascii="Times New Roman" w:hAnsi="Times New Roman" w:cs="Times New Roman"/>
        </w:rPr>
        <w:t>xperience with a national Steel Supplier Advocate funded by the previous government showed there is already effective strategic advocacy from within the sector itself by industry groups</w:t>
      </w:r>
      <w:r w:rsidR="006F14E8" w:rsidRPr="00AB5E04">
        <w:rPr>
          <w:rFonts w:ascii="Times New Roman" w:hAnsi="Times New Roman" w:cs="Times New Roman"/>
        </w:rPr>
        <w:t>,</w:t>
      </w:r>
      <w:r w:rsidR="00F00053" w:rsidRPr="00AB5E04">
        <w:rPr>
          <w:rFonts w:ascii="Times New Roman" w:hAnsi="Times New Roman" w:cs="Times New Roman"/>
        </w:rPr>
        <w:t xml:space="preserve"> such as the Australian Steel Institute. This included support for </w:t>
      </w:r>
      <w:r w:rsidR="006F14E8" w:rsidRPr="00AB5E04">
        <w:rPr>
          <w:rFonts w:ascii="Times New Roman" w:hAnsi="Times New Roman" w:cs="Times New Roman"/>
        </w:rPr>
        <w:t>Australian</w:t>
      </w:r>
      <w:r w:rsidR="00F00053" w:rsidRPr="00AB5E04">
        <w:rPr>
          <w:rFonts w:ascii="Times New Roman" w:hAnsi="Times New Roman" w:cs="Times New Roman"/>
        </w:rPr>
        <w:t xml:space="preserve"> steel manufacturers through a variety of approaches including th</w:t>
      </w:r>
      <w:r w:rsidRPr="00AB5E04">
        <w:rPr>
          <w:rFonts w:ascii="Times New Roman" w:hAnsi="Times New Roman" w:cs="Times New Roman"/>
        </w:rPr>
        <w:t>rough</w:t>
      </w:r>
      <w:r w:rsidR="00F00053" w:rsidRPr="00AB5E04">
        <w:rPr>
          <w:rFonts w:ascii="Times New Roman" w:hAnsi="Times New Roman" w:cs="Times New Roman"/>
        </w:rPr>
        <w:t xml:space="preserve"> anti-dumping mechanisms. Where the previous Steel Supplier Advocate identified a support gap was in the willingness and capability of steel supply chain businesses to form alliances and joint ventures to tender for work packages. </w:t>
      </w:r>
      <w:r w:rsidR="008D7B93" w:rsidRPr="00AB5E04">
        <w:rPr>
          <w:rFonts w:ascii="Times New Roman" w:hAnsi="Times New Roman" w:cs="Times New Roman"/>
        </w:rPr>
        <w:t xml:space="preserve">The previous Steel Supplier Advocate then developed a standardised joint venture agreement proposal and worked with steel supply chain businesses to have it adopted. The initiative was given greater emphasis by this Government’s establishment of the Supply Chain Facilitation program within the Entrepreneurs’ Programme. </w:t>
      </w:r>
    </w:p>
    <w:p w14:paraId="19454A85" w14:textId="1B49BF64" w:rsidR="00F00053" w:rsidRPr="00AB5E04" w:rsidRDefault="00F00053" w:rsidP="00CF2AD3">
      <w:pPr>
        <w:rPr>
          <w:rFonts w:ascii="Times New Roman" w:hAnsi="Times New Roman" w:cs="Times New Roman"/>
        </w:rPr>
      </w:pPr>
      <w:r w:rsidRPr="00AB5E04">
        <w:rPr>
          <w:rFonts w:ascii="Times New Roman" w:hAnsi="Times New Roman" w:cs="Times New Roman"/>
        </w:rPr>
        <w:t xml:space="preserve">There are a number of Government entities currently advocating in the interests of Australian industry, including the Australian Industry Participation Authority, the Australian Small Business and Family Enterprise Ombudsman and the Centre for Defence Industry Capability. </w:t>
      </w:r>
    </w:p>
    <w:p w14:paraId="02CF761A" w14:textId="2BCF7692" w:rsidR="00F00053" w:rsidRPr="00AB5E04" w:rsidRDefault="00F00053" w:rsidP="00CF2AD3">
      <w:pPr>
        <w:rPr>
          <w:rFonts w:ascii="Times New Roman" w:hAnsi="Times New Roman" w:cs="Times New Roman"/>
        </w:rPr>
      </w:pPr>
      <w:r w:rsidRPr="00AB5E04">
        <w:rPr>
          <w:rFonts w:ascii="Times New Roman" w:hAnsi="Times New Roman" w:cs="Times New Roman"/>
        </w:rPr>
        <w:t xml:space="preserve">These entities are focused on supporting industry growth, facilitating innovation and supporting Australian businesses in building their own capacity and capability to succeed. These entities will continue to work with businesses to enable them to be well equipped to participate within the Government procurement market. </w:t>
      </w:r>
    </w:p>
    <w:p w14:paraId="2BCD8B46" w14:textId="5F8F39FC" w:rsidR="00E3178C" w:rsidRPr="00AB5E04" w:rsidRDefault="00632207" w:rsidP="00CF2AD3">
      <w:pPr>
        <w:rPr>
          <w:rFonts w:ascii="Times New Roman" w:hAnsi="Times New Roman" w:cs="Times New Roman"/>
        </w:rPr>
      </w:pPr>
      <w:r w:rsidRPr="00AB5E04">
        <w:rPr>
          <w:rFonts w:ascii="Times New Roman" w:hAnsi="Times New Roman" w:cs="Times New Roman"/>
        </w:rPr>
        <w:t>As previously outlined, t</w:t>
      </w:r>
      <w:r w:rsidR="00F00053" w:rsidRPr="00AB5E04">
        <w:rPr>
          <w:rFonts w:ascii="Times New Roman" w:hAnsi="Times New Roman" w:cs="Times New Roman"/>
        </w:rPr>
        <w:t xml:space="preserve">he Government’s industry policy is to support a business environment that enables growth for globally competitive industries. To achieve this, the Government has introduced a range of </w:t>
      </w:r>
      <w:r w:rsidR="00F36EBD" w:rsidRPr="00AB5E04">
        <w:rPr>
          <w:rFonts w:ascii="Times New Roman" w:hAnsi="Times New Roman" w:cs="Times New Roman"/>
        </w:rPr>
        <w:t>industry wide</w:t>
      </w:r>
      <w:r w:rsidR="00F00053" w:rsidRPr="00AB5E04">
        <w:rPr>
          <w:rFonts w:ascii="Times New Roman" w:hAnsi="Times New Roman" w:cs="Times New Roman"/>
        </w:rPr>
        <w:t xml:space="preserve"> policies and programs to boost science and commercialisation, encourage business investment and innovation, improve business capability, and streamline regulation.</w:t>
      </w:r>
    </w:p>
    <w:p w14:paraId="41D50470"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10</w:t>
      </w:r>
    </w:p>
    <w:p w14:paraId="24181016"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reconsider its decision to reject Recommendation 1 of the Joint Standing Committee on Government Procurement report and request the Department of Finance revise clause 10.9(c) of the Commonwealth Procurement Rules to require all goods purchased by the Australian Government to comply with Australian standards unless none are applicable or it is inappropriate to do so.</w:t>
      </w:r>
    </w:p>
    <w:p w14:paraId="3F0A6E71" w14:textId="01DDC116"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8E784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00C10F7D" w14:textId="2BFAC4FE" w:rsidR="007A6D45" w:rsidRPr="00AB5E04" w:rsidRDefault="007A6D45" w:rsidP="007A6D45">
      <w:pPr>
        <w:rPr>
          <w:rFonts w:ascii="Times New Roman" w:hAnsi="Times New Roman" w:cs="Times New Roman"/>
        </w:rPr>
      </w:pPr>
      <w:r w:rsidRPr="00AB5E04">
        <w:rPr>
          <w:rFonts w:ascii="Times New Roman" w:hAnsi="Times New Roman" w:cs="Times New Roman"/>
        </w:rPr>
        <w:t>As set out in the Government response to the Joint Select Committee on Australian Government Procurement report</w:t>
      </w:r>
      <w:r w:rsidRPr="00CC5876">
        <w:rPr>
          <w:rStyle w:val="FootnoteReference"/>
        </w:rPr>
        <w:footnoteReference w:id="8"/>
      </w:r>
      <w:r w:rsidRPr="00AB5E04">
        <w:rPr>
          <w:rFonts w:ascii="Times New Roman" w:hAnsi="Times New Roman" w:cs="Times New Roman"/>
        </w:rPr>
        <w:t>, the CPRs already allow the adoption of Australian standards</w:t>
      </w:r>
      <w:r w:rsidR="00CF2AFE">
        <w:rPr>
          <w:rFonts w:ascii="Times New Roman" w:hAnsi="Times New Roman" w:cs="Times New Roman"/>
        </w:rPr>
        <w:t xml:space="preserve"> in certain circumstances</w:t>
      </w:r>
      <w:r w:rsidRPr="00AB5E04">
        <w:rPr>
          <w:rFonts w:ascii="Times New Roman" w:hAnsi="Times New Roman" w:cs="Times New Roman"/>
        </w:rPr>
        <w:t>. Use of international standards enables Australian businesses to meet one standard and sell to multiple international markets as well as within Australia.</w:t>
      </w:r>
    </w:p>
    <w:p w14:paraId="097BD5E7" w14:textId="77777777" w:rsidR="007A6D45" w:rsidRPr="00AB5E04" w:rsidRDefault="007A6D45" w:rsidP="007A6D45">
      <w:pPr>
        <w:rPr>
          <w:rFonts w:ascii="Times New Roman" w:hAnsi="Times New Roman" w:cs="Times New Roman"/>
        </w:rPr>
      </w:pPr>
      <w:r w:rsidRPr="00AB5E04">
        <w:rPr>
          <w:rFonts w:ascii="Times New Roman" w:hAnsi="Times New Roman" w:cs="Times New Roman"/>
        </w:rPr>
        <w:t xml:space="preserve">Australian standards rarely differ from internationally recognised standards, and when they do, it is in response to particular issues where it is both necessary and justifiable. Amending the CPRs to require all procurements undertaken by the Government to comply with Australian Standards unless none are applicable is also likely to be inconsistent with Australia’s international trade obligations. </w:t>
      </w:r>
    </w:p>
    <w:p w14:paraId="27DBDADD" w14:textId="6EC9A7D4" w:rsidR="0083538B" w:rsidRDefault="007A6D45" w:rsidP="007A6D45">
      <w:pPr>
        <w:rPr>
          <w:rFonts w:ascii="Times New Roman" w:hAnsi="Times New Roman" w:cs="Times New Roman"/>
        </w:rPr>
      </w:pPr>
      <w:r w:rsidRPr="00AB5E04">
        <w:rPr>
          <w:rFonts w:ascii="Times New Roman" w:hAnsi="Times New Roman" w:cs="Times New Roman"/>
        </w:rPr>
        <w:t>In addition, Australian suppliers may face technical barriers to trade if producing goods or services to meet Australian standards should they differ from international standards.</w:t>
      </w:r>
    </w:p>
    <w:p w14:paraId="6A199817"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t>Recommendation 11</w:t>
      </w:r>
    </w:p>
    <w:p w14:paraId="72ECA4B6"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reconsider its decision to reject Recommendation 4 of the Joint Standing Committee on Government Procurement report and commit to enhancing the procurement-connected policy for Australian Industry Participation plans so that good procurement practices are implemented down through the supply chain, so that both prime and sub-contractors:</w:t>
      </w:r>
    </w:p>
    <w:p w14:paraId="7B77CBB5" w14:textId="77777777" w:rsidR="003A4BEB" w:rsidRPr="00E5192C" w:rsidRDefault="003A4BEB" w:rsidP="003A4BEB">
      <w:pPr>
        <w:pStyle w:val="ListBullet"/>
        <w:numPr>
          <w:ilvl w:val="0"/>
          <w:numId w:val="34"/>
        </w:numPr>
        <w:pBdr>
          <w:top w:val="single" w:sz="4" w:space="1" w:color="auto"/>
          <w:left w:val="single" w:sz="4" w:space="4" w:color="auto"/>
          <w:bottom w:val="single" w:sz="4" w:space="1" w:color="auto"/>
          <w:right w:val="single" w:sz="4" w:space="4" w:color="auto"/>
        </w:pBdr>
        <w:spacing w:line="252" w:lineRule="auto"/>
        <w:rPr>
          <w:rFonts w:ascii="Times New Roman" w:hAnsi="Times New Roman" w:cs="Times New Roman"/>
          <w:bCs/>
        </w:rPr>
      </w:pPr>
      <w:r w:rsidRPr="006E237C">
        <w:rPr>
          <w:rFonts w:ascii="Times New Roman" w:hAnsi="Times New Roman" w:cs="Times New Roman"/>
          <w:bCs/>
        </w:rPr>
        <w:t>implement best practice terms and conditions; and</w:t>
      </w:r>
    </w:p>
    <w:p w14:paraId="3DCEC6AE" w14:textId="77777777" w:rsidR="003A4BEB" w:rsidRPr="00E5192C" w:rsidRDefault="003A4BEB" w:rsidP="003A4BEB">
      <w:pPr>
        <w:pStyle w:val="ListBullet"/>
        <w:numPr>
          <w:ilvl w:val="0"/>
          <w:numId w:val="34"/>
        </w:numPr>
        <w:pBdr>
          <w:top w:val="single" w:sz="4" w:space="1" w:color="auto"/>
          <w:left w:val="single" w:sz="4" w:space="4" w:color="auto"/>
          <w:bottom w:val="single" w:sz="4" w:space="1" w:color="auto"/>
          <w:right w:val="single" w:sz="4" w:space="4" w:color="auto"/>
        </w:pBdr>
        <w:spacing w:line="252" w:lineRule="auto"/>
        <w:rPr>
          <w:rFonts w:ascii="Times New Roman" w:hAnsi="Times New Roman" w:cs="Times New Roman"/>
          <w:bCs/>
        </w:rPr>
      </w:pPr>
      <w:r w:rsidRPr="00E5192C">
        <w:rPr>
          <w:rFonts w:ascii="Times New Roman" w:hAnsi="Times New Roman" w:cs="Times New Roman"/>
          <w:bCs/>
        </w:rPr>
        <w:t>are contractually obligated to report on those terms and conditions.</w:t>
      </w:r>
    </w:p>
    <w:p w14:paraId="3E886C06" w14:textId="37BC5861"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8E784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03EE512E" w14:textId="4775EAE0" w:rsidR="008E7841" w:rsidRPr="00AB5E04" w:rsidRDefault="008E7841" w:rsidP="00CF2AD3">
      <w:pPr>
        <w:rPr>
          <w:rFonts w:ascii="Times New Roman" w:hAnsi="Times New Roman" w:cs="Times New Roman"/>
        </w:rPr>
      </w:pPr>
      <w:r w:rsidRPr="00AB5E04">
        <w:rPr>
          <w:rFonts w:ascii="Times New Roman" w:hAnsi="Times New Roman" w:cs="Times New Roman"/>
        </w:rPr>
        <w:t>As set out in the Government response to the Joint Select Committee on Government Procurement report</w:t>
      </w:r>
      <w:r w:rsidR="003A7823" w:rsidRPr="00CC5876">
        <w:rPr>
          <w:rStyle w:val="FootnoteReference"/>
        </w:rPr>
        <w:footnoteReference w:id="9"/>
      </w:r>
      <w:r w:rsidRPr="00AB5E04">
        <w:rPr>
          <w:rFonts w:ascii="Times New Roman" w:hAnsi="Times New Roman" w:cs="Times New Roman"/>
        </w:rPr>
        <w:t xml:space="preserve">, AIP Plans require a successful tenderer for procurements valued at $20 million or more to outline the actions they will take to provide Australian suppliers with full, fair and reasonable opportunity to supply to the project. The requirements of AIP Plans flow to any subcontracted parties, and therefore the intent of this recommendation is met in regard to supplier opportunities. However, AIP </w:t>
      </w:r>
      <w:r w:rsidR="0060150D" w:rsidRPr="00AB5E04">
        <w:rPr>
          <w:rFonts w:ascii="Times New Roman" w:hAnsi="Times New Roman" w:cs="Times New Roman"/>
        </w:rPr>
        <w:t>P</w:t>
      </w:r>
      <w:r w:rsidR="00F83B34" w:rsidRPr="00AB5E04">
        <w:rPr>
          <w:rFonts w:ascii="Times New Roman" w:hAnsi="Times New Roman" w:cs="Times New Roman"/>
        </w:rPr>
        <w:t xml:space="preserve">lans </w:t>
      </w:r>
      <w:r w:rsidRPr="00AB5E04">
        <w:rPr>
          <w:rFonts w:ascii="Times New Roman" w:hAnsi="Times New Roman" w:cs="Times New Roman"/>
        </w:rPr>
        <w:t>do not relate to the contractual terms and conditions between businesses.</w:t>
      </w:r>
    </w:p>
    <w:p w14:paraId="42CDD328" w14:textId="2820CBC0" w:rsidR="00A431C3" w:rsidRPr="00AB5E04" w:rsidRDefault="0058149A" w:rsidP="00CF2AD3">
      <w:pPr>
        <w:rPr>
          <w:rFonts w:ascii="Times New Roman" w:hAnsi="Times New Roman" w:cs="Times New Roman"/>
        </w:rPr>
      </w:pPr>
      <w:r w:rsidRPr="00AB5E04">
        <w:rPr>
          <w:rFonts w:ascii="Times New Roman" w:hAnsi="Times New Roman" w:cs="Times New Roman"/>
        </w:rPr>
        <w:t xml:space="preserve">The Government supports businesses to structure their commercial relationships as they see fit. To regulate business to business relationships may limit the flexibility of suppliers to compete within the market and could affect the ability of suppliers to innovate throughout the supply chain. More broadly, contracts entered into by the Government already require contractors to act lawfully and in accordance with relevant regulations. The Government does not support the introduction of onerous reporting requirements on suppliers required to implement this recommendation. Introduction of such </w:t>
      </w:r>
      <w:r w:rsidRPr="00AB5E04">
        <w:rPr>
          <w:rFonts w:ascii="Times New Roman" w:hAnsi="Times New Roman" w:cs="Times New Roman"/>
        </w:rPr>
        <w:lastRenderedPageBreak/>
        <w:t>a measure would also increase the regulatory burden and compliance costs for both suppliers and Commonwealth entities.</w:t>
      </w:r>
    </w:p>
    <w:p w14:paraId="7CED8AEE"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t>Recommendation 12</w:t>
      </w:r>
    </w:p>
    <w:p w14:paraId="3FF7C612"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reconsider its response to Recommendation 8 of the Joint Standing Committee on Government Procurement report and ensure that, in negotiating future trade or World Trade Organisation agreements, Australia does not enter into any commitments that undermine the Australian government’s ability to support Australian businesses.</w:t>
      </w:r>
    </w:p>
    <w:p w14:paraId="584C552E" w14:textId="349D1EFB" w:rsidR="00E3178C" w:rsidRPr="00AB5E04" w:rsidRDefault="00E3178C" w:rsidP="00E3178C">
      <w:pPr>
        <w:rPr>
          <w:rFonts w:ascii="Times New Roman" w:hAnsi="Times New Roman" w:cs="Times New Roman"/>
        </w:rPr>
      </w:pPr>
      <w:r w:rsidRPr="00AB5E04">
        <w:rPr>
          <w:rFonts w:ascii="Times New Roman" w:hAnsi="Times New Roman" w:cs="Times New Roman"/>
        </w:rPr>
        <w:t xml:space="preserve">The Australian Government </w:t>
      </w:r>
      <w:r w:rsidR="008E784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1059DD02" w14:textId="1A2ED154" w:rsidR="00A431C3" w:rsidRDefault="008E7841" w:rsidP="008E7841">
      <w:pPr>
        <w:rPr>
          <w:rFonts w:ascii="Times New Roman" w:hAnsi="Times New Roman" w:cs="Times New Roman"/>
          <w:lang w:eastAsia="en-AU"/>
        </w:rPr>
      </w:pPr>
      <w:r w:rsidRPr="00AB5E04">
        <w:rPr>
          <w:rFonts w:ascii="Times New Roman" w:hAnsi="Times New Roman" w:cs="Times New Roman"/>
          <w:lang w:eastAsia="en-AU"/>
        </w:rPr>
        <w:t>As set out in the Government response to the Joint Select Committee on Government Procurement report</w:t>
      </w:r>
      <w:r w:rsidR="0060150D" w:rsidRPr="00CC5876">
        <w:rPr>
          <w:rStyle w:val="FootnoteReference"/>
        </w:rPr>
        <w:footnoteReference w:id="10"/>
      </w:r>
      <w:r w:rsidRPr="00AB5E04">
        <w:rPr>
          <w:rFonts w:ascii="Times New Roman" w:hAnsi="Times New Roman" w:cs="Times New Roman"/>
          <w:lang w:eastAsia="en-AU"/>
        </w:rPr>
        <w:t>, the Government enters into commitments in trade agreements that are aimed at supporting Australian business, in particular to open up new market access opportunities internationally and to put in place a framework of rules and standards that support transparency and competition on a level playing field.</w:t>
      </w:r>
    </w:p>
    <w:p w14:paraId="79171DFD" w14:textId="77777777" w:rsidR="003A4BEB" w:rsidRPr="00AB5E04" w:rsidRDefault="003A4BEB" w:rsidP="003A4BEB">
      <w:pPr>
        <w:pStyle w:val="Heading3"/>
        <w:pBdr>
          <w:top w:val="single" w:sz="4" w:space="1" w:color="auto"/>
          <w:left w:val="single" w:sz="4" w:space="1" w:color="auto"/>
          <w:bottom w:val="single" w:sz="4" w:space="1" w:color="auto"/>
          <w:right w:val="single" w:sz="4" w:space="1" w:color="auto"/>
        </w:pBdr>
        <w:rPr>
          <w:b w:val="0"/>
        </w:rPr>
      </w:pPr>
      <w:r w:rsidRPr="00AB5E04">
        <w:t>Recommendation 13</w:t>
      </w:r>
    </w:p>
    <w:p w14:paraId="06E65A2A" w14:textId="77777777" w:rsidR="003A4BEB" w:rsidRPr="00AB5E04" w:rsidRDefault="003A4BEB" w:rsidP="003A4BEB">
      <w:pPr>
        <w:pBdr>
          <w:top w:val="single" w:sz="4" w:space="1" w:color="auto"/>
          <w:left w:val="single" w:sz="4" w:space="1" w:color="auto"/>
          <w:bottom w:val="single" w:sz="4" w:space="1" w:color="auto"/>
          <w:right w:val="single" w:sz="4" w:space="1" w:color="auto"/>
        </w:pBdr>
        <w:rPr>
          <w:rFonts w:ascii="Times New Roman" w:hAnsi="Times New Roman" w:cs="Times New Roman"/>
        </w:rPr>
      </w:pPr>
      <w:r w:rsidRPr="00AB5E04">
        <w:rPr>
          <w:rFonts w:ascii="Times New Roman" w:hAnsi="Times New Roman" w:cs="Times New Roman"/>
        </w:rPr>
        <w:t>The committee recommends that, in light of the evidence provided to this inquiry by the Australian Steel Institute relating to the steel industry's Environmental Sustainability Charter, the Australian Government reconsider its decision to reject Recommendation 3 of the Joint Standing Committee on Government Procurement report and facilitate the introduction of a procurement connected policy requiring Commonwealth agencies to evaluate the whole-of-life environmental sustainability of goods and services to be procured.</w:t>
      </w:r>
    </w:p>
    <w:p w14:paraId="6D6D24A5" w14:textId="1A92B58F"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008E784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75F3C056" w14:textId="471F3EEF" w:rsidR="008E7841" w:rsidRPr="00AB5E04" w:rsidRDefault="008E7841" w:rsidP="008E7841">
      <w:pPr>
        <w:rPr>
          <w:rFonts w:ascii="Times New Roman" w:hAnsi="Times New Roman" w:cs="Times New Roman"/>
        </w:rPr>
      </w:pPr>
      <w:r w:rsidRPr="00AB5E04">
        <w:rPr>
          <w:rFonts w:ascii="Times New Roman" w:hAnsi="Times New Roman" w:cs="Times New Roman"/>
          <w:lang w:eastAsia="en-AU"/>
        </w:rPr>
        <w:t>As set out in the Government response to the Joint Select Committee on Government Procurement report</w:t>
      </w:r>
      <w:r w:rsidR="00091D24" w:rsidRPr="00CC5876">
        <w:rPr>
          <w:rStyle w:val="FootnoteReference"/>
        </w:rPr>
        <w:footnoteReference w:id="11"/>
      </w:r>
      <w:r w:rsidRPr="00AB5E04">
        <w:rPr>
          <w:rFonts w:ascii="Times New Roman" w:hAnsi="Times New Roman" w:cs="Times New Roman"/>
          <w:lang w:eastAsia="en-AU"/>
        </w:rPr>
        <w:t>, the CPRs</w:t>
      </w:r>
      <w:r w:rsidR="00BF7699">
        <w:rPr>
          <w:rFonts w:ascii="Times New Roman" w:hAnsi="Times New Roman" w:cs="Times New Roman"/>
          <w:lang w:eastAsia="en-AU"/>
        </w:rPr>
        <w:t xml:space="preserve"> </w:t>
      </w:r>
      <w:r w:rsidRPr="00AB5E04">
        <w:rPr>
          <w:rFonts w:ascii="Times New Roman" w:hAnsi="Times New Roman" w:cs="Times New Roman"/>
          <w:lang w:eastAsia="en-AU"/>
        </w:rPr>
        <w:t>already require</w:t>
      </w:r>
      <w:r w:rsidR="00CF2AFE">
        <w:rPr>
          <w:rFonts w:ascii="Times New Roman" w:hAnsi="Times New Roman" w:cs="Times New Roman"/>
          <w:lang w:eastAsia="en-AU"/>
        </w:rPr>
        <w:t>, as part of the value for money assessment,</w:t>
      </w:r>
      <w:r w:rsidRPr="00AB5E04">
        <w:rPr>
          <w:rFonts w:ascii="Times New Roman" w:hAnsi="Times New Roman" w:cs="Times New Roman"/>
          <w:lang w:eastAsia="en-AU"/>
        </w:rPr>
        <w:t xml:space="preserve"> consideration of the environmental sustainability of the goods and services being procured (such as energy efficiency and environmental impact) and whole-of-life costs (including the initial purchase price, maintenance and consumable costs as well as disposal costs).</w:t>
      </w:r>
    </w:p>
    <w:p w14:paraId="4140443E" w14:textId="300EF6D0" w:rsidR="006E237C" w:rsidRDefault="008E7841" w:rsidP="008E7841">
      <w:pPr>
        <w:rPr>
          <w:rFonts w:ascii="Times New Roman" w:hAnsi="Times New Roman" w:cs="Times New Roman"/>
          <w:lang w:eastAsia="en-AU"/>
        </w:rPr>
      </w:pPr>
      <w:r w:rsidRPr="00AB5E04">
        <w:rPr>
          <w:rFonts w:ascii="Times New Roman" w:hAnsi="Times New Roman" w:cs="Times New Roman"/>
          <w:lang w:eastAsia="en-AU"/>
        </w:rPr>
        <w:t xml:space="preserve">There is no evidence to show that existing requirements within the CPRs for consideration of environmental sustainability and whole-of-life costs are not adequate. Reintroduction of a procurement-connected policy for such considerations will reintroduce significant red tape for suppliers and entities without appreciable benefits. Introduction of such a measure would </w:t>
      </w:r>
      <w:r w:rsidR="00C56A9D" w:rsidRPr="00AB5E04">
        <w:rPr>
          <w:rFonts w:ascii="Times New Roman" w:hAnsi="Times New Roman" w:cs="Times New Roman"/>
          <w:lang w:eastAsia="en-AU"/>
        </w:rPr>
        <w:t xml:space="preserve">also </w:t>
      </w:r>
      <w:r w:rsidRPr="00AB5E04">
        <w:rPr>
          <w:rFonts w:ascii="Times New Roman" w:hAnsi="Times New Roman" w:cs="Times New Roman"/>
          <w:lang w:eastAsia="en-AU"/>
        </w:rPr>
        <w:t>increase the regulatory burden and compliance costs for both suppliers and Commonwealth entities.</w:t>
      </w:r>
    </w:p>
    <w:p w14:paraId="0EA322DA" w14:textId="237CD0A6" w:rsidR="003A4BEB" w:rsidRDefault="003A4BEB">
      <w:pPr>
        <w:rPr>
          <w:rFonts w:ascii="Times New Roman" w:hAnsi="Times New Roman" w:cs="Times New Roman"/>
          <w:lang w:eastAsia="en-AU"/>
        </w:rPr>
      </w:pPr>
      <w:r>
        <w:rPr>
          <w:rFonts w:ascii="Times New Roman" w:hAnsi="Times New Roman" w:cs="Times New Roman"/>
          <w:lang w:eastAsia="en-AU"/>
        </w:rPr>
        <w:br w:type="page"/>
      </w:r>
    </w:p>
    <w:p w14:paraId="783079BE" w14:textId="77777777" w:rsidR="003A4BEB" w:rsidRPr="00AB5E04" w:rsidRDefault="003A4BEB" w:rsidP="003A4BEB">
      <w:pPr>
        <w:pStyle w:val="Heading3"/>
        <w:pBdr>
          <w:top w:val="single" w:sz="4" w:space="1" w:color="auto"/>
          <w:left w:val="single" w:sz="4" w:space="4" w:color="auto"/>
          <w:bottom w:val="single" w:sz="4" w:space="1" w:color="auto"/>
          <w:right w:val="single" w:sz="4" w:space="4" w:color="auto"/>
        </w:pBdr>
        <w:rPr>
          <w:b w:val="0"/>
        </w:rPr>
      </w:pPr>
      <w:r w:rsidRPr="00AB5E04">
        <w:lastRenderedPageBreak/>
        <w:t>Recommendation 14</w:t>
      </w:r>
    </w:p>
    <w:p w14:paraId="76BB6874" w14:textId="77777777" w:rsidR="003A4BEB"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AB5E04">
        <w:rPr>
          <w:rFonts w:ascii="Times New Roman" w:hAnsi="Times New Roman" w:cs="Times New Roman"/>
        </w:rPr>
        <w:t>The committee recommends that the Australian Government better utilise the small and medium-sized enterprise provisions in free trade agreements.</w:t>
      </w:r>
    </w:p>
    <w:p w14:paraId="21ADD421" w14:textId="3B7B8FE1"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009454B0"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52973E32" w14:textId="05ED60D9" w:rsidR="008E7841" w:rsidRPr="00AB5E04" w:rsidRDefault="008E7841" w:rsidP="008E7841">
      <w:pPr>
        <w:rPr>
          <w:rFonts w:ascii="Times New Roman" w:hAnsi="Times New Roman" w:cs="Times New Roman"/>
        </w:rPr>
      </w:pPr>
      <w:r w:rsidRPr="00AB5E04">
        <w:rPr>
          <w:rFonts w:ascii="Times New Roman" w:hAnsi="Times New Roman" w:cs="Times New Roman"/>
          <w:lang w:eastAsia="en-AU"/>
        </w:rPr>
        <w:t>The Government supports a Commonwealth Procurement Framework that requires non</w:t>
      </w:r>
      <w:r w:rsidR="009454B0" w:rsidRPr="00AB5E04">
        <w:rPr>
          <w:rFonts w:ascii="Times New Roman" w:hAnsi="Times New Roman" w:cs="Times New Roman"/>
          <w:lang w:eastAsia="en-AU"/>
        </w:rPr>
        <w:noBreakHyphen/>
      </w:r>
      <w:r w:rsidRPr="00AB5E04">
        <w:rPr>
          <w:rFonts w:ascii="Times New Roman" w:hAnsi="Times New Roman" w:cs="Times New Roman"/>
          <w:lang w:eastAsia="en-AU"/>
        </w:rPr>
        <w:t>discrimination, allowing all suppliers, regardless of origin, to compete on their merits. This opens up comparable access to overseas markets for Australian businesses. This is further demonstrated by the Government’s ongoing support of the AIP National Framework, which encourages a national approach to maximise Australian industry participation in projects both domestically and internationally.</w:t>
      </w:r>
    </w:p>
    <w:p w14:paraId="0F39EE91" w14:textId="7EA91755" w:rsidR="008E7841" w:rsidRPr="00AB5E04" w:rsidRDefault="008E7841" w:rsidP="008E7841">
      <w:pPr>
        <w:rPr>
          <w:rFonts w:ascii="Times New Roman" w:hAnsi="Times New Roman" w:cs="Times New Roman"/>
          <w:lang w:eastAsia="en-AU"/>
        </w:rPr>
      </w:pPr>
      <w:r w:rsidRPr="00AB5E04">
        <w:rPr>
          <w:rFonts w:ascii="Times New Roman" w:hAnsi="Times New Roman" w:cs="Times New Roman"/>
          <w:lang w:eastAsia="en-AU"/>
        </w:rPr>
        <w:t xml:space="preserve">There are already several Government entities advocating in the interests of Australian businesses, including the </w:t>
      </w:r>
      <w:r w:rsidR="00A45F6A">
        <w:rPr>
          <w:rFonts w:ascii="Times New Roman" w:hAnsi="Times New Roman" w:cs="Times New Roman"/>
          <w:lang w:eastAsia="en-AU"/>
        </w:rPr>
        <w:t>AIP</w:t>
      </w:r>
      <w:r w:rsidRPr="00AB5E04">
        <w:rPr>
          <w:rFonts w:ascii="Times New Roman" w:hAnsi="Times New Roman" w:cs="Times New Roman"/>
          <w:lang w:eastAsia="en-AU"/>
        </w:rPr>
        <w:t xml:space="preserve"> Authority, and the Australian Small Business and Family Enterprise Ombudsman. </w:t>
      </w:r>
    </w:p>
    <w:p w14:paraId="3C81E174" w14:textId="11FDFDFB" w:rsidR="008E7841" w:rsidRPr="00AB5E04" w:rsidRDefault="008E7841" w:rsidP="008E7841">
      <w:pPr>
        <w:rPr>
          <w:rFonts w:ascii="Times New Roman" w:hAnsi="Times New Roman" w:cs="Times New Roman"/>
          <w:lang w:eastAsia="en-AU"/>
        </w:rPr>
      </w:pPr>
      <w:r w:rsidRPr="00AB5E04">
        <w:rPr>
          <w:rFonts w:ascii="Times New Roman" w:hAnsi="Times New Roman" w:cs="Times New Roman"/>
          <w:lang w:eastAsia="en-AU"/>
        </w:rPr>
        <w:t xml:space="preserve">These entities and </w:t>
      </w:r>
      <w:r w:rsidR="00183CD5" w:rsidRPr="00AB5E04">
        <w:rPr>
          <w:rFonts w:ascii="Times New Roman" w:hAnsi="Times New Roman" w:cs="Times New Roman"/>
          <w:lang w:eastAsia="en-AU"/>
        </w:rPr>
        <w:t xml:space="preserve">the Department of </w:t>
      </w:r>
      <w:r w:rsidRPr="00AB5E04">
        <w:rPr>
          <w:rFonts w:ascii="Times New Roman" w:hAnsi="Times New Roman" w:cs="Times New Roman"/>
          <w:lang w:eastAsia="en-AU"/>
        </w:rPr>
        <w:t xml:space="preserve">Finance will continue to work closely to ensure all Commonwealth entities are aware early in procurement processes of </w:t>
      </w:r>
      <w:r w:rsidR="004D2D2B" w:rsidRPr="00AB5E04">
        <w:rPr>
          <w:rFonts w:ascii="Times New Roman" w:hAnsi="Times New Roman" w:cs="Times New Roman"/>
          <w:lang w:eastAsia="en-AU"/>
        </w:rPr>
        <w:t xml:space="preserve">their </w:t>
      </w:r>
      <w:r w:rsidRPr="00AB5E04">
        <w:rPr>
          <w:rFonts w:ascii="Times New Roman" w:hAnsi="Times New Roman" w:cs="Times New Roman"/>
          <w:lang w:eastAsia="en-AU"/>
        </w:rPr>
        <w:t xml:space="preserve">obligations to provide full, fair and reasonable opportunity for Australian businesses, including </w:t>
      </w:r>
      <w:r w:rsidR="00B7425E" w:rsidRPr="00AB5E04">
        <w:rPr>
          <w:rFonts w:ascii="Times New Roman" w:hAnsi="Times New Roman" w:cs="Times New Roman"/>
          <w:lang w:eastAsia="en-AU"/>
        </w:rPr>
        <w:t>small and medium-sized enterprises (</w:t>
      </w:r>
      <w:r w:rsidRPr="00AB5E04">
        <w:rPr>
          <w:rFonts w:ascii="Times New Roman" w:hAnsi="Times New Roman" w:cs="Times New Roman"/>
          <w:lang w:eastAsia="en-AU"/>
        </w:rPr>
        <w:t>SMEs</w:t>
      </w:r>
      <w:r w:rsidR="00B7425E" w:rsidRPr="00AB5E04">
        <w:rPr>
          <w:rFonts w:ascii="Times New Roman" w:hAnsi="Times New Roman" w:cs="Times New Roman"/>
          <w:lang w:eastAsia="en-AU"/>
        </w:rPr>
        <w:t>)</w:t>
      </w:r>
      <w:r w:rsidRPr="00AB5E04">
        <w:rPr>
          <w:rFonts w:ascii="Times New Roman" w:hAnsi="Times New Roman" w:cs="Times New Roman"/>
          <w:lang w:eastAsia="en-AU"/>
        </w:rPr>
        <w:t>, to compete for major public projects.</w:t>
      </w:r>
    </w:p>
    <w:p w14:paraId="0A862645" w14:textId="77777777" w:rsidR="00BF7699" w:rsidRDefault="008E7841" w:rsidP="00CF2AD3">
      <w:pPr>
        <w:rPr>
          <w:rFonts w:ascii="Times New Roman" w:hAnsi="Times New Roman" w:cs="Times New Roman"/>
          <w:lang w:eastAsia="en-AU"/>
        </w:rPr>
      </w:pPr>
      <w:r w:rsidRPr="00AB5E04">
        <w:rPr>
          <w:rFonts w:ascii="Times New Roman" w:hAnsi="Times New Roman" w:cs="Times New Roman"/>
          <w:lang w:eastAsia="en-AU"/>
        </w:rPr>
        <w:t>The Government is committed to sourcing at least 10</w:t>
      </w:r>
      <w:r w:rsidR="00653DC3">
        <w:rPr>
          <w:rFonts w:ascii="Times New Roman" w:hAnsi="Times New Roman" w:cs="Times New Roman"/>
          <w:lang w:eastAsia="en-AU"/>
        </w:rPr>
        <w:t xml:space="preserve"> per cent</w:t>
      </w:r>
      <w:r w:rsidRPr="00AB5E04">
        <w:rPr>
          <w:rFonts w:ascii="Times New Roman" w:hAnsi="Times New Roman" w:cs="Times New Roman"/>
          <w:lang w:eastAsia="en-AU"/>
        </w:rPr>
        <w:t xml:space="preserve"> of procurement by value from SMEs. This commitment is routinely exceeded. </w:t>
      </w:r>
    </w:p>
    <w:p w14:paraId="3C21BB16" w14:textId="5B661EA7" w:rsidR="00BF7699" w:rsidRDefault="00DD39FE" w:rsidP="00CF2AD3">
      <w:pPr>
        <w:rPr>
          <w:rFonts w:ascii="Times New Roman" w:hAnsi="Times New Roman" w:cs="Times New Roman"/>
          <w:lang w:eastAsia="en-AU"/>
        </w:rPr>
      </w:pPr>
      <w:r w:rsidRPr="00DD39FE">
        <w:rPr>
          <w:rFonts w:ascii="Times New Roman" w:hAnsi="Times New Roman" w:cs="Times New Roman"/>
          <w:lang w:eastAsia="en-AU"/>
        </w:rPr>
        <w:t>The Government also rece</w:t>
      </w:r>
      <w:r w:rsidR="00BF7699">
        <w:rPr>
          <w:rFonts w:ascii="Times New Roman" w:hAnsi="Times New Roman" w:cs="Times New Roman"/>
          <w:lang w:eastAsia="en-AU"/>
        </w:rPr>
        <w:t>ntly announced an additional 35 </w:t>
      </w:r>
      <w:r w:rsidRPr="00DD39FE">
        <w:rPr>
          <w:rFonts w:ascii="Times New Roman" w:hAnsi="Times New Roman" w:cs="Times New Roman"/>
          <w:lang w:eastAsia="en-AU"/>
        </w:rPr>
        <w:t>per cent target for SME participation in contracts up to $20 million.</w:t>
      </w:r>
    </w:p>
    <w:p w14:paraId="002CDE4E" w14:textId="77777777" w:rsidR="003A4BEB" w:rsidRPr="00792D6A" w:rsidRDefault="003A4BEB" w:rsidP="003A4BEB">
      <w:pPr>
        <w:pStyle w:val="Heading3"/>
        <w:pBdr>
          <w:top w:val="single" w:sz="4" w:space="1" w:color="auto"/>
          <w:left w:val="single" w:sz="4" w:space="4" w:color="auto"/>
          <w:bottom w:val="single" w:sz="4" w:space="1" w:color="auto"/>
          <w:right w:val="single" w:sz="4" w:space="4" w:color="auto"/>
        </w:pBdr>
        <w:rPr>
          <w:b w:val="0"/>
        </w:rPr>
      </w:pPr>
      <w:r w:rsidRPr="00792D6A">
        <w:t>Recommendation 15</w:t>
      </w:r>
    </w:p>
    <w:p w14:paraId="54590278" w14:textId="77777777" w:rsidR="003A4BEB" w:rsidRPr="00792D6A"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92D6A">
        <w:rPr>
          <w:rFonts w:ascii="Times New Roman" w:hAnsi="Times New Roman" w:cs="Times New Roman"/>
        </w:rPr>
        <w:t>The committee recommends that the Department of Finance reconsider its current procurement implementation guidelines, noting the concerns of the Joint Standing Committee on Government Procurement that the current guidance may undermine the intent of the new Commonwealth Procurement Rules, specifically clause 10.30 relating to economic benefit.</w:t>
      </w:r>
    </w:p>
    <w:p w14:paraId="366F7EC9" w14:textId="77777777"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729C9D15" w14:textId="21B071AF" w:rsidR="008E3AFF" w:rsidRDefault="008E7841" w:rsidP="008E3AFF">
      <w:pPr>
        <w:rPr>
          <w:rFonts w:ascii="Times New Roman" w:hAnsi="Times New Roman" w:cs="Times New Roman"/>
        </w:rPr>
      </w:pPr>
      <w:r w:rsidRPr="00AB5E04">
        <w:rPr>
          <w:rFonts w:ascii="Times New Roman" w:hAnsi="Times New Roman" w:cs="Times New Roman"/>
        </w:rPr>
        <w:t>As set out in the Government response to the Joint Select Committee on Government Procurement report</w:t>
      </w:r>
      <w:r w:rsidR="00255CC0" w:rsidRPr="00CC5876">
        <w:rPr>
          <w:rStyle w:val="FootnoteReference"/>
        </w:rPr>
        <w:footnoteReference w:id="12"/>
      </w:r>
      <w:r w:rsidRPr="00AB5E04">
        <w:rPr>
          <w:rFonts w:ascii="Times New Roman" w:hAnsi="Times New Roman" w:cs="Times New Roman"/>
        </w:rPr>
        <w:t xml:space="preserve">, </w:t>
      </w:r>
      <w:r w:rsidR="00183CD5" w:rsidRPr="00AB5E04">
        <w:rPr>
          <w:rFonts w:ascii="Times New Roman" w:hAnsi="Times New Roman" w:cs="Times New Roman"/>
        </w:rPr>
        <w:t xml:space="preserve">the Department of </w:t>
      </w:r>
      <w:r w:rsidRPr="00AB5E04">
        <w:rPr>
          <w:rFonts w:ascii="Times New Roman" w:hAnsi="Times New Roman" w:cs="Times New Roman"/>
        </w:rPr>
        <w:t>Finance</w:t>
      </w:r>
      <w:r w:rsidR="00CF2AFE">
        <w:rPr>
          <w:rFonts w:ascii="Times New Roman" w:hAnsi="Times New Roman" w:cs="Times New Roman"/>
        </w:rPr>
        <w:t xml:space="preserve"> is</w:t>
      </w:r>
      <w:r w:rsidRPr="00AB5E04">
        <w:rPr>
          <w:rFonts w:ascii="Times New Roman" w:hAnsi="Times New Roman" w:cs="Times New Roman"/>
        </w:rPr>
        <w:t xml:space="preserve"> undertak</w:t>
      </w:r>
      <w:r w:rsidR="00CF2AFE">
        <w:rPr>
          <w:rFonts w:ascii="Times New Roman" w:hAnsi="Times New Roman" w:cs="Times New Roman"/>
        </w:rPr>
        <w:t>ing</w:t>
      </w:r>
      <w:r w:rsidRPr="00AB5E04">
        <w:rPr>
          <w:rFonts w:ascii="Times New Roman" w:hAnsi="Times New Roman" w:cs="Times New Roman"/>
        </w:rPr>
        <w:t xml:space="preserve"> a review of the new rules in the </w:t>
      </w:r>
      <w:r w:rsidR="00A45F6A">
        <w:rPr>
          <w:rFonts w:ascii="Times New Roman" w:hAnsi="Times New Roman" w:cs="Times New Roman"/>
        </w:rPr>
        <w:t>CPRs</w:t>
      </w:r>
      <w:r w:rsidRPr="00AB5E04">
        <w:rPr>
          <w:rFonts w:ascii="Times New Roman" w:hAnsi="Times New Roman" w:cs="Times New Roman"/>
        </w:rPr>
        <w:t xml:space="preserve"> </w:t>
      </w:r>
      <w:r w:rsidR="00CF2AFE">
        <w:rPr>
          <w:rFonts w:ascii="Times New Roman" w:hAnsi="Times New Roman" w:cs="Times New Roman"/>
        </w:rPr>
        <w:t xml:space="preserve">which </w:t>
      </w:r>
      <w:r w:rsidRPr="00AB5E04">
        <w:rPr>
          <w:rFonts w:ascii="Times New Roman" w:hAnsi="Times New Roman" w:cs="Times New Roman"/>
        </w:rPr>
        <w:t>commenc</w:t>
      </w:r>
      <w:r w:rsidR="00CF2AFE">
        <w:rPr>
          <w:rFonts w:ascii="Times New Roman" w:hAnsi="Times New Roman" w:cs="Times New Roman"/>
        </w:rPr>
        <w:t>ed</w:t>
      </w:r>
      <w:r w:rsidRPr="00AB5E04">
        <w:rPr>
          <w:rFonts w:ascii="Times New Roman" w:hAnsi="Times New Roman" w:cs="Times New Roman"/>
        </w:rPr>
        <w:t xml:space="preserve"> in March 201</w:t>
      </w:r>
      <w:r w:rsidR="00CF2AFE">
        <w:rPr>
          <w:rFonts w:ascii="Times New Roman" w:hAnsi="Times New Roman" w:cs="Times New Roman"/>
        </w:rPr>
        <w:t>7</w:t>
      </w:r>
      <w:r w:rsidRPr="00AB5E04">
        <w:rPr>
          <w:rFonts w:ascii="Times New Roman" w:hAnsi="Times New Roman" w:cs="Times New Roman"/>
        </w:rPr>
        <w:t>.</w:t>
      </w:r>
    </w:p>
    <w:p w14:paraId="119AF62E" w14:textId="00E2FF8F" w:rsidR="006346B1" w:rsidRPr="00AB5E04" w:rsidRDefault="00577224">
      <w:r>
        <w:br w:type="page"/>
      </w:r>
    </w:p>
    <w:p w14:paraId="65D0AF5C" w14:textId="77777777" w:rsidR="003A4BEB" w:rsidRPr="00792D6A" w:rsidRDefault="003A4BEB" w:rsidP="003A4BEB">
      <w:pPr>
        <w:pStyle w:val="Heading3"/>
        <w:pBdr>
          <w:top w:val="single" w:sz="4" w:space="1" w:color="auto"/>
          <w:left w:val="single" w:sz="4" w:space="4" w:color="auto"/>
          <w:bottom w:val="single" w:sz="4" w:space="1" w:color="auto"/>
          <w:right w:val="single" w:sz="4" w:space="4" w:color="auto"/>
        </w:pBdr>
        <w:rPr>
          <w:b w:val="0"/>
        </w:rPr>
      </w:pPr>
      <w:r w:rsidRPr="00792D6A">
        <w:lastRenderedPageBreak/>
        <w:t>Recommendation 16</w:t>
      </w:r>
    </w:p>
    <w:p w14:paraId="11E44E9E" w14:textId="77777777" w:rsidR="003A4BEB" w:rsidRPr="00792D6A"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92D6A">
        <w:rPr>
          <w:rFonts w:ascii="Times New Roman" w:hAnsi="Times New Roman" w:cs="Times New Roman"/>
        </w:rPr>
        <w:t>The committee recommends that relevant entities should be required to make reasonable enquiries to determine standards compliance in all Commonwealth funded projects involving steel, not just those above relevant thresholds.</w:t>
      </w:r>
    </w:p>
    <w:p w14:paraId="14DB998A" w14:textId="59ED3CCC"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008E7841"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7489A38E" w14:textId="157362AF" w:rsidR="008E7841" w:rsidRPr="00AB5E04" w:rsidRDefault="008E7841" w:rsidP="008E7841">
      <w:pPr>
        <w:rPr>
          <w:rFonts w:ascii="Times New Roman" w:hAnsi="Times New Roman" w:cs="Times New Roman"/>
        </w:rPr>
      </w:pPr>
      <w:r w:rsidRPr="00AB5E04">
        <w:rPr>
          <w:rFonts w:ascii="Times New Roman" w:hAnsi="Times New Roman" w:cs="Times New Roman"/>
          <w:lang w:eastAsia="en-AU"/>
        </w:rPr>
        <w:t xml:space="preserve">The CPRs are not intended to target specific categories of goods or services, nor specific industries. </w:t>
      </w:r>
      <w:r w:rsidRPr="00AB5E04">
        <w:rPr>
          <w:rFonts w:ascii="Times New Roman" w:hAnsi="Times New Roman" w:cs="Times New Roman"/>
        </w:rPr>
        <w:t>To reduce the cost of tendering, Commonwealth agencies need to retain flexibility to apply relevant standards and standards compliance requirements proportional to the scope, value and risk of each procurement.</w:t>
      </w:r>
    </w:p>
    <w:p w14:paraId="73B61922" w14:textId="069D84E2" w:rsidR="008E7841" w:rsidRPr="00AB5E04" w:rsidRDefault="008E7841" w:rsidP="008E7841">
      <w:pPr>
        <w:rPr>
          <w:rFonts w:ascii="Times New Roman" w:hAnsi="Times New Roman" w:cs="Times New Roman"/>
        </w:rPr>
      </w:pPr>
      <w:r w:rsidRPr="00AB5E04">
        <w:rPr>
          <w:rFonts w:ascii="Times New Roman" w:hAnsi="Times New Roman" w:cs="Times New Roman"/>
        </w:rPr>
        <w:t xml:space="preserve">Payments to the states and territories are subject to intergovernmental agreements. Intergovernmental agreements are not procurements and therefore are not subject to the </w:t>
      </w:r>
      <w:r w:rsidR="00BF7699">
        <w:rPr>
          <w:rFonts w:ascii="Times New Roman" w:hAnsi="Times New Roman" w:cs="Times New Roman"/>
        </w:rPr>
        <w:t>CPRs</w:t>
      </w:r>
      <w:r w:rsidRPr="00AB5E04">
        <w:rPr>
          <w:rFonts w:ascii="Times New Roman" w:hAnsi="Times New Roman" w:cs="Times New Roman"/>
        </w:rPr>
        <w:t>. State and territory government procurements are governed by their own procurement frameworks. These frameworks, while similar to the Commonwealth, are designed to be used in the relevant jurisdiction.</w:t>
      </w:r>
    </w:p>
    <w:p w14:paraId="3B1C4617" w14:textId="1C42ADB4" w:rsidR="00806B22" w:rsidRPr="00AB5E04" w:rsidRDefault="00806B22" w:rsidP="00806B22">
      <w:pPr>
        <w:rPr>
          <w:rFonts w:ascii="Times New Roman" w:hAnsi="Times New Roman" w:cs="Times New Roman"/>
        </w:rPr>
      </w:pPr>
      <w:r w:rsidRPr="00AB5E04">
        <w:rPr>
          <w:rFonts w:ascii="Times New Roman" w:hAnsi="Times New Roman" w:cs="Times New Roman"/>
        </w:rPr>
        <w:t xml:space="preserve">Under the </w:t>
      </w:r>
      <w:r w:rsidRPr="00AB5E04">
        <w:rPr>
          <w:rFonts w:ascii="Times New Roman" w:hAnsi="Times New Roman" w:cs="Times New Roman"/>
          <w:i/>
          <w:iCs/>
        </w:rPr>
        <w:t>Building and Construction Industry (Improving Productivity) Act 2016</w:t>
      </w:r>
      <w:r w:rsidRPr="00AB5E04">
        <w:rPr>
          <w:rFonts w:ascii="Times New Roman" w:hAnsi="Times New Roman" w:cs="Times New Roman"/>
        </w:rPr>
        <w:t xml:space="preserve">, the </w:t>
      </w:r>
      <w:r w:rsidR="00CD7733">
        <w:rPr>
          <w:rFonts w:ascii="Times New Roman" w:hAnsi="Times New Roman" w:cs="Times New Roman"/>
        </w:rPr>
        <w:t>FSC</w:t>
      </w:r>
      <w:r w:rsidR="00BF7699">
        <w:rPr>
          <w:rFonts w:ascii="Times New Roman" w:hAnsi="Times New Roman" w:cs="Times New Roman"/>
        </w:rPr>
        <w:t xml:space="preserve"> </w:t>
      </w:r>
      <w:r w:rsidRPr="00AB5E04">
        <w:rPr>
          <w:rFonts w:ascii="Times New Roman" w:hAnsi="Times New Roman" w:cs="Times New Roman"/>
        </w:rPr>
        <w:t xml:space="preserve">administers the </w:t>
      </w:r>
      <w:r w:rsidRPr="00AB5E04">
        <w:rPr>
          <w:rFonts w:ascii="Times New Roman" w:hAnsi="Times New Roman" w:cs="Times New Roman"/>
          <w:i/>
          <w:iCs/>
        </w:rPr>
        <w:t xml:space="preserve">Building and Construction </w:t>
      </w:r>
      <w:r w:rsidR="00CD7733">
        <w:rPr>
          <w:rFonts w:ascii="Times New Roman" w:hAnsi="Times New Roman" w:cs="Times New Roman"/>
          <w:i/>
          <w:iCs/>
        </w:rPr>
        <w:t xml:space="preserve">Industry </w:t>
      </w:r>
      <w:r w:rsidRPr="00AB5E04">
        <w:rPr>
          <w:rFonts w:ascii="Times New Roman" w:hAnsi="Times New Roman" w:cs="Times New Roman"/>
          <w:i/>
          <w:iCs/>
        </w:rPr>
        <w:t xml:space="preserve">Work Health and Safety Accreditation Scheme </w:t>
      </w:r>
      <w:r w:rsidRPr="00AB5E04">
        <w:rPr>
          <w:rFonts w:ascii="Times New Roman" w:hAnsi="Times New Roman" w:cs="Times New Roman"/>
        </w:rPr>
        <w:t>(the WHS Accreditation Scheme).</w:t>
      </w:r>
    </w:p>
    <w:p w14:paraId="46B9A151" w14:textId="0DF839B2" w:rsidR="00806B22" w:rsidRPr="00AB5E04" w:rsidRDefault="00806B22" w:rsidP="00806B22">
      <w:pPr>
        <w:rPr>
          <w:rFonts w:ascii="Times New Roman" w:hAnsi="Times New Roman" w:cs="Times New Roman"/>
        </w:rPr>
      </w:pPr>
      <w:r w:rsidRPr="00AB5E04">
        <w:rPr>
          <w:rFonts w:ascii="Times New Roman" w:hAnsi="Times New Roman" w:cs="Times New Roman"/>
        </w:rPr>
        <w:t>Under the WHS Accreditation Scheme</w:t>
      </w:r>
      <w:r w:rsidR="00255CC0" w:rsidRPr="00AB5E04">
        <w:rPr>
          <w:rFonts w:ascii="Times New Roman" w:hAnsi="Times New Roman" w:cs="Times New Roman"/>
        </w:rPr>
        <w:t>,</w:t>
      </w:r>
      <w:r w:rsidRPr="00AB5E04">
        <w:rPr>
          <w:rFonts w:ascii="Times New Roman" w:hAnsi="Times New Roman" w:cs="Times New Roman"/>
        </w:rPr>
        <w:t xml:space="preserve"> only builders accredited by the </w:t>
      </w:r>
      <w:r w:rsidR="00255CC0" w:rsidRPr="00AB5E04">
        <w:rPr>
          <w:rFonts w:ascii="Times New Roman" w:hAnsi="Times New Roman" w:cs="Times New Roman"/>
        </w:rPr>
        <w:t xml:space="preserve">FSC </w:t>
      </w:r>
      <w:r w:rsidRPr="00AB5E04">
        <w:rPr>
          <w:rFonts w:ascii="Times New Roman" w:hAnsi="Times New Roman" w:cs="Times New Roman"/>
        </w:rPr>
        <w:t>can enter into head contracts for building work that is funded directly or indirectly by the Government, subject to certain financial thresholds.</w:t>
      </w:r>
    </w:p>
    <w:p w14:paraId="5A6E8CC5" w14:textId="27A1F32C" w:rsidR="00806B22" w:rsidRPr="00AB5E04" w:rsidRDefault="00806B22" w:rsidP="00806B22">
      <w:pPr>
        <w:rPr>
          <w:rFonts w:ascii="Times New Roman" w:hAnsi="Times New Roman" w:cs="Times New Roman"/>
        </w:rPr>
      </w:pPr>
      <w:r w:rsidRPr="00AB5E04">
        <w:rPr>
          <w:rFonts w:ascii="Times New Roman" w:hAnsi="Times New Roman" w:cs="Times New Roman"/>
        </w:rPr>
        <w:t>As such, the WHS Accreditation Scheme enables the Government to use its market influence, as a client and provider of capital, to improve WHS across the building and construction industry.</w:t>
      </w:r>
    </w:p>
    <w:p w14:paraId="5982EB42" w14:textId="20A4D730" w:rsidR="00806B22" w:rsidRPr="00AB5E04" w:rsidRDefault="00806B22" w:rsidP="00806B22">
      <w:pPr>
        <w:rPr>
          <w:rFonts w:ascii="Times New Roman" w:hAnsi="Times New Roman" w:cs="Times New Roman"/>
        </w:rPr>
      </w:pPr>
      <w:r w:rsidRPr="00AB5E04">
        <w:rPr>
          <w:rFonts w:ascii="Times New Roman" w:hAnsi="Times New Roman" w:cs="Times New Roman"/>
        </w:rPr>
        <w:t xml:space="preserve">The Government notes the </w:t>
      </w:r>
      <w:r w:rsidR="00777FA9" w:rsidRPr="00AB5E04">
        <w:rPr>
          <w:rFonts w:ascii="Times New Roman" w:hAnsi="Times New Roman" w:cs="Times New Roman"/>
        </w:rPr>
        <w:t xml:space="preserve">FSC </w:t>
      </w:r>
      <w:r w:rsidRPr="00AB5E04">
        <w:rPr>
          <w:rFonts w:ascii="Times New Roman" w:hAnsi="Times New Roman" w:cs="Times New Roman"/>
        </w:rPr>
        <w:t xml:space="preserve">made the compliance of building products with the Performance Requirements of the NCC a condition of accreditation in January 2017. The </w:t>
      </w:r>
      <w:r w:rsidR="00777FA9" w:rsidRPr="00AB5E04">
        <w:rPr>
          <w:rFonts w:ascii="Times New Roman" w:hAnsi="Times New Roman" w:cs="Times New Roman"/>
        </w:rPr>
        <w:t>FSC</w:t>
      </w:r>
      <w:r w:rsidRPr="00AB5E04">
        <w:rPr>
          <w:rFonts w:ascii="Times New Roman" w:hAnsi="Times New Roman" w:cs="Times New Roman"/>
        </w:rPr>
        <w:t xml:space="preserve"> has the power to suspend or revoke the WHS accreditation of companies that fail to meet the NCC’s Performance Requirements. This creates a major commercial imperative for compliance amongst those companies seeking to access Commonwealth funded construction projects.</w:t>
      </w:r>
    </w:p>
    <w:p w14:paraId="350105CC" w14:textId="77777777" w:rsidR="003A4BEB" w:rsidRPr="00792D6A" w:rsidRDefault="003A4BEB" w:rsidP="003A4BEB">
      <w:pPr>
        <w:pStyle w:val="Heading3"/>
        <w:pBdr>
          <w:top w:val="single" w:sz="4" w:space="1" w:color="auto"/>
          <w:left w:val="single" w:sz="4" w:space="4" w:color="auto"/>
          <w:bottom w:val="single" w:sz="4" w:space="1" w:color="auto"/>
          <w:right w:val="single" w:sz="4" w:space="4" w:color="auto"/>
        </w:pBdr>
        <w:rPr>
          <w:b w:val="0"/>
        </w:rPr>
      </w:pPr>
      <w:r w:rsidRPr="00792D6A">
        <w:t>Recommendation 17</w:t>
      </w:r>
    </w:p>
    <w:p w14:paraId="03484379" w14:textId="77777777" w:rsidR="003A4BEB" w:rsidRPr="00792D6A"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792D6A">
        <w:rPr>
          <w:rFonts w:ascii="Times New Roman" w:hAnsi="Times New Roman" w:cs="Times New Roman"/>
        </w:rPr>
        <w:t>The committee recommends that the Australian Government review the level of funding to the Australian Industry Participation Authority to ensure it is adequate, and that compliance with Australian Industry Participation plans should be monitored and audited.</w:t>
      </w:r>
    </w:p>
    <w:p w14:paraId="6B1ED188" w14:textId="2F656945" w:rsidR="00D228DB" w:rsidRPr="00AB5E04" w:rsidRDefault="00D228DB" w:rsidP="00D228DB">
      <w:pPr>
        <w:rPr>
          <w:rFonts w:ascii="Times New Roman" w:hAnsi="Times New Roman" w:cs="Times New Roman"/>
        </w:rPr>
      </w:pPr>
      <w:r w:rsidRPr="00AB5E04">
        <w:rPr>
          <w:rFonts w:ascii="Times New Roman" w:hAnsi="Times New Roman" w:cs="Times New Roman"/>
        </w:rPr>
        <w:t xml:space="preserve">The response to this recommendation is in two parts. </w:t>
      </w:r>
    </w:p>
    <w:p w14:paraId="5435237A" w14:textId="6EE001DC" w:rsidR="008E3AFF" w:rsidRPr="00AB5E04" w:rsidRDefault="008E3AFF" w:rsidP="00D228DB">
      <w:pPr>
        <w:pStyle w:val="ListParagraph"/>
        <w:numPr>
          <w:ilvl w:val="0"/>
          <w:numId w:val="25"/>
        </w:numPr>
        <w:ind w:left="360"/>
        <w:rPr>
          <w:rFonts w:ascii="Times New Roman" w:hAnsi="Times New Roman" w:cs="Times New Roman"/>
        </w:rPr>
      </w:pPr>
      <w:r w:rsidRPr="00AB5E04">
        <w:rPr>
          <w:rFonts w:ascii="Times New Roman" w:hAnsi="Times New Roman" w:cs="Times New Roman"/>
        </w:rPr>
        <w:t xml:space="preserve">The Australian Government </w:t>
      </w:r>
      <w:r w:rsidR="007D6E49" w:rsidRPr="00AB5E04">
        <w:rPr>
          <w:rFonts w:ascii="Times New Roman" w:hAnsi="Times New Roman" w:cs="Times New Roman"/>
          <w:b/>
          <w:u w:val="single"/>
        </w:rPr>
        <w:t>does not support</w:t>
      </w:r>
      <w:r w:rsidR="007D6E49" w:rsidRPr="00AB5E04">
        <w:rPr>
          <w:rFonts w:ascii="Times New Roman" w:hAnsi="Times New Roman" w:cs="Times New Roman"/>
        </w:rPr>
        <w:t xml:space="preserve"> </w:t>
      </w:r>
      <w:r w:rsidR="007C3D1A" w:rsidRPr="00AB5E04">
        <w:rPr>
          <w:rFonts w:ascii="Times New Roman" w:hAnsi="Times New Roman" w:cs="Times New Roman"/>
        </w:rPr>
        <w:t xml:space="preserve">the section of </w:t>
      </w:r>
      <w:r w:rsidR="007D6E49" w:rsidRPr="00AB5E04">
        <w:rPr>
          <w:rFonts w:ascii="Times New Roman" w:hAnsi="Times New Roman" w:cs="Times New Roman"/>
        </w:rPr>
        <w:t xml:space="preserve">the recommendation that the Government review the level of funding to the </w:t>
      </w:r>
      <w:r w:rsidR="00A45F6A">
        <w:rPr>
          <w:rFonts w:ascii="Times New Roman" w:hAnsi="Times New Roman" w:cs="Times New Roman"/>
        </w:rPr>
        <w:t>AIP</w:t>
      </w:r>
      <w:r w:rsidR="007D6E49" w:rsidRPr="00AB5E04">
        <w:rPr>
          <w:rFonts w:ascii="Times New Roman" w:hAnsi="Times New Roman" w:cs="Times New Roman"/>
        </w:rPr>
        <w:t xml:space="preserve"> Authority to ensure it is adequate</w:t>
      </w:r>
      <w:r w:rsidRPr="00AB5E04">
        <w:rPr>
          <w:rFonts w:ascii="Times New Roman" w:hAnsi="Times New Roman" w:cs="Times New Roman"/>
        </w:rPr>
        <w:t>.</w:t>
      </w:r>
    </w:p>
    <w:p w14:paraId="6C833538" w14:textId="77777777" w:rsidR="00D228DB" w:rsidRPr="00AB5E04" w:rsidRDefault="00D228DB" w:rsidP="00D228DB">
      <w:pPr>
        <w:pStyle w:val="ListParagraph"/>
        <w:ind w:left="360"/>
        <w:rPr>
          <w:rFonts w:ascii="Times New Roman" w:hAnsi="Times New Roman" w:cs="Times New Roman"/>
        </w:rPr>
      </w:pPr>
    </w:p>
    <w:p w14:paraId="60860ABA" w14:textId="7DE32C11" w:rsidR="00F00053" w:rsidRPr="00AB5E04" w:rsidRDefault="00AC1CA8" w:rsidP="00D228DB">
      <w:pPr>
        <w:pStyle w:val="ListParagraph"/>
        <w:ind w:left="360"/>
        <w:rPr>
          <w:rFonts w:ascii="Times New Roman" w:hAnsi="Times New Roman" w:cs="Times New Roman"/>
        </w:rPr>
      </w:pPr>
      <w:r>
        <w:rPr>
          <w:rFonts w:ascii="Times New Roman" w:hAnsi="Times New Roman" w:cs="Times New Roman"/>
        </w:rPr>
        <w:t>Ongoing f</w:t>
      </w:r>
      <w:r w:rsidR="00F00053" w:rsidRPr="00AB5E04">
        <w:rPr>
          <w:rFonts w:ascii="Times New Roman" w:hAnsi="Times New Roman" w:cs="Times New Roman"/>
        </w:rPr>
        <w:t xml:space="preserve">unding </w:t>
      </w:r>
      <w:r w:rsidR="00E50DF6">
        <w:rPr>
          <w:rFonts w:ascii="Times New Roman" w:hAnsi="Times New Roman" w:cs="Times New Roman"/>
        </w:rPr>
        <w:t xml:space="preserve">to implement the </w:t>
      </w:r>
      <w:r w:rsidR="00E50DF6">
        <w:rPr>
          <w:rFonts w:ascii="Times New Roman" w:hAnsi="Times New Roman" w:cs="Times New Roman"/>
          <w:i/>
        </w:rPr>
        <w:t>Australian Jobs Act 2013</w:t>
      </w:r>
      <w:r>
        <w:rPr>
          <w:rFonts w:ascii="Times New Roman" w:hAnsi="Times New Roman" w:cs="Times New Roman"/>
        </w:rPr>
        <w:t xml:space="preserve"> </w:t>
      </w:r>
      <w:r w:rsidR="00F00053" w:rsidRPr="00AB5E04">
        <w:rPr>
          <w:rFonts w:ascii="Times New Roman" w:hAnsi="Times New Roman" w:cs="Times New Roman"/>
        </w:rPr>
        <w:t xml:space="preserve">was announced in the 2015-16 </w:t>
      </w:r>
      <w:r w:rsidR="0083538B" w:rsidRPr="00AB5E04">
        <w:rPr>
          <w:rFonts w:ascii="Times New Roman" w:hAnsi="Times New Roman" w:cs="Times New Roman"/>
        </w:rPr>
        <w:t>Mid</w:t>
      </w:r>
      <w:r w:rsidR="00A45F6A">
        <w:rPr>
          <w:rFonts w:ascii="Times New Roman" w:hAnsi="Times New Roman" w:cs="Times New Roman"/>
        </w:rPr>
        <w:noBreakHyphen/>
      </w:r>
      <w:r w:rsidR="0083538B" w:rsidRPr="00AB5E04">
        <w:rPr>
          <w:rFonts w:ascii="Times New Roman" w:hAnsi="Times New Roman" w:cs="Times New Roman"/>
        </w:rPr>
        <w:t>Year Economic and Fiscal Outlook (MYEFO)</w:t>
      </w:r>
      <w:r w:rsidR="00F00053" w:rsidRPr="00AB5E04">
        <w:rPr>
          <w:rFonts w:ascii="Times New Roman" w:hAnsi="Times New Roman" w:cs="Times New Roman"/>
        </w:rPr>
        <w:t xml:space="preserve">. This departmental appropriation has </w:t>
      </w:r>
      <w:r w:rsidR="00E50DF6">
        <w:rPr>
          <w:rFonts w:ascii="Times New Roman" w:hAnsi="Times New Roman" w:cs="Times New Roman"/>
        </w:rPr>
        <w:t xml:space="preserve">also </w:t>
      </w:r>
      <w:r w:rsidR="00F00053" w:rsidRPr="00AB5E04">
        <w:rPr>
          <w:rFonts w:ascii="Times New Roman" w:hAnsi="Times New Roman" w:cs="Times New Roman"/>
        </w:rPr>
        <w:t xml:space="preserve">enabled the AIP Authority to continue </w:t>
      </w:r>
      <w:r w:rsidR="00E50DF6">
        <w:rPr>
          <w:rFonts w:ascii="Times New Roman" w:hAnsi="Times New Roman" w:cs="Times New Roman"/>
        </w:rPr>
        <w:t xml:space="preserve">providing advice on the preparation of </w:t>
      </w:r>
      <w:r w:rsidR="00F00053" w:rsidRPr="00AB5E04">
        <w:rPr>
          <w:rFonts w:ascii="Times New Roman" w:hAnsi="Times New Roman" w:cs="Times New Roman"/>
        </w:rPr>
        <w:t xml:space="preserve">AIP plans for Commonwealth </w:t>
      </w:r>
      <w:r w:rsidR="00C11C92" w:rsidRPr="00AB5E04">
        <w:rPr>
          <w:rFonts w:ascii="Times New Roman" w:hAnsi="Times New Roman" w:cs="Times New Roman"/>
        </w:rPr>
        <w:t>G</w:t>
      </w:r>
      <w:r w:rsidR="00F00053" w:rsidRPr="00AB5E04">
        <w:rPr>
          <w:rFonts w:ascii="Times New Roman" w:hAnsi="Times New Roman" w:cs="Times New Roman"/>
        </w:rPr>
        <w:t>overnment procurements, grants, Clean Energy Finance Corporation (CEFC) and Northern Australia Infrastructure</w:t>
      </w:r>
      <w:r w:rsidR="0014688A">
        <w:rPr>
          <w:rFonts w:ascii="Times New Roman" w:hAnsi="Times New Roman" w:cs="Times New Roman"/>
        </w:rPr>
        <w:t xml:space="preserve"> Facility (NAIF) investments.  </w:t>
      </w:r>
    </w:p>
    <w:p w14:paraId="372519C4" w14:textId="77777777" w:rsidR="00D228DB" w:rsidRPr="00AB5E04" w:rsidRDefault="00D228DB" w:rsidP="00D228DB">
      <w:pPr>
        <w:pStyle w:val="ListParagraph"/>
        <w:ind w:left="360"/>
        <w:rPr>
          <w:rFonts w:ascii="Times New Roman" w:hAnsi="Times New Roman" w:cs="Times New Roman"/>
        </w:rPr>
      </w:pPr>
    </w:p>
    <w:p w14:paraId="0578E76D" w14:textId="10D3A5B9" w:rsidR="00D228DB" w:rsidRPr="00B85242" w:rsidRDefault="00F00053" w:rsidP="00B85242">
      <w:pPr>
        <w:pStyle w:val="ListParagraph"/>
        <w:numPr>
          <w:ilvl w:val="0"/>
          <w:numId w:val="25"/>
        </w:numPr>
        <w:ind w:left="360"/>
        <w:rPr>
          <w:rFonts w:ascii="Times New Roman" w:hAnsi="Times New Roman" w:cs="Times New Roman"/>
        </w:rPr>
      </w:pPr>
      <w:r w:rsidRPr="00AB5E04">
        <w:rPr>
          <w:rFonts w:ascii="Times New Roman" w:hAnsi="Times New Roman" w:cs="Times New Roman"/>
        </w:rPr>
        <w:t xml:space="preserve">The Government </w:t>
      </w:r>
      <w:r w:rsidRPr="00AB5E04">
        <w:rPr>
          <w:rFonts w:ascii="Times New Roman" w:hAnsi="Times New Roman" w:cs="Times New Roman"/>
          <w:b/>
          <w:u w:val="single"/>
        </w:rPr>
        <w:t>notes</w:t>
      </w:r>
      <w:r w:rsidR="007C3D1A" w:rsidRPr="00AB5E04">
        <w:rPr>
          <w:rFonts w:ascii="Times New Roman" w:hAnsi="Times New Roman" w:cs="Times New Roman"/>
          <w:b/>
          <w:u w:val="single"/>
        </w:rPr>
        <w:t xml:space="preserve"> </w:t>
      </w:r>
      <w:r w:rsidR="007C3D1A" w:rsidRPr="00AB5E04">
        <w:rPr>
          <w:rFonts w:ascii="Times New Roman" w:hAnsi="Times New Roman" w:cs="Times New Roman"/>
        </w:rPr>
        <w:t>the section of</w:t>
      </w:r>
      <w:r w:rsidRPr="00AB5E04">
        <w:rPr>
          <w:rFonts w:ascii="Times New Roman" w:hAnsi="Times New Roman" w:cs="Times New Roman"/>
        </w:rPr>
        <w:t xml:space="preserve"> </w:t>
      </w:r>
      <w:r w:rsidR="007D6E49" w:rsidRPr="00AB5E04">
        <w:rPr>
          <w:rFonts w:ascii="Times New Roman" w:hAnsi="Times New Roman" w:cs="Times New Roman"/>
        </w:rPr>
        <w:t xml:space="preserve">the recommendation that compliance with </w:t>
      </w:r>
      <w:r w:rsidR="00A45F6A">
        <w:rPr>
          <w:rFonts w:ascii="Times New Roman" w:hAnsi="Times New Roman" w:cs="Times New Roman"/>
        </w:rPr>
        <w:t xml:space="preserve">AIP </w:t>
      </w:r>
      <w:r w:rsidR="007D6E49" w:rsidRPr="00AB5E04">
        <w:rPr>
          <w:rFonts w:ascii="Times New Roman" w:hAnsi="Times New Roman" w:cs="Times New Roman"/>
        </w:rPr>
        <w:t>plans should be monitored and audited.</w:t>
      </w:r>
    </w:p>
    <w:p w14:paraId="492C9197" w14:textId="2981F6CE" w:rsidR="00D228DB" w:rsidRPr="00AB5E04" w:rsidRDefault="00F00053" w:rsidP="00D228DB">
      <w:pPr>
        <w:pStyle w:val="ListParagraph"/>
        <w:ind w:left="360"/>
        <w:rPr>
          <w:rFonts w:ascii="Times New Roman" w:hAnsi="Times New Roman" w:cs="Times New Roman"/>
        </w:rPr>
      </w:pPr>
      <w:r w:rsidRPr="00AB5E04">
        <w:rPr>
          <w:rFonts w:ascii="Times New Roman" w:hAnsi="Times New Roman" w:cs="Times New Roman"/>
        </w:rPr>
        <w:lastRenderedPageBreak/>
        <w:t xml:space="preserve">For the </w:t>
      </w:r>
      <w:r w:rsidRPr="00AB5E04">
        <w:rPr>
          <w:rFonts w:ascii="Times New Roman" w:hAnsi="Times New Roman" w:cs="Times New Roman"/>
          <w:i/>
          <w:iCs/>
        </w:rPr>
        <w:t>Australian Jobs Act 2013</w:t>
      </w:r>
      <w:r w:rsidRPr="00AB5E04">
        <w:rPr>
          <w:rFonts w:ascii="Times New Roman" w:hAnsi="Times New Roman" w:cs="Times New Roman"/>
        </w:rPr>
        <w:t xml:space="preserve">, compliance reports are submitted to the AIP Authority every six months to monitor and audit compliance with approved AIP plans during the project’s construction phase and for new facilities, during the first two years of the project’s operations phase. The AIP Authority may impose consequences for non-compliance with the </w:t>
      </w:r>
      <w:r w:rsidR="00C11C92" w:rsidRPr="00AB5E04">
        <w:rPr>
          <w:rFonts w:ascii="Times New Roman" w:hAnsi="Times New Roman" w:cs="Times New Roman"/>
          <w:i/>
          <w:iCs/>
        </w:rPr>
        <w:t>Australian Jobs Act 2013</w:t>
      </w:r>
      <w:r w:rsidRPr="00AB5E04">
        <w:rPr>
          <w:rFonts w:ascii="Times New Roman" w:hAnsi="Times New Roman" w:cs="Times New Roman"/>
        </w:rPr>
        <w:t xml:space="preserve"> including </w:t>
      </w:r>
      <w:r w:rsidRPr="005B54BD">
        <w:rPr>
          <w:rFonts w:ascii="Times New Roman" w:hAnsi="Times New Roman" w:cs="Times New Roman"/>
        </w:rPr>
        <w:t>adverse publicity notices, naming a relevant person and seeking performance and restraining injunctions.</w:t>
      </w:r>
      <w:r w:rsidR="00AC1CA8" w:rsidRPr="005B54BD">
        <w:rPr>
          <w:rFonts w:ascii="Times New Roman" w:hAnsi="Times New Roman" w:cs="Times New Roman"/>
        </w:rPr>
        <w:t xml:space="preserve"> </w:t>
      </w:r>
      <w:r w:rsidR="00AC1CA8" w:rsidRPr="005B54BD">
        <w:rPr>
          <w:rFonts w:ascii="Times New Roman" w:hAnsi="Times New Roman"/>
        </w:rPr>
        <w:t xml:space="preserve">A five year review of the implementation of the </w:t>
      </w:r>
      <w:r w:rsidR="00AC1CA8" w:rsidRPr="005B54BD">
        <w:rPr>
          <w:rFonts w:ascii="Times New Roman" w:hAnsi="Times New Roman"/>
          <w:i/>
        </w:rPr>
        <w:t>Australian Jobs Act 2013</w:t>
      </w:r>
      <w:r w:rsidR="00AC1CA8" w:rsidRPr="005B54BD">
        <w:rPr>
          <w:rFonts w:ascii="Times New Roman" w:hAnsi="Times New Roman"/>
        </w:rPr>
        <w:t xml:space="preserve"> </w:t>
      </w:r>
      <w:r w:rsidR="00E517D2" w:rsidRPr="005B54BD">
        <w:rPr>
          <w:rFonts w:ascii="Times New Roman" w:hAnsi="Times New Roman"/>
        </w:rPr>
        <w:t xml:space="preserve">was completed in November 2018 and </w:t>
      </w:r>
      <w:r w:rsidR="00487956" w:rsidRPr="005B54BD">
        <w:rPr>
          <w:rFonts w:ascii="Times New Roman" w:hAnsi="Times New Roman"/>
        </w:rPr>
        <w:t xml:space="preserve">tabled in the Senate on </w:t>
      </w:r>
      <w:r w:rsidR="00E517D2" w:rsidRPr="005B54BD">
        <w:rPr>
          <w:rFonts w:ascii="Times New Roman" w:hAnsi="Times New Roman"/>
        </w:rPr>
        <w:t>18 January 2019</w:t>
      </w:r>
      <w:r w:rsidR="00487956" w:rsidRPr="005B54BD">
        <w:rPr>
          <w:rFonts w:ascii="Times New Roman" w:hAnsi="Times New Roman"/>
        </w:rPr>
        <w:t>. Tabling in the House of Representatives will occur when sitting resumes</w:t>
      </w:r>
      <w:r w:rsidR="00E517D2" w:rsidRPr="005B54BD">
        <w:rPr>
          <w:rFonts w:ascii="Times New Roman" w:hAnsi="Times New Roman"/>
        </w:rPr>
        <w:t xml:space="preserve">. </w:t>
      </w:r>
      <w:r w:rsidR="00AC1CA8" w:rsidRPr="005B54BD">
        <w:rPr>
          <w:rFonts w:ascii="Times New Roman" w:hAnsi="Times New Roman"/>
        </w:rPr>
        <w:t>The review includes how compliance reports are monitored and reviewed.</w:t>
      </w:r>
    </w:p>
    <w:p w14:paraId="067AA3A7" w14:textId="77777777" w:rsidR="00D228DB" w:rsidRPr="00AB5E04" w:rsidRDefault="00D228DB" w:rsidP="00D228DB">
      <w:pPr>
        <w:pStyle w:val="ListParagraph"/>
        <w:ind w:left="360"/>
        <w:rPr>
          <w:rFonts w:ascii="Times New Roman" w:hAnsi="Times New Roman" w:cs="Times New Roman"/>
        </w:rPr>
      </w:pPr>
    </w:p>
    <w:p w14:paraId="31CFCF69" w14:textId="77EA3357" w:rsidR="00CC5876" w:rsidRPr="003A4BEB" w:rsidRDefault="00C11C92" w:rsidP="003A4BEB">
      <w:pPr>
        <w:pStyle w:val="ListParagraph"/>
        <w:ind w:left="360"/>
        <w:rPr>
          <w:rFonts w:ascii="Times New Roman" w:hAnsi="Times New Roman" w:cs="Times New Roman"/>
        </w:rPr>
      </w:pPr>
      <w:r w:rsidRPr="00AB5E04">
        <w:rPr>
          <w:rFonts w:ascii="Times New Roman" w:hAnsi="Times New Roman" w:cs="Times New Roman"/>
        </w:rPr>
        <w:t>For Commonwealth G</w:t>
      </w:r>
      <w:r w:rsidR="00F00053" w:rsidRPr="00AB5E04">
        <w:rPr>
          <w:rFonts w:ascii="Times New Roman" w:hAnsi="Times New Roman" w:cs="Times New Roman"/>
        </w:rPr>
        <w:t xml:space="preserve">overnment procurements, grants, </w:t>
      </w:r>
      <w:r w:rsidR="00D00C38">
        <w:rPr>
          <w:rFonts w:ascii="Times New Roman" w:hAnsi="Times New Roman" w:cs="Times New Roman"/>
        </w:rPr>
        <w:t>loans</w:t>
      </w:r>
      <w:r w:rsidR="00D00C38" w:rsidRPr="00AB5E04">
        <w:rPr>
          <w:rFonts w:ascii="Times New Roman" w:hAnsi="Times New Roman" w:cs="Times New Roman"/>
        </w:rPr>
        <w:t xml:space="preserve"> </w:t>
      </w:r>
      <w:r w:rsidR="00F00053" w:rsidRPr="00AB5E04">
        <w:rPr>
          <w:rFonts w:ascii="Times New Roman" w:hAnsi="Times New Roman" w:cs="Times New Roman"/>
        </w:rPr>
        <w:t xml:space="preserve">and investments, procuring agencies are responsible for compliance by approving an implementation report due within 14 months of contract award, </w:t>
      </w:r>
      <w:r w:rsidR="00C80E7C">
        <w:rPr>
          <w:rFonts w:ascii="Times New Roman" w:hAnsi="Times New Roman" w:cs="Times New Roman"/>
        </w:rPr>
        <w:t xml:space="preserve">then annually for multi-year projects, </w:t>
      </w:r>
      <w:r w:rsidR="00F00053" w:rsidRPr="00AB5E04">
        <w:rPr>
          <w:rFonts w:ascii="Times New Roman" w:hAnsi="Times New Roman" w:cs="Times New Roman"/>
        </w:rPr>
        <w:t>and forwarding the approved reports to the AIP Authority. The procuring agency may be able to enforce consequences for non-compliance if the requirement for submission of an implementation report has been incorporated into the contract between the two parties.</w:t>
      </w:r>
    </w:p>
    <w:p w14:paraId="5F966DD1"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18</w:t>
      </w:r>
    </w:p>
    <w:p w14:paraId="28FFC9B7"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restore the requirement in legislation for all tenderers for Commonwealth projects to submit Australian Industry Participation plans, not just the successful tenderer.</w:t>
      </w:r>
    </w:p>
    <w:p w14:paraId="1B6D99C5" w14:textId="01709024"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00F00053" w:rsidRPr="00AB5E04">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5D82B482" w14:textId="0AFA6F5C" w:rsidR="00F00053" w:rsidRPr="00AB5E04" w:rsidRDefault="00F00053" w:rsidP="00CF2AD3">
      <w:pPr>
        <w:rPr>
          <w:rFonts w:ascii="Times New Roman" w:hAnsi="Times New Roman" w:cs="Times New Roman"/>
          <w:i/>
          <w:iCs/>
        </w:rPr>
      </w:pPr>
      <w:r w:rsidRPr="00AB5E04">
        <w:rPr>
          <w:rFonts w:ascii="Times New Roman" w:hAnsi="Times New Roman" w:cs="Times New Roman"/>
        </w:rPr>
        <w:t xml:space="preserve">This is not relevant to the </w:t>
      </w:r>
      <w:r w:rsidR="00C11C92" w:rsidRPr="00AB5E04">
        <w:rPr>
          <w:rFonts w:ascii="Times New Roman" w:hAnsi="Times New Roman" w:cs="Times New Roman"/>
          <w:i/>
          <w:iCs/>
        </w:rPr>
        <w:t>Australian Jobs Act 2013</w:t>
      </w:r>
      <w:r w:rsidRPr="00AB5E04">
        <w:rPr>
          <w:rFonts w:ascii="Times New Roman" w:hAnsi="Times New Roman" w:cs="Times New Roman"/>
          <w:i/>
          <w:iCs/>
        </w:rPr>
        <w:t xml:space="preserve">. </w:t>
      </w:r>
    </w:p>
    <w:p w14:paraId="18D12EA2" w14:textId="32E8616A" w:rsidR="0058149A" w:rsidRPr="00AB5E04" w:rsidRDefault="0058149A" w:rsidP="0058149A">
      <w:pPr>
        <w:rPr>
          <w:rFonts w:ascii="Times New Roman" w:hAnsi="Times New Roman" w:cs="Times New Roman"/>
        </w:rPr>
      </w:pPr>
      <w:r w:rsidRPr="00AB5E04">
        <w:rPr>
          <w:rFonts w:ascii="Times New Roman" w:hAnsi="Times New Roman" w:cs="Times New Roman"/>
        </w:rPr>
        <w:t xml:space="preserve">There is no legislation covering the requirement for AIP plans to apply to certain Commonwealth procurements, for such a requirement to be made or restored. </w:t>
      </w:r>
      <w:r w:rsidR="00CF5D23">
        <w:rPr>
          <w:rFonts w:ascii="Times New Roman" w:hAnsi="Times New Roman" w:cs="Times New Roman"/>
        </w:rPr>
        <w:t>AIP</w:t>
      </w:r>
      <w:r w:rsidRPr="00AB5E04">
        <w:rPr>
          <w:rFonts w:ascii="Times New Roman" w:hAnsi="Times New Roman" w:cs="Times New Roman"/>
        </w:rPr>
        <w:t xml:space="preserve"> requirements apply to Commonwealth procurement through a procurement-connected policy. </w:t>
      </w:r>
    </w:p>
    <w:p w14:paraId="433E1DAF" w14:textId="5A63AACF" w:rsidR="006346B1" w:rsidRPr="00AB5E04" w:rsidRDefault="0058149A">
      <w:r w:rsidRPr="00AB5E04">
        <w:rPr>
          <w:rFonts w:ascii="Times New Roman" w:hAnsi="Times New Roman" w:cs="Times New Roman"/>
        </w:rPr>
        <w:t>The 2015 clarification to the procedural guidance from ‘tenderers’ to prepare and implement an AIP plan was to clarify that only ‘successful tenderers’ must prepare and implement an AIP plan. This procedure remains within the scope of the current policy that AIP plans are ‘prepared and implemented’ for Government procurements, as per the 2009 Australian Government Procurement Statement. The procedural guidance relates to when in a tender process AIP plans can be prepared, and is not a change in the policy. Flexibility in the timing of when a plan is required means that unsuccessful tenderers do not face the unnecessary regulatory burden of preparing AIP plans when they are not awarded contracts.</w:t>
      </w:r>
      <w:r w:rsidR="00577224">
        <w:br w:type="page"/>
      </w:r>
    </w:p>
    <w:p w14:paraId="695B5027"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lastRenderedPageBreak/>
        <w:t>Recommendation 19</w:t>
      </w:r>
    </w:p>
    <w:p w14:paraId="6F1ED0C4"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review the thresholds for Australian Industry Participation plans, with a view that they should be significantly reduced to take into account recent changes in industry.</w:t>
      </w:r>
    </w:p>
    <w:p w14:paraId="24D8BE24" w14:textId="3B8E1A1D" w:rsidR="008E3AFF" w:rsidRPr="00AB5E04" w:rsidRDefault="008E3AFF" w:rsidP="008E3AFF">
      <w:pPr>
        <w:rPr>
          <w:rFonts w:ascii="Times New Roman" w:hAnsi="Times New Roman" w:cs="Times New Roman"/>
        </w:rPr>
      </w:pPr>
      <w:r w:rsidRPr="00AB5E04">
        <w:rPr>
          <w:rFonts w:ascii="Times New Roman" w:hAnsi="Times New Roman" w:cs="Times New Roman"/>
        </w:rPr>
        <w:t xml:space="preserve">The Australian Government </w:t>
      </w:r>
      <w:r w:rsidR="00D00C38" w:rsidRPr="00CC5876">
        <w:rPr>
          <w:rFonts w:ascii="Times New Roman" w:hAnsi="Times New Roman" w:cs="Times New Roman"/>
          <w:b/>
          <w:u w:val="single"/>
        </w:rPr>
        <w:t>does not support</w:t>
      </w:r>
      <w:r w:rsidRPr="00AB5E04">
        <w:rPr>
          <w:rFonts w:ascii="Times New Roman" w:hAnsi="Times New Roman" w:cs="Times New Roman"/>
        </w:rPr>
        <w:t xml:space="preserve"> this recommendation.</w:t>
      </w:r>
    </w:p>
    <w:p w14:paraId="69668D7C" w14:textId="5E28967E" w:rsidR="00D00C38" w:rsidRPr="005B54BD" w:rsidRDefault="00D00C38" w:rsidP="00D00C38">
      <w:pPr>
        <w:rPr>
          <w:rFonts w:ascii="Times New Roman" w:hAnsi="Times New Roman" w:cs="Times New Roman"/>
        </w:rPr>
      </w:pPr>
      <w:r>
        <w:rPr>
          <w:rFonts w:ascii="Times New Roman" w:hAnsi="Times New Roman" w:cs="Times New Roman"/>
        </w:rPr>
        <w:t xml:space="preserve">The threshold for a major project to require an AIP plan under the </w:t>
      </w:r>
      <w:r w:rsidRPr="004E6AB5">
        <w:rPr>
          <w:rFonts w:ascii="Times New Roman" w:hAnsi="Times New Roman" w:cs="Times New Roman"/>
          <w:i/>
        </w:rPr>
        <w:t>Australian Jobs Act 2013</w:t>
      </w:r>
      <w:r>
        <w:rPr>
          <w:rFonts w:ascii="Times New Roman" w:hAnsi="Times New Roman" w:cs="Times New Roman"/>
        </w:rPr>
        <w:t xml:space="preserve"> is set at $500 million. This threshold ensures opportunities for Australian businesses to participate in major projects are made available while limiting the regulatory requirements to larger project proponents. The</w:t>
      </w:r>
      <w:r w:rsidRPr="00AB5E04">
        <w:rPr>
          <w:rFonts w:ascii="Times New Roman" w:hAnsi="Times New Roman" w:cs="Times New Roman"/>
        </w:rPr>
        <w:t xml:space="preserve"> recent </w:t>
      </w:r>
      <w:r>
        <w:rPr>
          <w:rFonts w:ascii="Times New Roman" w:hAnsi="Times New Roman" w:cs="Times New Roman"/>
        </w:rPr>
        <w:t>increase</w:t>
      </w:r>
      <w:r w:rsidRPr="00AB5E04">
        <w:rPr>
          <w:rFonts w:ascii="Times New Roman" w:hAnsi="Times New Roman" w:cs="Times New Roman"/>
        </w:rPr>
        <w:t xml:space="preserve"> in the number of major projects</w:t>
      </w:r>
      <w:r>
        <w:rPr>
          <w:rFonts w:ascii="Times New Roman" w:hAnsi="Times New Roman" w:cs="Times New Roman"/>
        </w:rPr>
        <w:t xml:space="preserve"> with an AIP plan under the Act</w:t>
      </w:r>
      <w:r w:rsidRPr="00AB5E04">
        <w:rPr>
          <w:rFonts w:ascii="Times New Roman" w:hAnsi="Times New Roman" w:cs="Times New Roman"/>
        </w:rPr>
        <w:t xml:space="preserve">, including from the renewable </w:t>
      </w:r>
      <w:r w:rsidRPr="005B54BD">
        <w:rPr>
          <w:rFonts w:ascii="Times New Roman" w:hAnsi="Times New Roman" w:cs="Times New Roman"/>
        </w:rPr>
        <w:t xml:space="preserve">energy and mining and resources sectors, confirms the current threshold is appropriate. </w:t>
      </w:r>
    </w:p>
    <w:p w14:paraId="1E4EBA19" w14:textId="35FBABC3" w:rsidR="00D00C38" w:rsidRPr="005B54BD" w:rsidRDefault="00D00C38" w:rsidP="00D00C38">
      <w:pPr>
        <w:rPr>
          <w:rFonts w:ascii="Times New Roman" w:hAnsi="Times New Roman" w:cs="Times New Roman"/>
        </w:rPr>
      </w:pPr>
      <w:r w:rsidRPr="005B54BD">
        <w:rPr>
          <w:rFonts w:ascii="Times New Roman" w:hAnsi="Times New Roman" w:cs="Times New Roman"/>
        </w:rPr>
        <w:t xml:space="preserve">The number of Jobs Act AIP plans approved by the AIP Authority was 7 in 2015, 8 in 2016, 13 in 2017 and </w:t>
      </w:r>
      <w:r w:rsidR="00BE4861" w:rsidRPr="005B54BD">
        <w:rPr>
          <w:rFonts w:ascii="Times New Roman" w:hAnsi="Times New Roman" w:cs="Times New Roman"/>
        </w:rPr>
        <w:t>2</w:t>
      </w:r>
      <w:r w:rsidR="00067FFB" w:rsidRPr="005B54BD">
        <w:rPr>
          <w:rFonts w:ascii="Times New Roman" w:hAnsi="Times New Roman" w:cs="Times New Roman"/>
        </w:rPr>
        <w:t>5 in</w:t>
      </w:r>
      <w:r w:rsidR="005B54BD">
        <w:rPr>
          <w:rFonts w:ascii="Times New Roman" w:hAnsi="Times New Roman" w:cs="Times New Roman"/>
        </w:rPr>
        <w:t xml:space="preserve"> </w:t>
      </w:r>
      <w:r w:rsidRPr="005B54BD">
        <w:rPr>
          <w:rFonts w:ascii="Times New Roman" w:hAnsi="Times New Roman"/>
        </w:rPr>
        <w:t xml:space="preserve">2018. There were </w:t>
      </w:r>
      <w:r w:rsidR="00EC0694" w:rsidRPr="005B54BD">
        <w:rPr>
          <w:rFonts w:ascii="Times New Roman" w:hAnsi="Times New Roman"/>
        </w:rPr>
        <w:t xml:space="preserve">53 </w:t>
      </w:r>
      <w:r w:rsidRPr="005B54BD">
        <w:rPr>
          <w:rFonts w:ascii="Times New Roman" w:hAnsi="Times New Roman"/>
        </w:rPr>
        <w:t xml:space="preserve">major projects at </w:t>
      </w:r>
      <w:r w:rsidR="00BF039C" w:rsidRPr="005B54BD">
        <w:rPr>
          <w:rFonts w:ascii="Times New Roman" w:hAnsi="Times New Roman"/>
        </w:rPr>
        <w:t xml:space="preserve">31 </w:t>
      </w:r>
      <w:r w:rsidR="00EC0694" w:rsidRPr="005B54BD">
        <w:rPr>
          <w:rFonts w:ascii="Times New Roman" w:hAnsi="Times New Roman"/>
        </w:rPr>
        <w:t xml:space="preserve">December </w:t>
      </w:r>
      <w:r w:rsidRPr="005B54BD">
        <w:rPr>
          <w:rFonts w:ascii="Times New Roman" w:hAnsi="Times New Roman"/>
        </w:rPr>
        <w:t>2018 with an approved AIP plan.</w:t>
      </w:r>
    </w:p>
    <w:p w14:paraId="4D4601B6" w14:textId="6B560EB6" w:rsidR="00D00C38" w:rsidRPr="005B54BD" w:rsidRDefault="00D00C38" w:rsidP="00D00C38">
      <w:pPr>
        <w:rPr>
          <w:rFonts w:ascii="Times New Roman" w:hAnsi="Times New Roman" w:cs="Times New Roman"/>
        </w:rPr>
      </w:pPr>
      <w:r w:rsidRPr="005B54BD">
        <w:rPr>
          <w:rFonts w:ascii="Times New Roman" w:hAnsi="Times New Roman" w:cs="Times New Roman"/>
        </w:rPr>
        <w:t xml:space="preserve">The AIP threshold (A$20 million and above) for Commonwealth Government procurements, grants, CEFC loans and </w:t>
      </w:r>
      <w:r w:rsidR="00C27899" w:rsidRPr="005B54BD">
        <w:rPr>
          <w:rFonts w:ascii="Times New Roman" w:hAnsi="Times New Roman" w:cs="Times New Roman"/>
        </w:rPr>
        <w:t>NAIF</w:t>
      </w:r>
      <w:r w:rsidRPr="005B54BD">
        <w:rPr>
          <w:rFonts w:ascii="Times New Roman" w:hAnsi="Times New Roman" w:cs="Times New Roman"/>
        </w:rPr>
        <w:t xml:space="preserve"> investments is not impacted by any changes to industry. The recent uptake of AIP plans would suggest the current threshold is appropriate.</w:t>
      </w:r>
    </w:p>
    <w:p w14:paraId="11BC788A" w14:textId="36E59B87" w:rsidR="00D00C38" w:rsidRDefault="00D00C38" w:rsidP="00D00C38">
      <w:pPr>
        <w:rPr>
          <w:rFonts w:ascii="Times New Roman" w:hAnsi="Times New Roman" w:cs="Times New Roman"/>
        </w:rPr>
      </w:pPr>
      <w:r w:rsidRPr="005B54BD">
        <w:rPr>
          <w:rFonts w:ascii="Times New Roman" w:hAnsi="Times New Roman" w:cs="Times New Roman"/>
        </w:rPr>
        <w:t xml:space="preserve">The total number of AIP plans approved by the AIP Authority for Commonwealth Government procurements, grants, CEFC loans and NAIF investments was 14 in 2015, 4 in 2016, 30 in 2017 and </w:t>
      </w:r>
      <w:r w:rsidR="0032594B" w:rsidRPr="005B54BD">
        <w:rPr>
          <w:rFonts w:ascii="Times New Roman" w:hAnsi="Times New Roman"/>
        </w:rPr>
        <w:t>19</w:t>
      </w:r>
      <w:r w:rsidR="00C84980" w:rsidRPr="005B54BD">
        <w:rPr>
          <w:rFonts w:ascii="Times New Roman" w:hAnsi="Times New Roman"/>
        </w:rPr>
        <w:t xml:space="preserve"> in</w:t>
      </w:r>
      <w:r w:rsidR="002B42C6" w:rsidRPr="005B54BD">
        <w:rPr>
          <w:rFonts w:ascii="Times New Roman" w:hAnsi="Times New Roman"/>
        </w:rPr>
        <w:t xml:space="preserve"> </w:t>
      </w:r>
      <w:r w:rsidRPr="005B54BD">
        <w:rPr>
          <w:rFonts w:ascii="Times New Roman" w:hAnsi="Times New Roman"/>
        </w:rPr>
        <w:t>2018.</w:t>
      </w:r>
    </w:p>
    <w:p w14:paraId="28C91A44"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20</w:t>
      </w:r>
    </w:p>
    <w:p w14:paraId="46016EFB"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the Australian Government ensure that the Anti-Dumping Commission is adequately resourced so that it can operate in a timely and effective manner and defend Australian industry against unfair and anti-competitive trade practices.</w:t>
      </w:r>
    </w:p>
    <w:p w14:paraId="0BAE6FB1" w14:textId="177793DC" w:rsidR="009D4848" w:rsidRDefault="008E3AFF" w:rsidP="00D84B5B">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41FF557C" w14:textId="613DA0D1" w:rsidR="00B43E38" w:rsidRPr="00AB5E04" w:rsidRDefault="00D84B5B" w:rsidP="00D84B5B">
      <w:pPr>
        <w:rPr>
          <w:rFonts w:ascii="Times New Roman" w:hAnsi="Times New Roman" w:cs="Times New Roman"/>
        </w:rPr>
      </w:pPr>
      <w:r w:rsidRPr="00AB5E04">
        <w:rPr>
          <w:rFonts w:ascii="Times New Roman" w:hAnsi="Times New Roman" w:cs="Times New Roman"/>
        </w:rPr>
        <w:t>The Government acknowledges the importance of ensuring the Anti-Dumping Commission (the Commission) is resourced appropriately to ensure effective adm</w:t>
      </w:r>
      <w:r w:rsidR="00777FA9" w:rsidRPr="00AB5E04">
        <w:rPr>
          <w:rFonts w:ascii="Times New Roman" w:hAnsi="Times New Roman" w:cs="Times New Roman"/>
        </w:rPr>
        <w:t>inistration of Australia’s anti</w:t>
      </w:r>
      <w:r w:rsidR="00777FA9" w:rsidRPr="00AB5E04">
        <w:rPr>
          <w:rFonts w:ascii="Times New Roman" w:hAnsi="Times New Roman" w:cs="Times New Roman"/>
        </w:rPr>
        <w:noBreakHyphen/>
      </w:r>
      <w:r w:rsidRPr="00AB5E04">
        <w:rPr>
          <w:rFonts w:ascii="Times New Roman" w:hAnsi="Times New Roman" w:cs="Times New Roman"/>
        </w:rPr>
        <w:t>dumping regime. The Commission is adequately resourced and funded through the Department of Industry, Innovation and Science</w:t>
      </w:r>
      <w:r w:rsidR="004D72CD" w:rsidRPr="00AB5E04">
        <w:rPr>
          <w:rFonts w:ascii="Times New Roman" w:hAnsi="Times New Roman" w:cs="Times New Roman"/>
        </w:rPr>
        <w:t>’s</w:t>
      </w:r>
      <w:r w:rsidRPr="00AB5E04">
        <w:rPr>
          <w:rFonts w:ascii="Times New Roman" w:hAnsi="Times New Roman" w:cs="Times New Roman"/>
        </w:rPr>
        <w:t xml:space="preserve"> budget appropriation.</w:t>
      </w:r>
    </w:p>
    <w:p w14:paraId="055F07A0"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21</w:t>
      </w:r>
    </w:p>
    <w:p w14:paraId="29B445DD"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notes that in adequately resourcing the Anti-Dumping Commission, it would be preferential for officials to have private sector experience prior to gaining employment within the Commission.</w:t>
      </w:r>
    </w:p>
    <w:p w14:paraId="5DE0AC5E" w14:textId="77777777"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125FFA4D" w14:textId="49BB8CEB" w:rsidR="006346B1" w:rsidRPr="00B85242" w:rsidRDefault="00742B8B">
      <w:pPr>
        <w:rPr>
          <w:rFonts w:ascii="Times New Roman" w:hAnsi="Times New Roman" w:cs="Times New Roman"/>
        </w:rPr>
      </w:pPr>
      <w:r w:rsidRPr="00AB5E04">
        <w:rPr>
          <w:rFonts w:ascii="Times New Roman" w:hAnsi="Times New Roman" w:cs="Times New Roman"/>
        </w:rPr>
        <w:t xml:space="preserve">Recruitment actions to fill positions in the Commission must comply with Australian Public Service policies and guidelines including the </w:t>
      </w:r>
      <w:r w:rsidRPr="00AB5E04">
        <w:rPr>
          <w:rFonts w:ascii="Times New Roman" w:hAnsi="Times New Roman" w:cs="Times New Roman"/>
          <w:i/>
          <w:iCs/>
        </w:rPr>
        <w:t>Public Service Act 1999</w:t>
      </w:r>
      <w:r w:rsidRPr="00AB5E04">
        <w:rPr>
          <w:rFonts w:ascii="Times New Roman" w:hAnsi="Times New Roman" w:cs="Times New Roman"/>
        </w:rPr>
        <w:t xml:space="preserve">, the </w:t>
      </w:r>
      <w:r w:rsidRPr="00AB5E04">
        <w:rPr>
          <w:rFonts w:ascii="Times New Roman" w:hAnsi="Times New Roman" w:cs="Times New Roman"/>
          <w:i/>
          <w:iCs/>
        </w:rPr>
        <w:t>Public Service Regulations 1999</w:t>
      </w:r>
      <w:r w:rsidRPr="00AB5E04">
        <w:rPr>
          <w:rFonts w:ascii="Times New Roman" w:hAnsi="Times New Roman" w:cs="Times New Roman"/>
        </w:rPr>
        <w:t xml:space="preserve"> and the </w:t>
      </w:r>
      <w:r w:rsidRPr="00AB5E04">
        <w:rPr>
          <w:rFonts w:ascii="Times New Roman" w:hAnsi="Times New Roman" w:cs="Times New Roman"/>
          <w:i/>
          <w:iCs/>
        </w:rPr>
        <w:t>Australian Public Service Commissioner's Directions 2016</w:t>
      </w:r>
      <w:r w:rsidRPr="00AB5E04">
        <w:rPr>
          <w:rFonts w:ascii="Times New Roman" w:hAnsi="Times New Roman" w:cs="Times New Roman"/>
        </w:rPr>
        <w:t>. Multiple factors are taken into the consideration of applicants for positions in the Commission, including qualifications and prior private sector experience.</w:t>
      </w:r>
    </w:p>
    <w:p w14:paraId="7E4BED53"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lastRenderedPageBreak/>
        <w:t>Recommendation 22</w:t>
      </w:r>
    </w:p>
    <w:p w14:paraId="41DC908C"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responsibility for safeguards inquiries should be transferred from the Productivity Commission to the Anti-Dumping Commission, in line with international best practice.</w:t>
      </w:r>
    </w:p>
    <w:p w14:paraId="5E1CE31B" w14:textId="744283F0"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004C69CA" w:rsidRPr="00AB5E04">
        <w:rPr>
          <w:rFonts w:ascii="Times New Roman" w:hAnsi="Times New Roman" w:cs="Times New Roman"/>
          <w:b/>
          <w:u w:val="single"/>
        </w:rPr>
        <w:t xml:space="preserve">does </w:t>
      </w:r>
      <w:r w:rsidRPr="00AB5E04">
        <w:rPr>
          <w:rFonts w:ascii="Times New Roman" w:hAnsi="Times New Roman" w:cs="Times New Roman"/>
          <w:b/>
          <w:u w:val="single"/>
        </w:rPr>
        <w:t>n</w:t>
      </w:r>
      <w:r w:rsidR="004C69CA" w:rsidRPr="00AB5E04">
        <w:rPr>
          <w:rFonts w:ascii="Times New Roman" w:hAnsi="Times New Roman" w:cs="Times New Roman"/>
          <w:b/>
          <w:u w:val="single"/>
        </w:rPr>
        <w:t>ot support</w:t>
      </w:r>
      <w:r w:rsidRPr="00AB5E04">
        <w:rPr>
          <w:rFonts w:ascii="Times New Roman" w:hAnsi="Times New Roman" w:cs="Times New Roman"/>
        </w:rPr>
        <w:t xml:space="preserve"> this recommendation.</w:t>
      </w:r>
    </w:p>
    <w:p w14:paraId="6334DAAC" w14:textId="282365AF" w:rsidR="004C69CA" w:rsidRPr="00AB5E04" w:rsidRDefault="004C69CA" w:rsidP="004C69CA">
      <w:pPr>
        <w:rPr>
          <w:rFonts w:ascii="Times New Roman" w:hAnsi="Times New Roman" w:cs="Times New Roman"/>
        </w:rPr>
      </w:pPr>
      <w:r w:rsidRPr="00AB5E04">
        <w:rPr>
          <w:rFonts w:ascii="Times New Roman" w:hAnsi="Times New Roman" w:cs="Times New Roman"/>
        </w:rPr>
        <w:t xml:space="preserve">Global safeguard measures are emergency measures to address surges of imports which cause serious material injury and are due to unforeseen developments. </w:t>
      </w:r>
      <w:r w:rsidR="003F39B8" w:rsidRPr="00AB5E04">
        <w:rPr>
          <w:rFonts w:ascii="Times New Roman" w:hAnsi="Times New Roman" w:cs="Times New Roman"/>
        </w:rPr>
        <w:t>World Trade Organiz</w:t>
      </w:r>
      <w:r w:rsidR="00B7425E" w:rsidRPr="00AB5E04">
        <w:rPr>
          <w:rFonts w:ascii="Times New Roman" w:hAnsi="Times New Roman" w:cs="Times New Roman"/>
        </w:rPr>
        <w:t>ation (</w:t>
      </w:r>
      <w:r w:rsidRPr="00AB5E04">
        <w:rPr>
          <w:rFonts w:ascii="Times New Roman" w:hAnsi="Times New Roman" w:cs="Times New Roman"/>
        </w:rPr>
        <w:t>WTO</w:t>
      </w:r>
      <w:r w:rsidR="00B7425E" w:rsidRPr="00AB5E04">
        <w:rPr>
          <w:rFonts w:ascii="Times New Roman" w:hAnsi="Times New Roman" w:cs="Times New Roman"/>
        </w:rPr>
        <w:t>)</w:t>
      </w:r>
      <w:r w:rsidRPr="00AB5E04">
        <w:rPr>
          <w:rFonts w:ascii="Times New Roman" w:hAnsi="Times New Roman" w:cs="Times New Roman"/>
        </w:rPr>
        <w:t xml:space="preserve"> rules set down very strict conditions for the application of safeguard measures. </w:t>
      </w:r>
    </w:p>
    <w:p w14:paraId="3F744539" w14:textId="19D867CC" w:rsidR="00CC5876" w:rsidRDefault="004C69CA" w:rsidP="004C69CA">
      <w:pPr>
        <w:rPr>
          <w:rFonts w:ascii="Times New Roman" w:hAnsi="Times New Roman" w:cs="Times New Roman"/>
        </w:rPr>
      </w:pPr>
      <w:r w:rsidRPr="00AB5E04">
        <w:rPr>
          <w:rFonts w:ascii="Times New Roman" w:hAnsi="Times New Roman" w:cs="Times New Roman"/>
        </w:rPr>
        <w:t>The Productivity Commission remains Australia's competent authority to investigate whether safeguard measures are justified under WTO rules.</w:t>
      </w:r>
    </w:p>
    <w:p w14:paraId="012122B2"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23</w:t>
      </w:r>
    </w:p>
    <w:p w14:paraId="6F3CC082"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introduce a mechanism for applicants involved in anti-dumping investigations to nominate the form of duty to be applied, which can be recommended to the Minister by the Anti-Dumping Commissioner.</w:t>
      </w:r>
    </w:p>
    <w:p w14:paraId="491FB2BE" w14:textId="232F8E65"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18C55F05" w14:textId="774BB588" w:rsidR="00742B8B" w:rsidRDefault="00742B8B" w:rsidP="00742B8B">
      <w:pPr>
        <w:rPr>
          <w:rFonts w:ascii="Times New Roman" w:hAnsi="Times New Roman" w:cs="Times New Roman"/>
        </w:rPr>
      </w:pPr>
      <w:r w:rsidRPr="00AB5E04">
        <w:rPr>
          <w:rFonts w:ascii="Times New Roman" w:hAnsi="Times New Roman" w:cs="Times New Roman"/>
        </w:rPr>
        <w:t xml:space="preserve">The Department of Industry, Innovation and Science has recently consulted interested stakeholders on the merits of allowing parties to make submissions on the form of duties. </w:t>
      </w:r>
      <w:r w:rsidR="007E7F67" w:rsidRPr="00AB5E04">
        <w:rPr>
          <w:rFonts w:ascii="Times New Roman" w:hAnsi="Times New Roman" w:cs="Times New Roman"/>
        </w:rPr>
        <w:t>This was part of the department’s work in seeking feedback on the effectiveness of the anti</w:t>
      </w:r>
      <w:r w:rsidR="007E7F67" w:rsidRPr="00AB5E04">
        <w:rPr>
          <w:rFonts w:ascii="Times New Roman" w:hAnsi="Times New Roman" w:cs="Times New Roman"/>
        </w:rPr>
        <w:noBreakHyphen/>
        <w:t>dumping system and potential improvements from key users of the system, including the International Trade Remedies Forum</w:t>
      </w:r>
      <w:r w:rsidR="00CF5D23">
        <w:rPr>
          <w:rFonts w:ascii="Times New Roman" w:hAnsi="Times New Roman" w:cs="Times New Roman"/>
        </w:rPr>
        <w:t xml:space="preserve"> (ITRF)</w:t>
      </w:r>
      <w:r w:rsidR="007E7F67" w:rsidRPr="00AB5E04">
        <w:rPr>
          <w:rFonts w:ascii="Times New Roman" w:hAnsi="Times New Roman" w:cs="Times New Roman"/>
        </w:rPr>
        <w:t xml:space="preserve">. </w:t>
      </w:r>
      <w:r w:rsidRPr="00AB5E04">
        <w:rPr>
          <w:rFonts w:ascii="Times New Roman" w:hAnsi="Times New Roman" w:cs="Times New Roman"/>
        </w:rPr>
        <w:t>The Government will consider this issue amongst others as part of deciding if further improvements to the anti-dumping system are warranted.</w:t>
      </w:r>
    </w:p>
    <w:p w14:paraId="25F8A916"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24</w:t>
      </w:r>
    </w:p>
    <w:p w14:paraId="4F7B7B52"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the establishment of a working group of the International Trade Remedies Forum to reform the anti-dumping handbook.</w:t>
      </w:r>
    </w:p>
    <w:p w14:paraId="105881F3" w14:textId="77777777"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5CDF85F6" w14:textId="139414A0" w:rsidR="00742B8B" w:rsidRDefault="00742B8B" w:rsidP="00742B8B">
      <w:pPr>
        <w:rPr>
          <w:rFonts w:ascii="Times New Roman" w:hAnsi="Times New Roman" w:cs="Times New Roman"/>
        </w:rPr>
      </w:pPr>
      <w:r w:rsidRPr="00AB5E04">
        <w:rPr>
          <w:rFonts w:ascii="Times New Roman" w:hAnsi="Times New Roman" w:cs="Times New Roman"/>
        </w:rPr>
        <w:t>The Dumping and Subsidy Manual (the Manual) is regularly updated by the Commission. The Commission’s practice is to consult with relevant industry stakeholders including the ITRF when updating the Manual.</w:t>
      </w:r>
    </w:p>
    <w:p w14:paraId="70BF790A" w14:textId="7C935C1B" w:rsidR="006346B1" w:rsidRPr="00AB5E04" w:rsidRDefault="00577224">
      <w:r>
        <w:br w:type="page"/>
      </w:r>
    </w:p>
    <w:p w14:paraId="3DE7E276"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lastRenderedPageBreak/>
        <w:t>Recommendation 25</w:t>
      </w:r>
    </w:p>
    <w:p w14:paraId="03E7A615"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consider establishing a legal aid system to expand access to the Australian anti-dumping system by affected industry stakeholders, particularly small and medium-sized enterprises.</w:t>
      </w:r>
    </w:p>
    <w:p w14:paraId="08BC6934" w14:textId="0B3762A8"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00742B8B" w:rsidRPr="00AB5E04">
        <w:rPr>
          <w:rFonts w:ascii="Times New Roman" w:hAnsi="Times New Roman" w:cs="Times New Roman"/>
          <w:b/>
          <w:u w:val="single"/>
        </w:rPr>
        <w:t xml:space="preserve">does </w:t>
      </w:r>
      <w:r w:rsidRPr="00AB5E04">
        <w:rPr>
          <w:rFonts w:ascii="Times New Roman" w:hAnsi="Times New Roman" w:cs="Times New Roman"/>
          <w:b/>
          <w:u w:val="single"/>
        </w:rPr>
        <w:t>not</w:t>
      </w:r>
      <w:r w:rsidR="00742B8B" w:rsidRPr="00AB5E04">
        <w:rPr>
          <w:rFonts w:ascii="Times New Roman" w:hAnsi="Times New Roman" w:cs="Times New Roman"/>
          <w:b/>
          <w:u w:val="single"/>
        </w:rPr>
        <w:t xml:space="preserve"> support</w:t>
      </w:r>
      <w:r w:rsidRPr="00AB5E04">
        <w:rPr>
          <w:rFonts w:ascii="Times New Roman" w:hAnsi="Times New Roman" w:cs="Times New Roman"/>
        </w:rPr>
        <w:t xml:space="preserve"> this recommendation.</w:t>
      </w:r>
    </w:p>
    <w:p w14:paraId="683A9069" w14:textId="01AF73D0" w:rsidR="00742B8B" w:rsidRPr="00AB5E04" w:rsidRDefault="00742B8B" w:rsidP="00742B8B">
      <w:pPr>
        <w:rPr>
          <w:rFonts w:ascii="Times New Roman" w:hAnsi="Times New Roman" w:cs="Times New Roman"/>
        </w:rPr>
      </w:pPr>
      <w:r w:rsidRPr="00AB5E04">
        <w:rPr>
          <w:rFonts w:ascii="Times New Roman" w:hAnsi="Times New Roman" w:cs="Times New Roman"/>
        </w:rPr>
        <w:t xml:space="preserve">The Government currently provides the International Trade Remedies Advisory (ITRA) Service </w:t>
      </w:r>
      <w:r w:rsidRPr="00AB5E04">
        <w:rPr>
          <w:rFonts w:ascii="Times New Roman" w:hAnsi="Times New Roman" w:cs="Times New Roman"/>
          <w:i/>
        </w:rPr>
        <w:t xml:space="preserve">free of charge </w:t>
      </w:r>
      <w:r w:rsidRPr="00AB5E04">
        <w:rPr>
          <w:rFonts w:ascii="Times New Roman" w:hAnsi="Times New Roman" w:cs="Times New Roman"/>
        </w:rPr>
        <w:t>to assist all Australian SMEs access and understand the anti</w:t>
      </w:r>
      <w:r w:rsidRPr="00AB5E04">
        <w:rPr>
          <w:rFonts w:ascii="Times New Roman" w:hAnsi="Times New Roman" w:cs="Times New Roman"/>
        </w:rPr>
        <w:noBreakHyphen/>
        <w:t xml:space="preserve">dumping and countervailing system. </w:t>
      </w:r>
    </w:p>
    <w:p w14:paraId="5C4A455C"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26</w:t>
      </w:r>
    </w:p>
    <w:p w14:paraId="2853C2E0"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working group proposed in Recommendation 23 within the International Trade Remedies Forum also consider ways in which the anti-dumping system can be reformed to be more user-friendly for small and medium-sized enterprises and the fabricated steel sector.</w:t>
      </w:r>
    </w:p>
    <w:p w14:paraId="46D9D207" w14:textId="77777777"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17560AFF" w14:textId="6293C969" w:rsidR="00B43E38" w:rsidRDefault="00D84B5B" w:rsidP="00CF2AD3">
      <w:pPr>
        <w:rPr>
          <w:rFonts w:ascii="Times New Roman" w:hAnsi="Times New Roman" w:cs="Times New Roman"/>
        </w:rPr>
      </w:pPr>
      <w:r w:rsidRPr="00AB5E04">
        <w:rPr>
          <w:rFonts w:ascii="Times New Roman" w:hAnsi="Times New Roman" w:cs="Times New Roman"/>
        </w:rPr>
        <w:t xml:space="preserve">In 2016, </w:t>
      </w:r>
      <w:r w:rsidR="003F39B8" w:rsidRPr="00AB5E04">
        <w:rPr>
          <w:rFonts w:ascii="Times New Roman" w:hAnsi="Times New Roman" w:cs="Times New Roman"/>
        </w:rPr>
        <w:t xml:space="preserve">the Commissioner of the Anti-Dumping Commission </w:t>
      </w:r>
      <w:r w:rsidRPr="00AB5E04">
        <w:rPr>
          <w:rFonts w:ascii="Times New Roman" w:hAnsi="Times New Roman" w:cs="Times New Roman"/>
        </w:rPr>
        <w:t>established a sub-committee of the ITRF with a particular focus on SME</w:t>
      </w:r>
      <w:r w:rsidR="00777FA9" w:rsidRPr="00AB5E04">
        <w:rPr>
          <w:rFonts w:ascii="Times New Roman" w:hAnsi="Times New Roman" w:cs="Times New Roman"/>
        </w:rPr>
        <w:t xml:space="preserve"> access. The sub</w:t>
      </w:r>
      <w:r w:rsidR="00777FA9" w:rsidRPr="00AB5E04">
        <w:rPr>
          <w:rFonts w:ascii="Times New Roman" w:hAnsi="Times New Roman" w:cs="Times New Roman"/>
        </w:rPr>
        <w:noBreakHyphen/>
      </w:r>
      <w:r w:rsidRPr="00AB5E04">
        <w:rPr>
          <w:rFonts w:ascii="Times New Roman" w:hAnsi="Times New Roman" w:cs="Times New Roman"/>
        </w:rPr>
        <w:t>committee comprised relevant representatives from Australian industry and Government agencies, including industry bodies representing the fabricated steel sector. The sub-committee recommended a number of operational changes to the Commission to improve SME access, including reviewing anti-dumping system documentation.</w:t>
      </w:r>
      <w:r w:rsidR="007E7F67" w:rsidRPr="00AB5E04">
        <w:rPr>
          <w:rFonts w:ascii="Times New Roman" w:hAnsi="Times New Roman" w:cs="Times New Roman"/>
        </w:rPr>
        <w:t xml:space="preserve"> The minutes of ITRF meetings provide a summary of its work</w:t>
      </w:r>
      <w:r w:rsidR="00AE601F" w:rsidRPr="00AB5E04">
        <w:rPr>
          <w:rFonts w:ascii="Times New Roman" w:hAnsi="Times New Roman" w:cs="Times New Roman"/>
        </w:rPr>
        <w:t>.</w:t>
      </w:r>
      <w:r w:rsidR="007E7F67" w:rsidRPr="00CC5876">
        <w:rPr>
          <w:rStyle w:val="FootnoteReference"/>
        </w:rPr>
        <w:footnoteReference w:id="13"/>
      </w:r>
    </w:p>
    <w:p w14:paraId="06DF5BE9"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t>Recommendation 27</w:t>
      </w:r>
    </w:p>
    <w:p w14:paraId="5AF087B1" w14:textId="23F89F84" w:rsidR="00B43E38" w:rsidRPr="00AB5E04"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look at ways to better facilitate access to data held by the government to assist companies seeking to access the anti-dumping system.</w:t>
      </w:r>
    </w:p>
    <w:p w14:paraId="58926DD6" w14:textId="77777777"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4015C889" w14:textId="1A5F7017" w:rsidR="00641459" w:rsidRPr="00AB5E04" w:rsidRDefault="00641459" w:rsidP="00641459">
      <w:pPr>
        <w:rPr>
          <w:rFonts w:ascii="Times New Roman" w:hAnsi="Times New Roman" w:cs="Times New Roman"/>
        </w:rPr>
      </w:pPr>
      <w:r w:rsidRPr="00AB5E04">
        <w:rPr>
          <w:rFonts w:ascii="Times New Roman" w:hAnsi="Times New Roman" w:cs="Times New Roman"/>
        </w:rPr>
        <w:t xml:space="preserve">Following the May 2017 ITRF meeting, a sub-committee of the ITRF with a particular focus on access to import data was established to consider ways to improve trade data access for parties interacting with the anti-dumping system. The sub-committee is comprised of representatives from relevant industry stakeholders and Government agencies, including the Australian Bureau of Statistics. The sub-committee is currently considering the issue of access to import data and will make recommendations to the </w:t>
      </w:r>
      <w:r w:rsidR="00F36EBD" w:rsidRPr="00AB5E04">
        <w:rPr>
          <w:rFonts w:ascii="Times New Roman" w:hAnsi="Times New Roman" w:cs="Times New Roman"/>
        </w:rPr>
        <w:t>relevant minister</w:t>
      </w:r>
      <w:r w:rsidRPr="00AB5E04">
        <w:rPr>
          <w:rFonts w:ascii="Times New Roman" w:hAnsi="Times New Roman" w:cs="Times New Roman"/>
        </w:rPr>
        <w:t>, in due course.</w:t>
      </w:r>
    </w:p>
    <w:p w14:paraId="153D5142" w14:textId="6C631E73" w:rsidR="00B43E38" w:rsidRPr="00AB5E04" w:rsidRDefault="006346B1" w:rsidP="00CF2AD3">
      <w:pPr>
        <w:rPr>
          <w:rFonts w:ascii="Times New Roman" w:hAnsi="Times New Roman" w:cs="Times New Roman"/>
        </w:rPr>
      </w:pPr>
      <w:r>
        <w:rPr>
          <w:rFonts w:ascii="Times New Roman" w:hAnsi="Times New Roman" w:cs="Times New Roman"/>
        </w:rPr>
        <w:br w:type="page"/>
      </w:r>
    </w:p>
    <w:p w14:paraId="16F138B9" w14:textId="77777777" w:rsidR="003A4BEB" w:rsidRPr="00B31F7C" w:rsidRDefault="003A4BEB" w:rsidP="003A4BEB">
      <w:pPr>
        <w:pStyle w:val="Heading3"/>
        <w:pBdr>
          <w:top w:val="single" w:sz="4" w:space="1" w:color="auto"/>
          <w:left w:val="single" w:sz="4" w:space="4" w:color="auto"/>
          <w:bottom w:val="single" w:sz="4" w:space="1" w:color="auto"/>
          <w:right w:val="single" w:sz="4" w:space="4" w:color="auto"/>
        </w:pBdr>
        <w:rPr>
          <w:b w:val="0"/>
        </w:rPr>
      </w:pPr>
      <w:r w:rsidRPr="00B31F7C">
        <w:lastRenderedPageBreak/>
        <w:t>Recommendation 28</w:t>
      </w:r>
    </w:p>
    <w:p w14:paraId="3F19D94A" w14:textId="77777777" w:rsidR="003A4BEB" w:rsidRPr="00B31F7C" w:rsidRDefault="003A4BEB" w:rsidP="003A4BEB">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B31F7C">
        <w:rPr>
          <w:rFonts w:ascii="Times New Roman" w:hAnsi="Times New Roman" w:cs="Times New Roman"/>
        </w:rPr>
        <w:t>The committee recommends that the Australian Government should continue to oppose the introduction of a 'public interest test' in the levying of duties.</w:t>
      </w:r>
    </w:p>
    <w:p w14:paraId="6A162AF9" w14:textId="77777777" w:rsidR="00B43E38" w:rsidRPr="00AB5E04" w:rsidRDefault="00B43E38" w:rsidP="00B43E38">
      <w:pPr>
        <w:rPr>
          <w:rFonts w:ascii="Times New Roman" w:hAnsi="Times New Roman" w:cs="Times New Roman"/>
        </w:rPr>
      </w:pPr>
      <w:r w:rsidRPr="00AB5E04">
        <w:rPr>
          <w:rFonts w:ascii="Times New Roman" w:hAnsi="Times New Roman" w:cs="Times New Roman"/>
        </w:rPr>
        <w:t xml:space="preserve">The Australian Government </w:t>
      </w:r>
      <w:r w:rsidRPr="00AB5E04">
        <w:rPr>
          <w:rFonts w:ascii="Times New Roman" w:hAnsi="Times New Roman" w:cs="Times New Roman"/>
          <w:b/>
          <w:u w:val="single"/>
        </w:rPr>
        <w:t>notes</w:t>
      </w:r>
      <w:r w:rsidRPr="00AB5E04">
        <w:rPr>
          <w:rFonts w:ascii="Times New Roman" w:hAnsi="Times New Roman" w:cs="Times New Roman"/>
        </w:rPr>
        <w:t xml:space="preserve"> this recommendation.</w:t>
      </w:r>
    </w:p>
    <w:p w14:paraId="4C1A48AF" w14:textId="7148F343" w:rsidR="008E3AFF" w:rsidRPr="00AB5E04" w:rsidRDefault="00641459" w:rsidP="007B0674">
      <w:pPr>
        <w:rPr>
          <w:rFonts w:ascii="Times New Roman" w:hAnsi="Times New Roman" w:cs="Times New Roman"/>
        </w:rPr>
      </w:pPr>
      <w:r w:rsidRPr="00AB5E04">
        <w:rPr>
          <w:rFonts w:ascii="Times New Roman" w:hAnsi="Times New Roman" w:cs="Times New Roman"/>
        </w:rPr>
        <w:t>The Government is not currently considering introducing a ‘public interest test’ in relation to the anti</w:t>
      </w:r>
      <w:r w:rsidR="00386BA4">
        <w:rPr>
          <w:rFonts w:ascii="Times New Roman" w:hAnsi="Times New Roman" w:cs="Times New Roman"/>
        </w:rPr>
        <w:noBreakHyphen/>
      </w:r>
      <w:r w:rsidRPr="00AB5E04">
        <w:rPr>
          <w:rFonts w:ascii="Times New Roman" w:hAnsi="Times New Roman" w:cs="Times New Roman"/>
        </w:rPr>
        <w:t>dumping system.</w:t>
      </w:r>
    </w:p>
    <w:sectPr w:rsidR="008E3AFF" w:rsidRPr="00AB5E04" w:rsidSect="005413AB">
      <w:headerReference w:type="default" r:id="rId15"/>
      <w:footerReference w:type="default" r:id="rId16"/>
      <w:pgSz w:w="11906" w:h="16838"/>
      <w:pgMar w:top="1440" w:right="1440"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C35CEF" w14:textId="77777777" w:rsidR="00C80E7C" w:rsidRDefault="00C80E7C" w:rsidP="00836C7C">
      <w:pPr>
        <w:spacing w:after="0" w:line="240" w:lineRule="auto"/>
      </w:pPr>
      <w:r>
        <w:separator/>
      </w:r>
    </w:p>
  </w:endnote>
  <w:endnote w:type="continuationSeparator" w:id="0">
    <w:p w14:paraId="37EBF795" w14:textId="77777777" w:rsidR="00C80E7C" w:rsidRDefault="00C80E7C" w:rsidP="00836C7C">
      <w:pPr>
        <w:spacing w:after="0" w:line="240" w:lineRule="auto"/>
      </w:pPr>
      <w:r>
        <w:continuationSeparator/>
      </w:r>
    </w:p>
  </w:endnote>
  <w:endnote w:type="continuationNotice" w:id="1">
    <w:p w14:paraId="1738B8E8" w14:textId="77777777" w:rsidR="00C80E7C" w:rsidRDefault="00C80E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5216"/>
      <w:docPartObj>
        <w:docPartGallery w:val="Page Numbers (Bottom of Page)"/>
        <w:docPartUnique/>
      </w:docPartObj>
    </w:sdtPr>
    <w:sdtEndPr>
      <w:rPr>
        <w:rFonts w:ascii="Times New Roman" w:hAnsi="Times New Roman" w:cs="Times New Roman"/>
        <w:noProof/>
        <w:sz w:val="20"/>
      </w:rPr>
    </w:sdtEndPr>
    <w:sdtContent>
      <w:p w14:paraId="61182D7B" w14:textId="1BDF99D1" w:rsidR="00C80E7C" w:rsidRPr="002F3D7E" w:rsidRDefault="00C80E7C" w:rsidP="00BE6CE5">
        <w:pPr>
          <w:pStyle w:val="Footer"/>
          <w:jc w:val="center"/>
          <w:rPr>
            <w:rFonts w:ascii="Times New Roman" w:hAnsi="Times New Roman" w:cs="Times New Roman"/>
            <w:sz w:val="20"/>
          </w:rPr>
        </w:pPr>
        <w:r w:rsidRPr="002F3D7E">
          <w:rPr>
            <w:rFonts w:ascii="Times New Roman" w:hAnsi="Times New Roman" w:cs="Times New Roman"/>
            <w:sz w:val="20"/>
          </w:rPr>
          <w:fldChar w:fldCharType="begin"/>
        </w:r>
        <w:r w:rsidRPr="002F3D7E">
          <w:rPr>
            <w:rFonts w:ascii="Times New Roman" w:hAnsi="Times New Roman" w:cs="Times New Roman"/>
            <w:sz w:val="20"/>
          </w:rPr>
          <w:instrText xml:space="preserve"> PAGE   \* MERGEFORMAT </w:instrText>
        </w:r>
        <w:r w:rsidRPr="002F3D7E">
          <w:rPr>
            <w:rFonts w:ascii="Times New Roman" w:hAnsi="Times New Roman" w:cs="Times New Roman"/>
            <w:sz w:val="20"/>
          </w:rPr>
          <w:fldChar w:fldCharType="separate"/>
        </w:r>
        <w:r w:rsidR="00DD021B">
          <w:rPr>
            <w:rFonts w:ascii="Times New Roman" w:hAnsi="Times New Roman" w:cs="Times New Roman"/>
            <w:noProof/>
            <w:sz w:val="20"/>
          </w:rPr>
          <w:t>6</w:t>
        </w:r>
        <w:r w:rsidRPr="002F3D7E">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ACDF0" w14:textId="77777777" w:rsidR="00C80E7C" w:rsidRDefault="00C80E7C" w:rsidP="00836C7C">
      <w:pPr>
        <w:spacing w:after="0" w:line="240" w:lineRule="auto"/>
      </w:pPr>
      <w:r>
        <w:separator/>
      </w:r>
    </w:p>
  </w:footnote>
  <w:footnote w:type="continuationSeparator" w:id="0">
    <w:p w14:paraId="569A4D34" w14:textId="77777777" w:rsidR="00C80E7C" w:rsidRDefault="00C80E7C" w:rsidP="00836C7C">
      <w:pPr>
        <w:spacing w:after="0" w:line="240" w:lineRule="auto"/>
      </w:pPr>
      <w:r>
        <w:continuationSeparator/>
      </w:r>
    </w:p>
  </w:footnote>
  <w:footnote w:type="continuationNotice" w:id="1">
    <w:p w14:paraId="6025136A" w14:textId="77777777" w:rsidR="00C80E7C" w:rsidRDefault="00C80E7C">
      <w:pPr>
        <w:spacing w:after="0" w:line="240" w:lineRule="auto"/>
      </w:pPr>
    </w:p>
  </w:footnote>
  <w:footnote w:id="2">
    <w:p w14:paraId="74D07655" w14:textId="3D1E37D5" w:rsidR="00C80E7C" w:rsidRDefault="00C80E7C">
      <w:pPr>
        <w:pStyle w:val="FootnoteText"/>
      </w:pPr>
      <w:r>
        <w:rPr>
          <w:rStyle w:val="FootnoteReference"/>
        </w:rPr>
        <w:footnoteRef/>
      </w:r>
      <w:r>
        <w:t xml:space="preserve"> </w:t>
      </w:r>
      <w:r w:rsidRPr="00C167F5">
        <w:rPr>
          <w:rFonts w:ascii="Times New Roman" w:hAnsi="Times New Roman" w:cs="Times New Roman"/>
        </w:rPr>
        <w:t>Resource and Energy Quarterly, Department of Industry, Innovation and Science (201</w:t>
      </w:r>
      <w:r w:rsidR="00925377">
        <w:rPr>
          <w:rFonts w:ascii="Times New Roman" w:hAnsi="Times New Roman" w:cs="Times New Roman"/>
        </w:rPr>
        <w:t>8</w:t>
      </w:r>
      <w:r w:rsidRPr="00C167F5">
        <w:rPr>
          <w:rFonts w:ascii="Times New Roman" w:hAnsi="Times New Roman" w:cs="Times New Roman"/>
        </w:rPr>
        <w:t>)</w:t>
      </w:r>
    </w:p>
  </w:footnote>
  <w:footnote w:id="3">
    <w:p w14:paraId="2AA3F6E3" w14:textId="37C593E7"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World Steel Association, </w:t>
      </w:r>
      <w:hyperlink r:id="rId1" w:history="1">
        <w:r w:rsidRPr="00A000D5">
          <w:rPr>
            <w:rStyle w:val="Hyperlink"/>
            <w:rFonts w:ascii="Times New Roman" w:hAnsi="Times New Roman" w:cs="Times New Roman"/>
          </w:rPr>
          <w:t>Steel Statistical Yearbook</w:t>
        </w:r>
      </w:hyperlink>
      <w:r>
        <w:rPr>
          <w:rFonts w:ascii="Times New Roman" w:hAnsi="Times New Roman" w:cs="Times New Roman"/>
        </w:rPr>
        <w:t>, 2017</w:t>
      </w:r>
    </w:p>
  </w:footnote>
  <w:footnote w:id="4">
    <w:p w14:paraId="72B21E99" w14:textId="68B90219" w:rsidR="00C80E7C" w:rsidRDefault="00C80E7C" w:rsidP="00AA17B3">
      <w:pPr>
        <w:pStyle w:val="FootnoteText"/>
      </w:pPr>
      <w:r w:rsidRPr="00A000D5">
        <w:rPr>
          <w:rStyle w:val="FootnoteReference"/>
          <w:rFonts w:ascii="Times New Roman" w:hAnsi="Times New Roman" w:cs="Times New Roman"/>
        </w:rPr>
        <w:footnoteRef/>
      </w:r>
      <w:r w:rsidRPr="00A000D5">
        <w:rPr>
          <w:rFonts w:ascii="Times New Roman" w:hAnsi="Times New Roman" w:cs="Times New Roman"/>
        </w:rPr>
        <w:t xml:space="preserve"> Federal Ministry for Economic Affairs and Energy (Germany), </w:t>
      </w:r>
      <w:hyperlink r:id="rId2" w:history="1">
        <w:r w:rsidRPr="00A000D5">
          <w:rPr>
            <w:rStyle w:val="Hyperlink"/>
            <w:rFonts w:ascii="Times New Roman" w:hAnsi="Times New Roman" w:cs="Times New Roman"/>
          </w:rPr>
          <w:t>Global Forum on Steel Excess Capacity Report</w:t>
        </w:r>
      </w:hyperlink>
      <w:r>
        <w:rPr>
          <w:rFonts w:ascii="Times New Roman" w:hAnsi="Times New Roman" w:cs="Times New Roman"/>
        </w:rPr>
        <w:t>, 30 November 2017</w:t>
      </w:r>
      <w:r w:rsidRPr="00A000D5">
        <w:rPr>
          <w:rFonts w:ascii="Times New Roman" w:hAnsi="Times New Roman" w:cs="Times New Roman"/>
        </w:rPr>
        <w:t xml:space="preserve"> </w:t>
      </w:r>
    </w:p>
  </w:footnote>
  <w:footnote w:id="5">
    <w:p w14:paraId="18708F9C" w14:textId="0AAC305A"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Australian Government, </w:t>
      </w:r>
      <w:hyperlink r:id="rId3" w:history="1">
        <w:r w:rsidRPr="00A000D5">
          <w:rPr>
            <w:rStyle w:val="Hyperlink"/>
            <w:rFonts w:ascii="Times New Roman" w:hAnsi="Times New Roman" w:cs="Times New Roman"/>
          </w:rPr>
          <w:t>Australian Government Response to the Senate Economics References Committee report: Future of Australia’s Steel Industry – Interim Report</w:t>
        </w:r>
      </w:hyperlink>
      <w:r>
        <w:rPr>
          <w:rFonts w:ascii="Times New Roman" w:hAnsi="Times New Roman" w:cs="Times New Roman"/>
        </w:rPr>
        <w:t>, February 2017</w:t>
      </w:r>
    </w:p>
  </w:footnote>
  <w:footnote w:id="6">
    <w:p w14:paraId="392B051F" w14:textId="5B461942" w:rsidR="00C80E7C" w:rsidRPr="006F0A1E" w:rsidRDefault="00C80E7C">
      <w:pPr>
        <w:pStyle w:val="FootnoteText"/>
        <w:rPr>
          <w:rFonts w:ascii="Times New Roman" w:hAnsi="Times New Roman" w:cs="Times New Roman"/>
        </w:rPr>
      </w:pPr>
      <w:r w:rsidRPr="006F0A1E">
        <w:rPr>
          <w:rStyle w:val="FootnoteReference"/>
          <w:rFonts w:ascii="Times New Roman" w:hAnsi="Times New Roman" w:cs="Times New Roman"/>
        </w:rPr>
        <w:footnoteRef/>
      </w:r>
      <w:r w:rsidRPr="006F0A1E">
        <w:rPr>
          <w:rFonts w:ascii="Times New Roman" w:hAnsi="Times New Roman" w:cs="Times New Roman"/>
        </w:rPr>
        <w:t xml:space="preserve"> Minister for Infrastructure and Transport, Media Release - Aussie steel on track for Inland Rail, 7 December 2017</w:t>
      </w:r>
    </w:p>
  </w:footnote>
  <w:footnote w:id="7">
    <w:p w14:paraId="6F81729A" w14:textId="5AC81503" w:rsidR="00C80E7C" w:rsidRPr="00FC0543" w:rsidRDefault="00C80E7C" w:rsidP="00FC0543">
      <w:pPr>
        <w:pStyle w:val="FootnoteText"/>
        <w:rPr>
          <w:rFonts w:ascii="Times New Roman" w:hAnsi="Times New Roman" w:cs="Times New Roman"/>
          <w:lang w:val="en-US"/>
        </w:rPr>
      </w:pPr>
      <w:r w:rsidRPr="00FC0543">
        <w:rPr>
          <w:rStyle w:val="FootnoteReference"/>
          <w:rFonts w:ascii="Times New Roman" w:hAnsi="Times New Roman" w:cs="Times New Roman"/>
        </w:rPr>
        <w:footnoteRef/>
      </w:r>
      <w:r w:rsidRPr="00FC0543">
        <w:rPr>
          <w:rFonts w:ascii="Times New Roman" w:hAnsi="Times New Roman" w:cs="Times New Roman"/>
        </w:rPr>
        <w:t xml:space="preserve"> Prime Minister, </w:t>
      </w:r>
      <w:r w:rsidRPr="00FC0543">
        <w:rPr>
          <w:rFonts w:ascii="Times New Roman" w:hAnsi="Times New Roman" w:cs="Times New Roman"/>
          <w:lang w:val="en-US"/>
        </w:rPr>
        <w:t xml:space="preserve">Minister for </w:t>
      </w:r>
      <w:proofErr w:type="spellStart"/>
      <w:r w:rsidRPr="00FC0543">
        <w:rPr>
          <w:rFonts w:ascii="Times New Roman" w:hAnsi="Times New Roman" w:cs="Times New Roman"/>
          <w:lang w:val="en-US"/>
        </w:rPr>
        <w:t>Defence</w:t>
      </w:r>
      <w:proofErr w:type="spellEnd"/>
      <w:r w:rsidRPr="00FC0543">
        <w:rPr>
          <w:rFonts w:ascii="Times New Roman" w:hAnsi="Times New Roman" w:cs="Times New Roman"/>
          <w:lang w:val="en-US"/>
        </w:rPr>
        <w:t xml:space="preserve"> and Minister for </w:t>
      </w:r>
      <w:proofErr w:type="spellStart"/>
      <w:r w:rsidRPr="00FC0543">
        <w:rPr>
          <w:rFonts w:ascii="Times New Roman" w:hAnsi="Times New Roman" w:cs="Times New Roman"/>
          <w:lang w:val="en-US"/>
        </w:rPr>
        <w:t>Defence</w:t>
      </w:r>
      <w:proofErr w:type="spellEnd"/>
      <w:r w:rsidRPr="00FC0543">
        <w:rPr>
          <w:rFonts w:ascii="Times New Roman" w:hAnsi="Times New Roman" w:cs="Times New Roman"/>
          <w:lang w:val="en-US"/>
        </w:rPr>
        <w:t xml:space="preserve"> Industry, </w:t>
      </w:r>
      <w:hyperlink r:id="rId4" w:history="1">
        <w:r w:rsidRPr="00FC0543">
          <w:rPr>
            <w:rStyle w:val="Hyperlink"/>
            <w:rFonts w:ascii="Times New Roman" w:hAnsi="Times New Roman" w:cs="Times New Roman"/>
            <w:lang w:val="en-US"/>
          </w:rPr>
          <w:t>Joint Media Release – Hundreds of Australian Jobs created in Offshore Patrol Vessel project</w:t>
        </w:r>
      </w:hyperlink>
      <w:r>
        <w:rPr>
          <w:rFonts w:ascii="Times New Roman" w:hAnsi="Times New Roman" w:cs="Times New Roman"/>
          <w:lang w:val="en-US"/>
        </w:rPr>
        <w:t>, 25 November 2017</w:t>
      </w:r>
    </w:p>
  </w:footnote>
  <w:footnote w:id="8">
    <w:p w14:paraId="6FF1589A" w14:textId="458F7672"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Australian Government, </w:t>
      </w:r>
      <w:hyperlink r:id="rId5" w:history="1">
        <w:r w:rsidRPr="00A000D5">
          <w:rPr>
            <w:rStyle w:val="Hyperlink"/>
            <w:rFonts w:ascii="Times New Roman" w:hAnsi="Times New Roman" w:cs="Times New Roman"/>
          </w:rPr>
          <w:t>Government response to the inquiry into the Commonwealth procurement framework</w:t>
        </w:r>
      </w:hyperlink>
      <w:r w:rsidRPr="00A000D5">
        <w:rPr>
          <w:rFonts w:ascii="Times New Roman" w:hAnsi="Times New Roman" w:cs="Times New Roman"/>
        </w:rPr>
        <w:t>, 14 November 2</w:t>
      </w:r>
      <w:r>
        <w:rPr>
          <w:rFonts w:ascii="Times New Roman" w:hAnsi="Times New Roman" w:cs="Times New Roman"/>
        </w:rPr>
        <w:t>017</w:t>
      </w:r>
    </w:p>
  </w:footnote>
  <w:footnote w:id="9">
    <w:p w14:paraId="587B8DE9" w14:textId="6AF7304D"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w:t>
      </w:r>
      <w:r w:rsidR="00A45F6A" w:rsidRPr="00E5192C">
        <w:rPr>
          <w:rFonts w:ascii="Times New Roman" w:hAnsi="Times New Roman" w:cs="Times New Roman"/>
          <w:i/>
        </w:rPr>
        <w:t>Ibid</w:t>
      </w:r>
    </w:p>
  </w:footnote>
  <w:footnote w:id="10">
    <w:p w14:paraId="5DC7A710" w14:textId="61C4E4AE" w:rsidR="00C80E7C" w:rsidRDefault="00C80E7C">
      <w:pPr>
        <w:pStyle w:val="FootnoteText"/>
      </w:pPr>
      <w:r w:rsidRPr="00A000D5">
        <w:rPr>
          <w:rStyle w:val="FootnoteReference"/>
          <w:rFonts w:ascii="Times New Roman" w:hAnsi="Times New Roman" w:cs="Times New Roman"/>
        </w:rPr>
        <w:footnoteRef/>
      </w:r>
      <w:r w:rsidRPr="00A000D5">
        <w:rPr>
          <w:rFonts w:ascii="Times New Roman" w:hAnsi="Times New Roman" w:cs="Times New Roman"/>
        </w:rPr>
        <w:t xml:space="preserve"> </w:t>
      </w:r>
      <w:r w:rsidRPr="00134E51">
        <w:rPr>
          <w:rFonts w:ascii="Times New Roman" w:hAnsi="Times New Roman" w:cs="Times New Roman"/>
          <w:i/>
        </w:rPr>
        <w:t>Ibid</w:t>
      </w:r>
    </w:p>
  </w:footnote>
  <w:footnote w:id="11">
    <w:p w14:paraId="24293D99" w14:textId="5FE82542"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w:t>
      </w:r>
      <w:r w:rsidR="00A45F6A" w:rsidRPr="00E5192C">
        <w:rPr>
          <w:rFonts w:ascii="Times New Roman" w:hAnsi="Times New Roman" w:cs="Times New Roman"/>
          <w:i/>
        </w:rPr>
        <w:t>Ibid</w:t>
      </w:r>
    </w:p>
  </w:footnote>
  <w:footnote w:id="12">
    <w:p w14:paraId="4D7BE1A5" w14:textId="426A4B31"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Australian Government, </w:t>
      </w:r>
      <w:hyperlink r:id="rId6" w:history="1">
        <w:r w:rsidRPr="00A000D5">
          <w:rPr>
            <w:rStyle w:val="Hyperlink"/>
            <w:rFonts w:ascii="Times New Roman" w:hAnsi="Times New Roman" w:cs="Times New Roman"/>
          </w:rPr>
          <w:t>Government response to the inquiry into the Commonwealth procurement framework</w:t>
        </w:r>
      </w:hyperlink>
      <w:r>
        <w:rPr>
          <w:rFonts w:ascii="Times New Roman" w:hAnsi="Times New Roman" w:cs="Times New Roman"/>
        </w:rPr>
        <w:t>, 14 November 2017</w:t>
      </w:r>
    </w:p>
  </w:footnote>
  <w:footnote w:id="13">
    <w:p w14:paraId="07EE6782" w14:textId="57270679" w:rsidR="00C80E7C" w:rsidRPr="00A000D5" w:rsidRDefault="00C80E7C">
      <w:pPr>
        <w:pStyle w:val="FootnoteText"/>
        <w:rPr>
          <w:rFonts w:ascii="Times New Roman" w:hAnsi="Times New Roman" w:cs="Times New Roman"/>
        </w:rPr>
      </w:pPr>
      <w:r w:rsidRPr="00A000D5">
        <w:rPr>
          <w:rStyle w:val="FootnoteReference"/>
          <w:rFonts w:ascii="Times New Roman" w:hAnsi="Times New Roman" w:cs="Times New Roman"/>
        </w:rPr>
        <w:footnoteRef/>
      </w:r>
      <w:r w:rsidRPr="00A000D5">
        <w:rPr>
          <w:rFonts w:ascii="Times New Roman" w:hAnsi="Times New Roman" w:cs="Times New Roman"/>
        </w:rPr>
        <w:t xml:space="preserve"> Anti-Dumping Commission, </w:t>
      </w:r>
      <w:hyperlink r:id="rId7" w:history="1">
        <w:r w:rsidRPr="00A000D5">
          <w:rPr>
            <w:rStyle w:val="Hyperlink"/>
            <w:rFonts w:ascii="Times New Roman" w:hAnsi="Times New Roman" w:cs="Times New Roman"/>
          </w:rPr>
          <w:t>International Trade Remedies Forum Minutes</w:t>
        </w:r>
      </w:hyperlink>
      <w:r w:rsidRPr="00A000D5">
        <w:rPr>
          <w:rStyle w:val="Hyperlink"/>
          <w:rFonts w:ascii="Times New Roman" w:hAnsi="Times New Roman" w:cs="Times New Roman"/>
        </w:rPr>
        <w:t xml:space="preserve">, </w:t>
      </w:r>
      <w:r w:rsidRPr="00A000D5">
        <w:rPr>
          <w:rStyle w:val="Hyperlink"/>
          <w:rFonts w:ascii="Times New Roman" w:hAnsi="Times New Roman" w:cs="Times New Roman"/>
          <w:color w:val="000000" w:themeColor="text1"/>
          <w:u w:val="none"/>
        </w:rPr>
        <w:t>2016-17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97EC" w14:textId="465243A7" w:rsidR="00C80E7C" w:rsidRDefault="00C80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6206E2D8"/>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C1B8570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9A4CF0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9221E9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C380B9A0"/>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BD54E80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285635F"/>
    <w:multiLevelType w:val="hybridMultilevel"/>
    <w:tmpl w:val="0F627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30329CA"/>
    <w:multiLevelType w:val="multilevel"/>
    <w:tmpl w:val="E0744FFC"/>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53E4B3E"/>
    <w:multiLevelType w:val="hybridMultilevel"/>
    <w:tmpl w:val="A63CEAF6"/>
    <w:lvl w:ilvl="0" w:tplc="18F27ACE">
      <w:start w:val="1"/>
      <w:numFmt w:val="bullet"/>
      <w:lvlText w:val=""/>
      <w:lvlJc w:val="left"/>
      <w:pPr>
        <w:ind w:left="720" w:hanging="360"/>
      </w:pPr>
      <w:rPr>
        <w:rFonts w:ascii="Symbol" w:hAnsi="Symbol" w:hint="default"/>
        <w:color w:val="000000" w:themeColor="text1"/>
      </w:rPr>
    </w:lvl>
    <w:lvl w:ilvl="1" w:tplc="C98A5FDC">
      <w:start w:val="1"/>
      <w:numFmt w:val="bullet"/>
      <w:lvlText w:val="o"/>
      <w:lvlJc w:val="left"/>
      <w:pPr>
        <w:ind w:left="1440" w:hanging="360"/>
      </w:pPr>
      <w:rPr>
        <w:rFonts w:ascii="Courier New" w:hAnsi="Courier New" w:cs="Courier New" w:hint="default"/>
        <w:color w:val="000000" w:themeColor="text1"/>
      </w:rPr>
    </w:lvl>
    <w:lvl w:ilvl="2" w:tplc="003AFF94">
      <w:start w:val="1"/>
      <w:numFmt w:val="bullet"/>
      <w:lvlText w:val=""/>
      <w:lvlJc w:val="left"/>
      <w:pPr>
        <w:ind w:left="2160" w:hanging="360"/>
      </w:pPr>
      <w:rPr>
        <w:rFonts w:ascii="Wingdings" w:hAnsi="Wingdings" w:hint="default"/>
      </w:rPr>
    </w:lvl>
    <w:lvl w:ilvl="3" w:tplc="7DA466F8" w:tentative="1">
      <w:start w:val="1"/>
      <w:numFmt w:val="bullet"/>
      <w:lvlText w:val=""/>
      <w:lvlJc w:val="left"/>
      <w:pPr>
        <w:ind w:left="2880" w:hanging="360"/>
      </w:pPr>
      <w:rPr>
        <w:rFonts w:ascii="Symbol" w:hAnsi="Symbol" w:hint="default"/>
      </w:rPr>
    </w:lvl>
    <w:lvl w:ilvl="4" w:tplc="993ACD58" w:tentative="1">
      <w:start w:val="1"/>
      <w:numFmt w:val="bullet"/>
      <w:lvlText w:val="o"/>
      <w:lvlJc w:val="left"/>
      <w:pPr>
        <w:ind w:left="3600" w:hanging="360"/>
      </w:pPr>
      <w:rPr>
        <w:rFonts w:ascii="Courier New" w:hAnsi="Courier New" w:cs="Courier New" w:hint="default"/>
      </w:rPr>
    </w:lvl>
    <w:lvl w:ilvl="5" w:tplc="35BA95BC" w:tentative="1">
      <w:start w:val="1"/>
      <w:numFmt w:val="bullet"/>
      <w:lvlText w:val=""/>
      <w:lvlJc w:val="left"/>
      <w:pPr>
        <w:ind w:left="4320" w:hanging="360"/>
      </w:pPr>
      <w:rPr>
        <w:rFonts w:ascii="Wingdings" w:hAnsi="Wingdings" w:hint="default"/>
      </w:rPr>
    </w:lvl>
    <w:lvl w:ilvl="6" w:tplc="E95CF7C0" w:tentative="1">
      <w:start w:val="1"/>
      <w:numFmt w:val="bullet"/>
      <w:lvlText w:val=""/>
      <w:lvlJc w:val="left"/>
      <w:pPr>
        <w:ind w:left="5040" w:hanging="360"/>
      </w:pPr>
      <w:rPr>
        <w:rFonts w:ascii="Symbol" w:hAnsi="Symbol" w:hint="default"/>
      </w:rPr>
    </w:lvl>
    <w:lvl w:ilvl="7" w:tplc="224E86D8" w:tentative="1">
      <w:start w:val="1"/>
      <w:numFmt w:val="bullet"/>
      <w:lvlText w:val="o"/>
      <w:lvlJc w:val="left"/>
      <w:pPr>
        <w:ind w:left="5760" w:hanging="360"/>
      </w:pPr>
      <w:rPr>
        <w:rFonts w:ascii="Courier New" w:hAnsi="Courier New" w:cs="Courier New" w:hint="default"/>
      </w:rPr>
    </w:lvl>
    <w:lvl w:ilvl="8" w:tplc="8AA8D752" w:tentative="1">
      <w:start w:val="1"/>
      <w:numFmt w:val="bullet"/>
      <w:lvlText w:val=""/>
      <w:lvlJc w:val="left"/>
      <w:pPr>
        <w:ind w:left="6480" w:hanging="360"/>
      </w:pPr>
      <w:rPr>
        <w:rFonts w:ascii="Wingdings" w:hAnsi="Wingdings" w:hint="default"/>
      </w:rPr>
    </w:lvl>
  </w:abstractNum>
  <w:abstractNum w:abstractNumId="9" w15:restartNumberingAfterBreak="0">
    <w:nsid w:val="0A3007DC"/>
    <w:multiLevelType w:val="hybridMultilevel"/>
    <w:tmpl w:val="880EF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B863EA7"/>
    <w:multiLevelType w:val="hybridMultilevel"/>
    <w:tmpl w:val="82F69430"/>
    <w:lvl w:ilvl="0" w:tplc="8110C6A4">
      <w:start w:val="1"/>
      <w:numFmt w:val="decimal"/>
      <w:pStyle w:val="List"/>
      <w:lvlText w:val="%1."/>
      <w:lvlJc w:val="left"/>
      <w:pPr>
        <w:ind w:left="582" w:hanging="360"/>
      </w:pPr>
    </w:lvl>
    <w:lvl w:ilvl="1" w:tplc="0C090019" w:tentative="1">
      <w:start w:val="1"/>
      <w:numFmt w:val="lowerLetter"/>
      <w:lvlText w:val="%2."/>
      <w:lvlJc w:val="left"/>
      <w:pPr>
        <w:ind w:left="1302" w:hanging="360"/>
      </w:pPr>
    </w:lvl>
    <w:lvl w:ilvl="2" w:tplc="0C09001B" w:tentative="1">
      <w:start w:val="1"/>
      <w:numFmt w:val="lowerRoman"/>
      <w:lvlText w:val="%3."/>
      <w:lvlJc w:val="right"/>
      <w:pPr>
        <w:ind w:left="2022" w:hanging="180"/>
      </w:pPr>
    </w:lvl>
    <w:lvl w:ilvl="3" w:tplc="0C09000F" w:tentative="1">
      <w:start w:val="1"/>
      <w:numFmt w:val="decimal"/>
      <w:lvlText w:val="%4."/>
      <w:lvlJc w:val="left"/>
      <w:pPr>
        <w:ind w:left="2742" w:hanging="360"/>
      </w:pPr>
    </w:lvl>
    <w:lvl w:ilvl="4" w:tplc="0C090019" w:tentative="1">
      <w:start w:val="1"/>
      <w:numFmt w:val="lowerLetter"/>
      <w:lvlText w:val="%5."/>
      <w:lvlJc w:val="left"/>
      <w:pPr>
        <w:ind w:left="3462" w:hanging="360"/>
      </w:pPr>
    </w:lvl>
    <w:lvl w:ilvl="5" w:tplc="0C09001B" w:tentative="1">
      <w:start w:val="1"/>
      <w:numFmt w:val="lowerRoman"/>
      <w:lvlText w:val="%6."/>
      <w:lvlJc w:val="right"/>
      <w:pPr>
        <w:ind w:left="4182" w:hanging="180"/>
      </w:pPr>
    </w:lvl>
    <w:lvl w:ilvl="6" w:tplc="0C09000F" w:tentative="1">
      <w:start w:val="1"/>
      <w:numFmt w:val="decimal"/>
      <w:lvlText w:val="%7."/>
      <w:lvlJc w:val="left"/>
      <w:pPr>
        <w:ind w:left="4902" w:hanging="360"/>
      </w:pPr>
    </w:lvl>
    <w:lvl w:ilvl="7" w:tplc="0C090019" w:tentative="1">
      <w:start w:val="1"/>
      <w:numFmt w:val="lowerLetter"/>
      <w:lvlText w:val="%8."/>
      <w:lvlJc w:val="left"/>
      <w:pPr>
        <w:ind w:left="5622" w:hanging="360"/>
      </w:pPr>
    </w:lvl>
    <w:lvl w:ilvl="8" w:tplc="0C09001B" w:tentative="1">
      <w:start w:val="1"/>
      <w:numFmt w:val="lowerRoman"/>
      <w:lvlText w:val="%9."/>
      <w:lvlJc w:val="right"/>
      <w:pPr>
        <w:ind w:left="6342" w:hanging="180"/>
      </w:pPr>
    </w:lvl>
  </w:abstractNum>
  <w:abstractNum w:abstractNumId="11" w15:restartNumberingAfterBreak="0">
    <w:nsid w:val="16851B50"/>
    <w:multiLevelType w:val="hybridMultilevel"/>
    <w:tmpl w:val="46AE10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122203"/>
    <w:multiLevelType w:val="hybridMultilevel"/>
    <w:tmpl w:val="F95ABF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85A7300"/>
    <w:multiLevelType w:val="hybridMultilevel"/>
    <w:tmpl w:val="330CB088"/>
    <w:lvl w:ilvl="0" w:tplc="B6FE9CFA">
      <w:start w:val="1"/>
      <w:numFmt w:val="bullet"/>
      <w:lvlText w:val=""/>
      <w:lvlJc w:val="left"/>
      <w:pPr>
        <w:ind w:left="360" w:hanging="360"/>
      </w:pPr>
      <w:rPr>
        <w:rFonts w:ascii="Symbol" w:hAnsi="Symbol" w:hint="default"/>
      </w:rPr>
    </w:lvl>
    <w:lvl w:ilvl="1" w:tplc="6A36F10E">
      <w:start w:val="1"/>
      <w:numFmt w:val="bullet"/>
      <w:lvlText w:val="­"/>
      <w:lvlJc w:val="left"/>
      <w:pPr>
        <w:ind w:left="1080" w:hanging="360"/>
      </w:pPr>
      <w:rPr>
        <w:rFonts w:ascii="Courier New" w:hAnsi="Courier New" w:hint="default"/>
      </w:rPr>
    </w:lvl>
    <w:lvl w:ilvl="2" w:tplc="CD0A79D0" w:tentative="1">
      <w:start w:val="1"/>
      <w:numFmt w:val="bullet"/>
      <w:lvlText w:val=""/>
      <w:lvlJc w:val="left"/>
      <w:pPr>
        <w:ind w:left="1800" w:hanging="360"/>
      </w:pPr>
      <w:rPr>
        <w:rFonts w:ascii="Wingdings" w:hAnsi="Wingdings" w:hint="default"/>
      </w:rPr>
    </w:lvl>
    <w:lvl w:ilvl="3" w:tplc="7CE8617C" w:tentative="1">
      <w:start w:val="1"/>
      <w:numFmt w:val="bullet"/>
      <w:lvlText w:val=""/>
      <w:lvlJc w:val="left"/>
      <w:pPr>
        <w:ind w:left="2520" w:hanging="360"/>
      </w:pPr>
      <w:rPr>
        <w:rFonts w:ascii="Symbol" w:hAnsi="Symbol" w:hint="default"/>
      </w:rPr>
    </w:lvl>
    <w:lvl w:ilvl="4" w:tplc="3D30BDAA" w:tentative="1">
      <w:start w:val="1"/>
      <w:numFmt w:val="bullet"/>
      <w:lvlText w:val="o"/>
      <w:lvlJc w:val="left"/>
      <w:pPr>
        <w:ind w:left="3240" w:hanging="360"/>
      </w:pPr>
      <w:rPr>
        <w:rFonts w:ascii="Courier New" w:hAnsi="Courier New" w:cs="Courier New" w:hint="default"/>
      </w:rPr>
    </w:lvl>
    <w:lvl w:ilvl="5" w:tplc="C75CBFC0" w:tentative="1">
      <w:start w:val="1"/>
      <w:numFmt w:val="bullet"/>
      <w:lvlText w:val=""/>
      <w:lvlJc w:val="left"/>
      <w:pPr>
        <w:ind w:left="3960" w:hanging="360"/>
      </w:pPr>
      <w:rPr>
        <w:rFonts w:ascii="Wingdings" w:hAnsi="Wingdings" w:hint="default"/>
      </w:rPr>
    </w:lvl>
    <w:lvl w:ilvl="6" w:tplc="A1D27BAE" w:tentative="1">
      <w:start w:val="1"/>
      <w:numFmt w:val="bullet"/>
      <w:lvlText w:val=""/>
      <w:lvlJc w:val="left"/>
      <w:pPr>
        <w:ind w:left="4680" w:hanging="360"/>
      </w:pPr>
      <w:rPr>
        <w:rFonts w:ascii="Symbol" w:hAnsi="Symbol" w:hint="default"/>
      </w:rPr>
    </w:lvl>
    <w:lvl w:ilvl="7" w:tplc="2E001A3A" w:tentative="1">
      <w:start w:val="1"/>
      <w:numFmt w:val="bullet"/>
      <w:lvlText w:val="o"/>
      <w:lvlJc w:val="left"/>
      <w:pPr>
        <w:ind w:left="5400" w:hanging="360"/>
      </w:pPr>
      <w:rPr>
        <w:rFonts w:ascii="Courier New" w:hAnsi="Courier New" w:cs="Courier New" w:hint="default"/>
      </w:rPr>
    </w:lvl>
    <w:lvl w:ilvl="8" w:tplc="78A82B54" w:tentative="1">
      <w:start w:val="1"/>
      <w:numFmt w:val="bullet"/>
      <w:lvlText w:val=""/>
      <w:lvlJc w:val="left"/>
      <w:pPr>
        <w:ind w:left="6120" w:hanging="360"/>
      </w:pPr>
      <w:rPr>
        <w:rFonts w:ascii="Wingdings" w:hAnsi="Wingdings" w:hint="default"/>
      </w:rPr>
    </w:lvl>
  </w:abstractNum>
  <w:abstractNum w:abstractNumId="14" w15:restartNumberingAfterBreak="0">
    <w:nsid w:val="194A4F45"/>
    <w:multiLevelType w:val="hybridMultilevel"/>
    <w:tmpl w:val="7F2C22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DBF4EDD"/>
    <w:multiLevelType w:val="hybridMultilevel"/>
    <w:tmpl w:val="71BA59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0B5E32"/>
    <w:multiLevelType w:val="hybridMultilevel"/>
    <w:tmpl w:val="FD76344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DF554ED"/>
    <w:multiLevelType w:val="hybridMultilevel"/>
    <w:tmpl w:val="7B0E365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F422D6E"/>
    <w:multiLevelType w:val="hybridMultilevel"/>
    <w:tmpl w:val="1BF61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43805E7"/>
    <w:multiLevelType w:val="hybridMultilevel"/>
    <w:tmpl w:val="12F809B8"/>
    <w:lvl w:ilvl="0" w:tplc="A9C46FBE">
      <w:start w:val="1"/>
      <w:numFmt w:val="bullet"/>
      <w:lvlText w:val=""/>
      <w:lvlJc w:val="left"/>
      <w:pPr>
        <w:ind w:left="-252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1080" w:hanging="360"/>
      </w:pPr>
      <w:rPr>
        <w:rFonts w:ascii="Wingdings" w:hAnsi="Wingdings" w:hint="default"/>
      </w:rPr>
    </w:lvl>
    <w:lvl w:ilvl="3" w:tplc="0C090001">
      <w:start w:val="1"/>
      <w:numFmt w:val="bullet"/>
      <w:lvlText w:val=""/>
      <w:lvlJc w:val="left"/>
      <w:pPr>
        <w:ind w:left="-360" w:hanging="360"/>
      </w:pPr>
      <w:rPr>
        <w:rFonts w:ascii="Symbol" w:hAnsi="Symbol" w:hint="default"/>
      </w:rPr>
    </w:lvl>
    <w:lvl w:ilvl="4" w:tplc="0C090003">
      <w:start w:val="1"/>
      <w:numFmt w:val="bullet"/>
      <w:lvlText w:val="o"/>
      <w:lvlJc w:val="left"/>
      <w:pPr>
        <w:ind w:left="360" w:hanging="360"/>
      </w:pPr>
      <w:rPr>
        <w:rFonts w:ascii="Courier New" w:hAnsi="Courier New" w:cs="Courier New" w:hint="default"/>
      </w:rPr>
    </w:lvl>
    <w:lvl w:ilvl="5" w:tplc="0C090005">
      <w:start w:val="1"/>
      <w:numFmt w:val="bullet"/>
      <w:lvlText w:val=""/>
      <w:lvlJc w:val="left"/>
      <w:pPr>
        <w:ind w:left="1080" w:hanging="360"/>
      </w:pPr>
      <w:rPr>
        <w:rFonts w:ascii="Wingdings" w:hAnsi="Wingdings" w:hint="default"/>
      </w:rPr>
    </w:lvl>
    <w:lvl w:ilvl="6" w:tplc="17160E46">
      <w:start w:val="1"/>
      <w:numFmt w:val="bullet"/>
      <w:lvlText w:val=""/>
      <w:lvlJc w:val="left"/>
      <w:pPr>
        <w:ind w:left="1800" w:hanging="360"/>
      </w:pPr>
      <w:rPr>
        <w:rFonts w:ascii="Symbol" w:hAnsi="Symbol" w:hint="default"/>
        <w:sz w:val="20"/>
        <w:szCs w:val="20"/>
      </w:rPr>
    </w:lvl>
    <w:lvl w:ilvl="7" w:tplc="0C090003" w:tentative="1">
      <w:start w:val="1"/>
      <w:numFmt w:val="bullet"/>
      <w:lvlText w:val="o"/>
      <w:lvlJc w:val="left"/>
      <w:pPr>
        <w:ind w:left="2520" w:hanging="360"/>
      </w:pPr>
      <w:rPr>
        <w:rFonts w:ascii="Courier New" w:hAnsi="Courier New" w:cs="Courier New" w:hint="default"/>
      </w:rPr>
    </w:lvl>
    <w:lvl w:ilvl="8" w:tplc="0C090005" w:tentative="1">
      <w:start w:val="1"/>
      <w:numFmt w:val="bullet"/>
      <w:lvlText w:val=""/>
      <w:lvlJc w:val="left"/>
      <w:pPr>
        <w:ind w:left="3240" w:hanging="360"/>
      </w:pPr>
      <w:rPr>
        <w:rFonts w:ascii="Wingdings" w:hAnsi="Wingdings" w:hint="default"/>
      </w:rPr>
    </w:lvl>
  </w:abstractNum>
  <w:abstractNum w:abstractNumId="20" w15:restartNumberingAfterBreak="0">
    <w:nsid w:val="39930AF6"/>
    <w:multiLevelType w:val="hybridMultilevel"/>
    <w:tmpl w:val="4D3457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 w15:restartNumberingAfterBreak="0">
    <w:nsid w:val="39A70092"/>
    <w:multiLevelType w:val="hybridMultilevel"/>
    <w:tmpl w:val="FCF62AD0"/>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3ED8218D"/>
    <w:multiLevelType w:val="hybridMultilevel"/>
    <w:tmpl w:val="93A00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19124BE"/>
    <w:multiLevelType w:val="hybridMultilevel"/>
    <w:tmpl w:val="A81A6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3279AE"/>
    <w:multiLevelType w:val="hybridMultilevel"/>
    <w:tmpl w:val="21924F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E11321"/>
    <w:multiLevelType w:val="hybridMultilevel"/>
    <w:tmpl w:val="F7F87EB2"/>
    <w:lvl w:ilvl="0" w:tplc="04685802">
      <w:start w:val="1"/>
      <w:numFmt w:val="bullet"/>
      <w:lvlText w:val=""/>
      <w:lvlJc w:val="left"/>
      <w:pPr>
        <w:ind w:left="360" w:hanging="360"/>
      </w:pPr>
      <w:rPr>
        <w:rFonts w:ascii="Symbol" w:hAnsi="Symbo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AB92F6D"/>
    <w:multiLevelType w:val="hybridMultilevel"/>
    <w:tmpl w:val="4E9AF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C6005F4"/>
    <w:multiLevelType w:val="hybridMultilevel"/>
    <w:tmpl w:val="CFBC00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4E60712"/>
    <w:multiLevelType w:val="multilevel"/>
    <w:tmpl w:val="FC62CBC2"/>
    <w:lvl w:ilvl="0">
      <w:start w:val="1"/>
      <w:numFmt w:val="bullet"/>
      <w:lvlText w:val=""/>
      <w:lvlJc w:val="left"/>
      <w:pPr>
        <w:ind w:left="369" w:hanging="369"/>
      </w:pPr>
      <w:rPr>
        <w:rFonts w:ascii="Symbol" w:hAnsi="Symbol" w:hint="default"/>
        <w:b w:val="0"/>
        <w:color w:val="auto"/>
        <w:sz w:val="22"/>
      </w:rPr>
    </w:lvl>
    <w:lvl w:ilvl="1">
      <w:start w:val="1"/>
      <w:numFmt w:val="bullet"/>
      <w:lvlText w:val="o"/>
      <w:lvlJc w:val="left"/>
      <w:pPr>
        <w:ind w:left="738" w:hanging="369"/>
      </w:pPr>
      <w:rPr>
        <w:rFonts w:ascii="Courier New" w:hAnsi="Courier New" w:cs="Courier New" w:hint="default"/>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lvl>
    <w:lvl w:ilvl="4">
      <w:start w:val="1"/>
      <w:numFmt w:val="none"/>
      <w:lvlText w:val=""/>
      <w:lvlJc w:val="left"/>
      <w:pPr>
        <w:ind w:left="1845" w:hanging="369"/>
      </w:pPr>
    </w:lvl>
    <w:lvl w:ilvl="5">
      <w:start w:val="1"/>
      <w:numFmt w:val="none"/>
      <w:lvlText w:val=""/>
      <w:lvlJc w:val="left"/>
      <w:pPr>
        <w:ind w:left="2214" w:hanging="369"/>
      </w:pPr>
    </w:lvl>
    <w:lvl w:ilvl="6">
      <w:start w:val="1"/>
      <w:numFmt w:val="none"/>
      <w:lvlText w:val=""/>
      <w:lvlJc w:val="left"/>
      <w:pPr>
        <w:ind w:left="2583" w:hanging="369"/>
      </w:pPr>
    </w:lvl>
    <w:lvl w:ilvl="7">
      <w:start w:val="1"/>
      <w:numFmt w:val="none"/>
      <w:lvlText w:val=""/>
      <w:lvlJc w:val="left"/>
      <w:pPr>
        <w:ind w:left="2952" w:hanging="369"/>
      </w:pPr>
    </w:lvl>
    <w:lvl w:ilvl="8">
      <w:start w:val="1"/>
      <w:numFmt w:val="none"/>
      <w:lvlText w:val=""/>
      <w:lvlJc w:val="left"/>
      <w:pPr>
        <w:ind w:left="3321" w:hanging="369"/>
      </w:pPr>
    </w:lvl>
  </w:abstractNum>
  <w:abstractNum w:abstractNumId="29" w15:restartNumberingAfterBreak="0">
    <w:nsid w:val="6984458A"/>
    <w:multiLevelType w:val="hybridMultilevel"/>
    <w:tmpl w:val="B97AF6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2F86CF8"/>
    <w:multiLevelType w:val="hybridMultilevel"/>
    <w:tmpl w:val="74E25B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5052231"/>
    <w:multiLevelType w:val="hybridMultilevel"/>
    <w:tmpl w:val="E7A2C918"/>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60B4ADB"/>
    <w:multiLevelType w:val="hybridMultilevel"/>
    <w:tmpl w:val="0712A8EA"/>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D1502F"/>
    <w:multiLevelType w:val="hybridMultilevel"/>
    <w:tmpl w:val="46127D42"/>
    <w:lvl w:ilvl="0" w:tplc="FD6CCD84">
      <w:start w:val="1"/>
      <w:numFmt w:val="bullet"/>
      <w:lvlText w:val=""/>
      <w:lvlJc w:val="left"/>
      <w:pPr>
        <w:ind w:left="360" w:hanging="360"/>
      </w:pPr>
      <w:rPr>
        <w:rFonts w:ascii="Symbol" w:hAnsi="Symbol" w:hint="default"/>
      </w:rPr>
    </w:lvl>
    <w:lvl w:ilvl="1" w:tplc="C7466E3C">
      <w:start w:val="1"/>
      <w:numFmt w:val="bullet"/>
      <w:lvlText w:val="o"/>
      <w:lvlJc w:val="left"/>
      <w:pPr>
        <w:ind w:left="1080" w:hanging="360"/>
      </w:pPr>
      <w:rPr>
        <w:rFonts w:ascii="Courier New" w:hAnsi="Courier New" w:cs="Courier New" w:hint="default"/>
      </w:rPr>
    </w:lvl>
    <w:lvl w:ilvl="2" w:tplc="5666067A" w:tentative="1">
      <w:start w:val="1"/>
      <w:numFmt w:val="bullet"/>
      <w:lvlText w:val=""/>
      <w:lvlJc w:val="left"/>
      <w:pPr>
        <w:ind w:left="1800" w:hanging="360"/>
      </w:pPr>
      <w:rPr>
        <w:rFonts w:ascii="Wingdings" w:hAnsi="Wingdings" w:hint="default"/>
      </w:rPr>
    </w:lvl>
    <w:lvl w:ilvl="3" w:tplc="CE7C27D2" w:tentative="1">
      <w:start w:val="1"/>
      <w:numFmt w:val="bullet"/>
      <w:lvlText w:val=""/>
      <w:lvlJc w:val="left"/>
      <w:pPr>
        <w:ind w:left="2520" w:hanging="360"/>
      </w:pPr>
      <w:rPr>
        <w:rFonts w:ascii="Symbol" w:hAnsi="Symbol" w:hint="default"/>
      </w:rPr>
    </w:lvl>
    <w:lvl w:ilvl="4" w:tplc="127215BA" w:tentative="1">
      <w:start w:val="1"/>
      <w:numFmt w:val="bullet"/>
      <w:lvlText w:val="o"/>
      <w:lvlJc w:val="left"/>
      <w:pPr>
        <w:ind w:left="3240" w:hanging="360"/>
      </w:pPr>
      <w:rPr>
        <w:rFonts w:ascii="Courier New" w:hAnsi="Courier New" w:cs="Courier New" w:hint="default"/>
      </w:rPr>
    </w:lvl>
    <w:lvl w:ilvl="5" w:tplc="BE4E5E68" w:tentative="1">
      <w:start w:val="1"/>
      <w:numFmt w:val="bullet"/>
      <w:lvlText w:val=""/>
      <w:lvlJc w:val="left"/>
      <w:pPr>
        <w:ind w:left="3960" w:hanging="360"/>
      </w:pPr>
      <w:rPr>
        <w:rFonts w:ascii="Wingdings" w:hAnsi="Wingdings" w:hint="default"/>
      </w:rPr>
    </w:lvl>
    <w:lvl w:ilvl="6" w:tplc="0EC63C8E" w:tentative="1">
      <w:start w:val="1"/>
      <w:numFmt w:val="bullet"/>
      <w:lvlText w:val=""/>
      <w:lvlJc w:val="left"/>
      <w:pPr>
        <w:ind w:left="4680" w:hanging="360"/>
      </w:pPr>
      <w:rPr>
        <w:rFonts w:ascii="Symbol" w:hAnsi="Symbol" w:hint="default"/>
      </w:rPr>
    </w:lvl>
    <w:lvl w:ilvl="7" w:tplc="80968A92" w:tentative="1">
      <w:start w:val="1"/>
      <w:numFmt w:val="bullet"/>
      <w:lvlText w:val="o"/>
      <w:lvlJc w:val="left"/>
      <w:pPr>
        <w:ind w:left="5400" w:hanging="360"/>
      </w:pPr>
      <w:rPr>
        <w:rFonts w:ascii="Courier New" w:hAnsi="Courier New" w:cs="Courier New" w:hint="default"/>
      </w:rPr>
    </w:lvl>
    <w:lvl w:ilvl="8" w:tplc="90F444B8" w:tentative="1">
      <w:start w:val="1"/>
      <w:numFmt w:val="bullet"/>
      <w:lvlText w:val=""/>
      <w:lvlJc w:val="left"/>
      <w:pPr>
        <w:ind w:left="6120" w:hanging="360"/>
      </w:pPr>
      <w:rPr>
        <w:rFonts w:ascii="Wingdings" w:hAnsi="Wingdings" w:hint="default"/>
      </w:rPr>
    </w:lvl>
  </w:abstractNum>
  <w:num w:numId="1">
    <w:abstractNumId w:val="7"/>
  </w:num>
  <w:num w:numId="2">
    <w:abstractNumId w:val="7"/>
  </w:num>
  <w:num w:numId="3">
    <w:abstractNumId w:val="7"/>
  </w:num>
  <w:num w:numId="4">
    <w:abstractNumId w:val="30"/>
  </w:num>
  <w:num w:numId="5">
    <w:abstractNumId w:val="12"/>
  </w:num>
  <w:num w:numId="6">
    <w:abstractNumId w:val="26"/>
  </w:num>
  <w:num w:numId="7">
    <w:abstractNumId w:val="17"/>
  </w:num>
  <w:num w:numId="8">
    <w:abstractNumId w:val="31"/>
  </w:num>
  <w:num w:numId="9">
    <w:abstractNumId w:val="32"/>
  </w:num>
  <w:num w:numId="10">
    <w:abstractNumId w:val="18"/>
  </w:num>
  <w:num w:numId="11">
    <w:abstractNumId w:val="9"/>
  </w:num>
  <w:num w:numId="12">
    <w:abstractNumId w:val="15"/>
  </w:num>
  <w:num w:numId="13">
    <w:abstractNumId w:val="16"/>
  </w:num>
  <w:num w:numId="14">
    <w:abstractNumId w:val="14"/>
  </w:num>
  <w:num w:numId="15">
    <w:abstractNumId w:val="5"/>
  </w:num>
  <w:num w:numId="16">
    <w:abstractNumId w:val="3"/>
  </w:num>
  <w:num w:numId="17">
    <w:abstractNumId w:val="2"/>
  </w:num>
  <w:num w:numId="18">
    <w:abstractNumId w:val="1"/>
  </w:num>
  <w:num w:numId="19">
    <w:abstractNumId w:val="0"/>
  </w:num>
  <w:num w:numId="20">
    <w:abstractNumId w:val="10"/>
  </w:num>
  <w:num w:numId="21">
    <w:abstractNumId w:val="33"/>
  </w:num>
  <w:num w:numId="22">
    <w:abstractNumId w:val="5"/>
  </w:num>
  <w:num w:numId="23">
    <w:abstractNumId w:val="24"/>
  </w:num>
  <w:num w:numId="24">
    <w:abstractNumId w:val="23"/>
  </w:num>
  <w:num w:numId="25">
    <w:abstractNumId w:val="29"/>
  </w:num>
  <w:num w:numId="26">
    <w:abstractNumId w:val="22"/>
  </w:num>
  <w:num w:numId="27">
    <w:abstractNumId w:val="6"/>
  </w:num>
  <w:num w:numId="28">
    <w:abstractNumId w:val="19"/>
  </w:num>
  <w:num w:numId="29">
    <w:abstractNumId w:val="27"/>
  </w:num>
  <w:num w:numId="30">
    <w:abstractNumId w:val="8"/>
  </w:num>
  <w:num w:numId="31">
    <w:abstractNumId w:val="11"/>
  </w:num>
  <w:num w:numId="32">
    <w:abstractNumId w:val="21"/>
  </w:num>
  <w:num w:numId="33">
    <w:abstractNumId w:val="4"/>
  </w:num>
  <w:num w:numId="34">
    <w:abstractNumId w:val="20"/>
  </w:num>
  <w:num w:numId="35">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674"/>
    <w:rsid w:val="000009F5"/>
    <w:rsid w:val="0000370A"/>
    <w:rsid w:val="0001269F"/>
    <w:rsid w:val="00015D09"/>
    <w:rsid w:val="000160CE"/>
    <w:rsid w:val="00026B24"/>
    <w:rsid w:val="00027122"/>
    <w:rsid w:val="00030EE3"/>
    <w:rsid w:val="00033EB9"/>
    <w:rsid w:val="00040A9D"/>
    <w:rsid w:val="00041E34"/>
    <w:rsid w:val="00041EE8"/>
    <w:rsid w:val="0004335F"/>
    <w:rsid w:val="00043F42"/>
    <w:rsid w:val="000516FF"/>
    <w:rsid w:val="00052267"/>
    <w:rsid w:val="000530BD"/>
    <w:rsid w:val="00053F9B"/>
    <w:rsid w:val="000555BC"/>
    <w:rsid w:val="00055E0D"/>
    <w:rsid w:val="00055E2C"/>
    <w:rsid w:val="00056031"/>
    <w:rsid w:val="00057EFC"/>
    <w:rsid w:val="00066EDE"/>
    <w:rsid w:val="00067FFB"/>
    <w:rsid w:val="00073813"/>
    <w:rsid w:val="000756AF"/>
    <w:rsid w:val="00080A5C"/>
    <w:rsid w:val="00090BCA"/>
    <w:rsid w:val="00091851"/>
    <w:rsid w:val="00091D24"/>
    <w:rsid w:val="0009219F"/>
    <w:rsid w:val="000978ED"/>
    <w:rsid w:val="000A464D"/>
    <w:rsid w:val="000A580A"/>
    <w:rsid w:val="000A79A0"/>
    <w:rsid w:val="000B5935"/>
    <w:rsid w:val="000B6602"/>
    <w:rsid w:val="000C6B21"/>
    <w:rsid w:val="000D618E"/>
    <w:rsid w:val="000D7455"/>
    <w:rsid w:val="000E1597"/>
    <w:rsid w:val="000E230A"/>
    <w:rsid w:val="000E261B"/>
    <w:rsid w:val="000E6435"/>
    <w:rsid w:val="000E66CC"/>
    <w:rsid w:val="000E69DE"/>
    <w:rsid w:val="000F368D"/>
    <w:rsid w:val="000F5C8D"/>
    <w:rsid w:val="000F6B3E"/>
    <w:rsid w:val="000F7433"/>
    <w:rsid w:val="00102199"/>
    <w:rsid w:val="00104E54"/>
    <w:rsid w:val="00111C26"/>
    <w:rsid w:val="00111EE1"/>
    <w:rsid w:val="001161F8"/>
    <w:rsid w:val="00121719"/>
    <w:rsid w:val="00122F5C"/>
    <w:rsid w:val="001252D5"/>
    <w:rsid w:val="001319B0"/>
    <w:rsid w:val="001327DF"/>
    <w:rsid w:val="00133B8D"/>
    <w:rsid w:val="00134E51"/>
    <w:rsid w:val="00135E05"/>
    <w:rsid w:val="001370B6"/>
    <w:rsid w:val="00140714"/>
    <w:rsid w:val="00144B84"/>
    <w:rsid w:val="00145942"/>
    <w:rsid w:val="0014688A"/>
    <w:rsid w:val="0015162D"/>
    <w:rsid w:val="00151634"/>
    <w:rsid w:val="00161655"/>
    <w:rsid w:val="0016238B"/>
    <w:rsid w:val="00162A70"/>
    <w:rsid w:val="00170452"/>
    <w:rsid w:val="001733CE"/>
    <w:rsid w:val="00177DFD"/>
    <w:rsid w:val="00180F6F"/>
    <w:rsid w:val="001820E1"/>
    <w:rsid w:val="00183CD5"/>
    <w:rsid w:val="00184A75"/>
    <w:rsid w:val="0018633C"/>
    <w:rsid w:val="001A3080"/>
    <w:rsid w:val="001A61BD"/>
    <w:rsid w:val="001A66BC"/>
    <w:rsid w:val="001A75FF"/>
    <w:rsid w:val="001B0377"/>
    <w:rsid w:val="001C2D69"/>
    <w:rsid w:val="001C352F"/>
    <w:rsid w:val="001C40AA"/>
    <w:rsid w:val="001C5775"/>
    <w:rsid w:val="001C65E1"/>
    <w:rsid w:val="001C6880"/>
    <w:rsid w:val="001C6F1F"/>
    <w:rsid w:val="001D4C27"/>
    <w:rsid w:val="001E436D"/>
    <w:rsid w:val="001E48DF"/>
    <w:rsid w:val="001F157F"/>
    <w:rsid w:val="001F30E0"/>
    <w:rsid w:val="001F419D"/>
    <w:rsid w:val="001F6C15"/>
    <w:rsid w:val="00207104"/>
    <w:rsid w:val="00207878"/>
    <w:rsid w:val="0021099D"/>
    <w:rsid w:val="002122AB"/>
    <w:rsid w:val="00214046"/>
    <w:rsid w:val="00216E03"/>
    <w:rsid w:val="002278D0"/>
    <w:rsid w:val="00230AF9"/>
    <w:rsid w:val="002329B2"/>
    <w:rsid w:val="00235137"/>
    <w:rsid w:val="00236B4A"/>
    <w:rsid w:val="002404FF"/>
    <w:rsid w:val="00241F81"/>
    <w:rsid w:val="00242967"/>
    <w:rsid w:val="002507EC"/>
    <w:rsid w:val="0025349E"/>
    <w:rsid w:val="00253676"/>
    <w:rsid w:val="00255CC0"/>
    <w:rsid w:val="00260621"/>
    <w:rsid w:val="00261578"/>
    <w:rsid w:val="00261926"/>
    <w:rsid w:val="00264641"/>
    <w:rsid w:val="002727BA"/>
    <w:rsid w:val="002764CD"/>
    <w:rsid w:val="00277325"/>
    <w:rsid w:val="00280CB5"/>
    <w:rsid w:val="002814F0"/>
    <w:rsid w:val="00282E5E"/>
    <w:rsid w:val="00293419"/>
    <w:rsid w:val="00297ECD"/>
    <w:rsid w:val="002A0A25"/>
    <w:rsid w:val="002A0C5D"/>
    <w:rsid w:val="002A49AB"/>
    <w:rsid w:val="002A52D9"/>
    <w:rsid w:val="002A6623"/>
    <w:rsid w:val="002A6A93"/>
    <w:rsid w:val="002A6AAB"/>
    <w:rsid w:val="002A7214"/>
    <w:rsid w:val="002B15D7"/>
    <w:rsid w:val="002B1C74"/>
    <w:rsid w:val="002B3C7E"/>
    <w:rsid w:val="002B42C6"/>
    <w:rsid w:val="002B55DE"/>
    <w:rsid w:val="002B727D"/>
    <w:rsid w:val="002C0DE3"/>
    <w:rsid w:val="002C18F2"/>
    <w:rsid w:val="002C68C0"/>
    <w:rsid w:val="002C6E40"/>
    <w:rsid w:val="002E1EFC"/>
    <w:rsid w:val="002E2F1D"/>
    <w:rsid w:val="002F3D7E"/>
    <w:rsid w:val="00302366"/>
    <w:rsid w:val="00313574"/>
    <w:rsid w:val="003162EC"/>
    <w:rsid w:val="00316A01"/>
    <w:rsid w:val="00321543"/>
    <w:rsid w:val="003235AA"/>
    <w:rsid w:val="0032594B"/>
    <w:rsid w:val="003318D9"/>
    <w:rsid w:val="00334D6A"/>
    <w:rsid w:val="003351E0"/>
    <w:rsid w:val="00336C92"/>
    <w:rsid w:val="00340CF4"/>
    <w:rsid w:val="00350FB6"/>
    <w:rsid w:val="00357C30"/>
    <w:rsid w:val="00361A40"/>
    <w:rsid w:val="00367B5D"/>
    <w:rsid w:val="003717AE"/>
    <w:rsid w:val="00381EDD"/>
    <w:rsid w:val="00383587"/>
    <w:rsid w:val="00384821"/>
    <w:rsid w:val="00385630"/>
    <w:rsid w:val="00385F19"/>
    <w:rsid w:val="00386BA4"/>
    <w:rsid w:val="003A4BEB"/>
    <w:rsid w:val="003A7823"/>
    <w:rsid w:val="003B018E"/>
    <w:rsid w:val="003B126F"/>
    <w:rsid w:val="003B5BE1"/>
    <w:rsid w:val="003D071A"/>
    <w:rsid w:val="003D180D"/>
    <w:rsid w:val="003D3709"/>
    <w:rsid w:val="003D6A98"/>
    <w:rsid w:val="003E2737"/>
    <w:rsid w:val="003E3C51"/>
    <w:rsid w:val="003E3E62"/>
    <w:rsid w:val="003F08E2"/>
    <w:rsid w:val="003F33B7"/>
    <w:rsid w:val="003F39B8"/>
    <w:rsid w:val="003F664B"/>
    <w:rsid w:val="003F7384"/>
    <w:rsid w:val="00400E5D"/>
    <w:rsid w:val="00402F8E"/>
    <w:rsid w:val="00403539"/>
    <w:rsid w:val="0040475A"/>
    <w:rsid w:val="004068B9"/>
    <w:rsid w:val="00413D9E"/>
    <w:rsid w:val="00414074"/>
    <w:rsid w:val="0041515C"/>
    <w:rsid w:val="00417503"/>
    <w:rsid w:val="00427F84"/>
    <w:rsid w:val="004316CE"/>
    <w:rsid w:val="004359BE"/>
    <w:rsid w:val="004445F9"/>
    <w:rsid w:val="00444925"/>
    <w:rsid w:val="004518DC"/>
    <w:rsid w:val="00454405"/>
    <w:rsid w:val="0045704D"/>
    <w:rsid w:val="00460673"/>
    <w:rsid w:val="00462922"/>
    <w:rsid w:val="00466D34"/>
    <w:rsid w:val="00474D51"/>
    <w:rsid w:val="00475BA2"/>
    <w:rsid w:val="00487956"/>
    <w:rsid w:val="00492D90"/>
    <w:rsid w:val="00494BC0"/>
    <w:rsid w:val="00494BC4"/>
    <w:rsid w:val="00494E56"/>
    <w:rsid w:val="004953EC"/>
    <w:rsid w:val="0049618E"/>
    <w:rsid w:val="004A0896"/>
    <w:rsid w:val="004A1151"/>
    <w:rsid w:val="004A4C06"/>
    <w:rsid w:val="004A7856"/>
    <w:rsid w:val="004B0D3B"/>
    <w:rsid w:val="004B2370"/>
    <w:rsid w:val="004B5B8B"/>
    <w:rsid w:val="004B758C"/>
    <w:rsid w:val="004B7AD2"/>
    <w:rsid w:val="004C24F4"/>
    <w:rsid w:val="004C2534"/>
    <w:rsid w:val="004C5A41"/>
    <w:rsid w:val="004C68FB"/>
    <w:rsid w:val="004C69CA"/>
    <w:rsid w:val="004D18AE"/>
    <w:rsid w:val="004D2D2B"/>
    <w:rsid w:val="004D3DFD"/>
    <w:rsid w:val="004D4665"/>
    <w:rsid w:val="004D72CD"/>
    <w:rsid w:val="004E53C6"/>
    <w:rsid w:val="004E5F39"/>
    <w:rsid w:val="004E6814"/>
    <w:rsid w:val="004F0632"/>
    <w:rsid w:val="004F15D7"/>
    <w:rsid w:val="004F77BC"/>
    <w:rsid w:val="005046D6"/>
    <w:rsid w:val="00507473"/>
    <w:rsid w:val="00510A02"/>
    <w:rsid w:val="005171CC"/>
    <w:rsid w:val="00517B7F"/>
    <w:rsid w:val="00521ED8"/>
    <w:rsid w:val="0052726B"/>
    <w:rsid w:val="00527D95"/>
    <w:rsid w:val="00531BAC"/>
    <w:rsid w:val="0053403E"/>
    <w:rsid w:val="0053435E"/>
    <w:rsid w:val="00540A7C"/>
    <w:rsid w:val="005413AB"/>
    <w:rsid w:val="0054266E"/>
    <w:rsid w:val="00546F88"/>
    <w:rsid w:val="00547511"/>
    <w:rsid w:val="005523D7"/>
    <w:rsid w:val="00552614"/>
    <w:rsid w:val="00560CE7"/>
    <w:rsid w:val="00560F89"/>
    <w:rsid w:val="00561A12"/>
    <w:rsid w:val="00566840"/>
    <w:rsid w:val="00567C66"/>
    <w:rsid w:val="00570A0D"/>
    <w:rsid w:val="0057227E"/>
    <w:rsid w:val="00572EAA"/>
    <w:rsid w:val="00574E9E"/>
    <w:rsid w:val="00575A9F"/>
    <w:rsid w:val="00576477"/>
    <w:rsid w:val="00577224"/>
    <w:rsid w:val="0058149A"/>
    <w:rsid w:val="0058164C"/>
    <w:rsid w:val="005824A8"/>
    <w:rsid w:val="0058264F"/>
    <w:rsid w:val="00584277"/>
    <w:rsid w:val="00586AF1"/>
    <w:rsid w:val="00586C8B"/>
    <w:rsid w:val="00586DB0"/>
    <w:rsid w:val="00591E4A"/>
    <w:rsid w:val="00592253"/>
    <w:rsid w:val="00596064"/>
    <w:rsid w:val="00596CB3"/>
    <w:rsid w:val="00596F2A"/>
    <w:rsid w:val="005B0372"/>
    <w:rsid w:val="005B2035"/>
    <w:rsid w:val="005B54BD"/>
    <w:rsid w:val="005B550A"/>
    <w:rsid w:val="005C1F52"/>
    <w:rsid w:val="005D032A"/>
    <w:rsid w:val="005D2769"/>
    <w:rsid w:val="005E03D1"/>
    <w:rsid w:val="005E473C"/>
    <w:rsid w:val="005E6FFD"/>
    <w:rsid w:val="005F20D3"/>
    <w:rsid w:val="005F2CB3"/>
    <w:rsid w:val="005F454E"/>
    <w:rsid w:val="005F5850"/>
    <w:rsid w:val="0060150D"/>
    <w:rsid w:val="0060499F"/>
    <w:rsid w:val="00607239"/>
    <w:rsid w:val="006113DB"/>
    <w:rsid w:val="006119B1"/>
    <w:rsid w:val="00613EF3"/>
    <w:rsid w:val="00624B0A"/>
    <w:rsid w:val="00625CEC"/>
    <w:rsid w:val="00632207"/>
    <w:rsid w:val="00632DA9"/>
    <w:rsid w:val="006346B1"/>
    <w:rsid w:val="00634B63"/>
    <w:rsid w:val="006369B3"/>
    <w:rsid w:val="00641459"/>
    <w:rsid w:val="00653DC3"/>
    <w:rsid w:val="00654419"/>
    <w:rsid w:val="006639BE"/>
    <w:rsid w:val="00663CCC"/>
    <w:rsid w:val="00665F4E"/>
    <w:rsid w:val="006713CE"/>
    <w:rsid w:val="00674600"/>
    <w:rsid w:val="00676D2A"/>
    <w:rsid w:val="006773BC"/>
    <w:rsid w:val="006840B6"/>
    <w:rsid w:val="00684378"/>
    <w:rsid w:val="006852B9"/>
    <w:rsid w:val="006951F5"/>
    <w:rsid w:val="006954EE"/>
    <w:rsid w:val="006A1E1B"/>
    <w:rsid w:val="006A77B3"/>
    <w:rsid w:val="006B0F97"/>
    <w:rsid w:val="006B3C5E"/>
    <w:rsid w:val="006B490E"/>
    <w:rsid w:val="006C0D34"/>
    <w:rsid w:val="006C1451"/>
    <w:rsid w:val="006D5B0A"/>
    <w:rsid w:val="006E20B9"/>
    <w:rsid w:val="006E237C"/>
    <w:rsid w:val="006F0A1E"/>
    <w:rsid w:val="006F14E8"/>
    <w:rsid w:val="006F5943"/>
    <w:rsid w:val="006F67CD"/>
    <w:rsid w:val="006F752E"/>
    <w:rsid w:val="00702710"/>
    <w:rsid w:val="00702C0D"/>
    <w:rsid w:val="00710C9D"/>
    <w:rsid w:val="00711338"/>
    <w:rsid w:val="00711858"/>
    <w:rsid w:val="00721212"/>
    <w:rsid w:val="0072476B"/>
    <w:rsid w:val="00727394"/>
    <w:rsid w:val="00727794"/>
    <w:rsid w:val="007347A4"/>
    <w:rsid w:val="00736268"/>
    <w:rsid w:val="007365E8"/>
    <w:rsid w:val="00736D8E"/>
    <w:rsid w:val="00737E86"/>
    <w:rsid w:val="007415AB"/>
    <w:rsid w:val="00742B8B"/>
    <w:rsid w:val="00745FBC"/>
    <w:rsid w:val="00747F8A"/>
    <w:rsid w:val="00757C57"/>
    <w:rsid w:val="00762DD1"/>
    <w:rsid w:val="007650EB"/>
    <w:rsid w:val="00771201"/>
    <w:rsid w:val="00771CBA"/>
    <w:rsid w:val="00774313"/>
    <w:rsid w:val="007761E4"/>
    <w:rsid w:val="00777FA9"/>
    <w:rsid w:val="0078172A"/>
    <w:rsid w:val="00790840"/>
    <w:rsid w:val="00792BF1"/>
    <w:rsid w:val="00792D6A"/>
    <w:rsid w:val="007A265F"/>
    <w:rsid w:val="007A39FD"/>
    <w:rsid w:val="007A3ED7"/>
    <w:rsid w:val="007A4F8F"/>
    <w:rsid w:val="007A5760"/>
    <w:rsid w:val="007A61C4"/>
    <w:rsid w:val="007A6D45"/>
    <w:rsid w:val="007B0674"/>
    <w:rsid w:val="007B3AEA"/>
    <w:rsid w:val="007B45B7"/>
    <w:rsid w:val="007C2F96"/>
    <w:rsid w:val="007C3D1A"/>
    <w:rsid w:val="007D132B"/>
    <w:rsid w:val="007D43E8"/>
    <w:rsid w:val="007D4B5A"/>
    <w:rsid w:val="007D6E49"/>
    <w:rsid w:val="007E37B2"/>
    <w:rsid w:val="007E487F"/>
    <w:rsid w:val="007E690D"/>
    <w:rsid w:val="007E7F67"/>
    <w:rsid w:val="007F02E6"/>
    <w:rsid w:val="007F2D15"/>
    <w:rsid w:val="00800496"/>
    <w:rsid w:val="00801177"/>
    <w:rsid w:val="00805E94"/>
    <w:rsid w:val="00806B22"/>
    <w:rsid w:val="00807218"/>
    <w:rsid w:val="00812D53"/>
    <w:rsid w:val="008131C1"/>
    <w:rsid w:val="0081450A"/>
    <w:rsid w:val="0081496E"/>
    <w:rsid w:val="00816E70"/>
    <w:rsid w:val="00822411"/>
    <w:rsid w:val="00823F63"/>
    <w:rsid w:val="008265E9"/>
    <w:rsid w:val="00830EAA"/>
    <w:rsid w:val="00831B5F"/>
    <w:rsid w:val="008329F9"/>
    <w:rsid w:val="00833813"/>
    <w:rsid w:val="0083538B"/>
    <w:rsid w:val="00836C7C"/>
    <w:rsid w:val="00837472"/>
    <w:rsid w:val="00841486"/>
    <w:rsid w:val="00850141"/>
    <w:rsid w:val="008504F8"/>
    <w:rsid w:val="00860C6C"/>
    <w:rsid w:val="00861BD6"/>
    <w:rsid w:val="00863A0E"/>
    <w:rsid w:val="008809EA"/>
    <w:rsid w:val="00882516"/>
    <w:rsid w:val="00883A60"/>
    <w:rsid w:val="008978D2"/>
    <w:rsid w:val="008A57C1"/>
    <w:rsid w:val="008A6CCB"/>
    <w:rsid w:val="008A6E04"/>
    <w:rsid w:val="008B081E"/>
    <w:rsid w:val="008B1FC2"/>
    <w:rsid w:val="008B5ED9"/>
    <w:rsid w:val="008C1BA7"/>
    <w:rsid w:val="008C2A83"/>
    <w:rsid w:val="008C3B90"/>
    <w:rsid w:val="008C5999"/>
    <w:rsid w:val="008C70D6"/>
    <w:rsid w:val="008C7919"/>
    <w:rsid w:val="008D0A82"/>
    <w:rsid w:val="008D186D"/>
    <w:rsid w:val="008D1B5B"/>
    <w:rsid w:val="008D3129"/>
    <w:rsid w:val="008D32B4"/>
    <w:rsid w:val="008D7B93"/>
    <w:rsid w:val="008E3AFF"/>
    <w:rsid w:val="008E4E2E"/>
    <w:rsid w:val="008E7841"/>
    <w:rsid w:val="008F0149"/>
    <w:rsid w:val="008F476D"/>
    <w:rsid w:val="00904971"/>
    <w:rsid w:val="00904AD2"/>
    <w:rsid w:val="00906AF3"/>
    <w:rsid w:val="0091189A"/>
    <w:rsid w:val="0091319C"/>
    <w:rsid w:val="00920CAD"/>
    <w:rsid w:val="00920FF9"/>
    <w:rsid w:val="00921B35"/>
    <w:rsid w:val="00924BFF"/>
    <w:rsid w:val="00925377"/>
    <w:rsid w:val="00925F88"/>
    <w:rsid w:val="00926844"/>
    <w:rsid w:val="00926DBE"/>
    <w:rsid w:val="009317BF"/>
    <w:rsid w:val="009330D2"/>
    <w:rsid w:val="00935B01"/>
    <w:rsid w:val="00941E56"/>
    <w:rsid w:val="00941F7A"/>
    <w:rsid w:val="00944C68"/>
    <w:rsid w:val="009454B0"/>
    <w:rsid w:val="00945980"/>
    <w:rsid w:val="00947658"/>
    <w:rsid w:val="00952EE9"/>
    <w:rsid w:val="0096014C"/>
    <w:rsid w:val="00962871"/>
    <w:rsid w:val="00971C1F"/>
    <w:rsid w:val="0098489C"/>
    <w:rsid w:val="0098508C"/>
    <w:rsid w:val="00985FB5"/>
    <w:rsid w:val="00987504"/>
    <w:rsid w:val="009903D4"/>
    <w:rsid w:val="0099457E"/>
    <w:rsid w:val="009A33AD"/>
    <w:rsid w:val="009B5A43"/>
    <w:rsid w:val="009B6E87"/>
    <w:rsid w:val="009B785D"/>
    <w:rsid w:val="009C228D"/>
    <w:rsid w:val="009C57A6"/>
    <w:rsid w:val="009D4098"/>
    <w:rsid w:val="009D4848"/>
    <w:rsid w:val="009D6657"/>
    <w:rsid w:val="009D7652"/>
    <w:rsid w:val="009D7762"/>
    <w:rsid w:val="009D7769"/>
    <w:rsid w:val="009E06E2"/>
    <w:rsid w:val="009E156F"/>
    <w:rsid w:val="009E6844"/>
    <w:rsid w:val="009F196F"/>
    <w:rsid w:val="009F1D6F"/>
    <w:rsid w:val="009F769F"/>
    <w:rsid w:val="00A000D5"/>
    <w:rsid w:val="00A01017"/>
    <w:rsid w:val="00A02090"/>
    <w:rsid w:val="00A034D4"/>
    <w:rsid w:val="00A11B6B"/>
    <w:rsid w:val="00A121C2"/>
    <w:rsid w:val="00A13B7C"/>
    <w:rsid w:val="00A15647"/>
    <w:rsid w:val="00A216DF"/>
    <w:rsid w:val="00A24C51"/>
    <w:rsid w:val="00A24DDD"/>
    <w:rsid w:val="00A264F2"/>
    <w:rsid w:val="00A34D00"/>
    <w:rsid w:val="00A40F47"/>
    <w:rsid w:val="00A431C3"/>
    <w:rsid w:val="00A44976"/>
    <w:rsid w:val="00A459C0"/>
    <w:rsid w:val="00A45F6A"/>
    <w:rsid w:val="00A477B8"/>
    <w:rsid w:val="00A537F2"/>
    <w:rsid w:val="00A609FB"/>
    <w:rsid w:val="00A61087"/>
    <w:rsid w:val="00A71016"/>
    <w:rsid w:val="00A71783"/>
    <w:rsid w:val="00A71D50"/>
    <w:rsid w:val="00A74970"/>
    <w:rsid w:val="00A75EDC"/>
    <w:rsid w:val="00A77F87"/>
    <w:rsid w:val="00A81F5A"/>
    <w:rsid w:val="00A834D4"/>
    <w:rsid w:val="00A837A3"/>
    <w:rsid w:val="00A9154A"/>
    <w:rsid w:val="00A91902"/>
    <w:rsid w:val="00A96538"/>
    <w:rsid w:val="00AA17B3"/>
    <w:rsid w:val="00AA2A4F"/>
    <w:rsid w:val="00AA7821"/>
    <w:rsid w:val="00AB28CA"/>
    <w:rsid w:val="00AB412F"/>
    <w:rsid w:val="00AB5136"/>
    <w:rsid w:val="00AB52BD"/>
    <w:rsid w:val="00AB544E"/>
    <w:rsid w:val="00AB5E04"/>
    <w:rsid w:val="00AB77DE"/>
    <w:rsid w:val="00AB7844"/>
    <w:rsid w:val="00AC0BE8"/>
    <w:rsid w:val="00AC1CA8"/>
    <w:rsid w:val="00AC1DE2"/>
    <w:rsid w:val="00AC65FF"/>
    <w:rsid w:val="00AC6FC6"/>
    <w:rsid w:val="00AD2769"/>
    <w:rsid w:val="00AD727D"/>
    <w:rsid w:val="00AD79D7"/>
    <w:rsid w:val="00AE194A"/>
    <w:rsid w:val="00AE601F"/>
    <w:rsid w:val="00AE613C"/>
    <w:rsid w:val="00AE651C"/>
    <w:rsid w:val="00AF17B2"/>
    <w:rsid w:val="00AF5329"/>
    <w:rsid w:val="00AF770D"/>
    <w:rsid w:val="00B00251"/>
    <w:rsid w:val="00B0214A"/>
    <w:rsid w:val="00B0214E"/>
    <w:rsid w:val="00B07D20"/>
    <w:rsid w:val="00B12065"/>
    <w:rsid w:val="00B16DA1"/>
    <w:rsid w:val="00B2072F"/>
    <w:rsid w:val="00B22765"/>
    <w:rsid w:val="00B236E6"/>
    <w:rsid w:val="00B23ACB"/>
    <w:rsid w:val="00B27679"/>
    <w:rsid w:val="00B31F7C"/>
    <w:rsid w:val="00B32DCB"/>
    <w:rsid w:val="00B32F8F"/>
    <w:rsid w:val="00B40AAA"/>
    <w:rsid w:val="00B41551"/>
    <w:rsid w:val="00B43E38"/>
    <w:rsid w:val="00B44ADC"/>
    <w:rsid w:val="00B45BC4"/>
    <w:rsid w:val="00B47915"/>
    <w:rsid w:val="00B5191D"/>
    <w:rsid w:val="00B520EB"/>
    <w:rsid w:val="00B55204"/>
    <w:rsid w:val="00B5711D"/>
    <w:rsid w:val="00B71C5B"/>
    <w:rsid w:val="00B73AEC"/>
    <w:rsid w:val="00B7425E"/>
    <w:rsid w:val="00B75F2E"/>
    <w:rsid w:val="00B76588"/>
    <w:rsid w:val="00B77A61"/>
    <w:rsid w:val="00B81578"/>
    <w:rsid w:val="00B81C0A"/>
    <w:rsid w:val="00B85242"/>
    <w:rsid w:val="00B93583"/>
    <w:rsid w:val="00B940DC"/>
    <w:rsid w:val="00B94CA4"/>
    <w:rsid w:val="00BA4452"/>
    <w:rsid w:val="00BA524D"/>
    <w:rsid w:val="00BA709A"/>
    <w:rsid w:val="00BB1C57"/>
    <w:rsid w:val="00BB347F"/>
    <w:rsid w:val="00BB611E"/>
    <w:rsid w:val="00BC0763"/>
    <w:rsid w:val="00BD278B"/>
    <w:rsid w:val="00BD2A7C"/>
    <w:rsid w:val="00BD52D3"/>
    <w:rsid w:val="00BD5D53"/>
    <w:rsid w:val="00BD6A87"/>
    <w:rsid w:val="00BD7A58"/>
    <w:rsid w:val="00BE148E"/>
    <w:rsid w:val="00BE24C1"/>
    <w:rsid w:val="00BE2E7D"/>
    <w:rsid w:val="00BE3EA8"/>
    <w:rsid w:val="00BE4861"/>
    <w:rsid w:val="00BE5988"/>
    <w:rsid w:val="00BE6B41"/>
    <w:rsid w:val="00BE6CE5"/>
    <w:rsid w:val="00BF039C"/>
    <w:rsid w:val="00BF3E22"/>
    <w:rsid w:val="00BF612D"/>
    <w:rsid w:val="00BF7699"/>
    <w:rsid w:val="00BF7B8F"/>
    <w:rsid w:val="00C02C5E"/>
    <w:rsid w:val="00C05D2D"/>
    <w:rsid w:val="00C11C92"/>
    <w:rsid w:val="00C12765"/>
    <w:rsid w:val="00C13F8E"/>
    <w:rsid w:val="00C14682"/>
    <w:rsid w:val="00C148AC"/>
    <w:rsid w:val="00C155B8"/>
    <w:rsid w:val="00C155C2"/>
    <w:rsid w:val="00C167F5"/>
    <w:rsid w:val="00C17FF1"/>
    <w:rsid w:val="00C2247D"/>
    <w:rsid w:val="00C2279F"/>
    <w:rsid w:val="00C234C7"/>
    <w:rsid w:val="00C240E7"/>
    <w:rsid w:val="00C27899"/>
    <w:rsid w:val="00C36401"/>
    <w:rsid w:val="00C36B5B"/>
    <w:rsid w:val="00C377C9"/>
    <w:rsid w:val="00C37A8C"/>
    <w:rsid w:val="00C41799"/>
    <w:rsid w:val="00C45552"/>
    <w:rsid w:val="00C45C4F"/>
    <w:rsid w:val="00C46826"/>
    <w:rsid w:val="00C557AE"/>
    <w:rsid w:val="00C56A9D"/>
    <w:rsid w:val="00C60C8B"/>
    <w:rsid w:val="00C65DB2"/>
    <w:rsid w:val="00C66319"/>
    <w:rsid w:val="00C668DE"/>
    <w:rsid w:val="00C706A6"/>
    <w:rsid w:val="00C714BE"/>
    <w:rsid w:val="00C73D53"/>
    <w:rsid w:val="00C74FD3"/>
    <w:rsid w:val="00C800B3"/>
    <w:rsid w:val="00C80E7C"/>
    <w:rsid w:val="00C80FBB"/>
    <w:rsid w:val="00C84980"/>
    <w:rsid w:val="00C8781A"/>
    <w:rsid w:val="00C91767"/>
    <w:rsid w:val="00C92DA8"/>
    <w:rsid w:val="00C94DE0"/>
    <w:rsid w:val="00C97630"/>
    <w:rsid w:val="00CA10F0"/>
    <w:rsid w:val="00CA3831"/>
    <w:rsid w:val="00CA446E"/>
    <w:rsid w:val="00CA5F50"/>
    <w:rsid w:val="00CB225B"/>
    <w:rsid w:val="00CB5C31"/>
    <w:rsid w:val="00CC1E96"/>
    <w:rsid w:val="00CC1EBB"/>
    <w:rsid w:val="00CC3D8C"/>
    <w:rsid w:val="00CC49E6"/>
    <w:rsid w:val="00CC5876"/>
    <w:rsid w:val="00CD4C8E"/>
    <w:rsid w:val="00CD7733"/>
    <w:rsid w:val="00CE1436"/>
    <w:rsid w:val="00CF2AD3"/>
    <w:rsid w:val="00CF2AFE"/>
    <w:rsid w:val="00CF2C13"/>
    <w:rsid w:val="00CF5D23"/>
    <w:rsid w:val="00CF64CD"/>
    <w:rsid w:val="00D00C38"/>
    <w:rsid w:val="00D01688"/>
    <w:rsid w:val="00D03E5B"/>
    <w:rsid w:val="00D05D8A"/>
    <w:rsid w:val="00D06B26"/>
    <w:rsid w:val="00D21C92"/>
    <w:rsid w:val="00D228DB"/>
    <w:rsid w:val="00D24F3F"/>
    <w:rsid w:val="00D2703C"/>
    <w:rsid w:val="00D30F4F"/>
    <w:rsid w:val="00D33183"/>
    <w:rsid w:val="00D347F2"/>
    <w:rsid w:val="00D35A4B"/>
    <w:rsid w:val="00D37B87"/>
    <w:rsid w:val="00D44D92"/>
    <w:rsid w:val="00D477F7"/>
    <w:rsid w:val="00D512D0"/>
    <w:rsid w:val="00D537C6"/>
    <w:rsid w:val="00D60A58"/>
    <w:rsid w:val="00D71B75"/>
    <w:rsid w:val="00D809B6"/>
    <w:rsid w:val="00D838CE"/>
    <w:rsid w:val="00D8407D"/>
    <w:rsid w:val="00D84B5B"/>
    <w:rsid w:val="00D86F39"/>
    <w:rsid w:val="00D915E6"/>
    <w:rsid w:val="00DA0D55"/>
    <w:rsid w:val="00DA2E86"/>
    <w:rsid w:val="00DA4653"/>
    <w:rsid w:val="00DB0B3A"/>
    <w:rsid w:val="00DB1E98"/>
    <w:rsid w:val="00DB736A"/>
    <w:rsid w:val="00DC4337"/>
    <w:rsid w:val="00DC54B1"/>
    <w:rsid w:val="00DC635F"/>
    <w:rsid w:val="00DC6862"/>
    <w:rsid w:val="00DD021B"/>
    <w:rsid w:val="00DD1ACF"/>
    <w:rsid w:val="00DD39FE"/>
    <w:rsid w:val="00DD6C6E"/>
    <w:rsid w:val="00DE2029"/>
    <w:rsid w:val="00DE3B81"/>
    <w:rsid w:val="00DF0C78"/>
    <w:rsid w:val="00DF1D7F"/>
    <w:rsid w:val="00DF2E2B"/>
    <w:rsid w:val="00DF4EBD"/>
    <w:rsid w:val="00DF6154"/>
    <w:rsid w:val="00DF71BD"/>
    <w:rsid w:val="00E04BE3"/>
    <w:rsid w:val="00E06E09"/>
    <w:rsid w:val="00E079EF"/>
    <w:rsid w:val="00E1605D"/>
    <w:rsid w:val="00E23FD8"/>
    <w:rsid w:val="00E24F03"/>
    <w:rsid w:val="00E30058"/>
    <w:rsid w:val="00E3120D"/>
    <w:rsid w:val="00E3152C"/>
    <w:rsid w:val="00E3178C"/>
    <w:rsid w:val="00E32A86"/>
    <w:rsid w:val="00E34344"/>
    <w:rsid w:val="00E35FE7"/>
    <w:rsid w:val="00E371CA"/>
    <w:rsid w:val="00E40EE2"/>
    <w:rsid w:val="00E426D9"/>
    <w:rsid w:val="00E438A9"/>
    <w:rsid w:val="00E43A2D"/>
    <w:rsid w:val="00E50DF6"/>
    <w:rsid w:val="00E5160D"/>
    <w:rsid w:val="00E517D2"/>
    <w:rsid w:val="00E5192C"/>
    <w:rsid w:val="00E53725"/>
    <w:rsid w:val="00E56AC5"/>
    <w:rsid w:val="00E579F4"/>
    <w:rsid w:val="00E60D0C"/>
    <w:rsid w:val="00E61BDB"/>
    <w:rsid w:val="00E640CE"/>
    <w:rsid w:val="00E65B0A"/>
    <w:rsid w:val="00E70496"/>
    <w:rsid w:val="00E72905"/>
    <w:rsid w:val="00E84BF0"/>
    <w:rsid w:val="00E850CE"/>
    <w:rsid w:val="00E85F22"/>
    <w:rsid w:val="00E865AC"/>
    <w:rsid w:val="00E90C78"/>
    <w:rsid w:val="00E95542"/>
    <w:rsid w:val="00EA029F"/>
    <w:rsid w:val="00EB669B"/>
    <w:rsid w:val="00EB7D40"/>
    <w:rsid w:val="00EC0694"/>
    <w:rsid w:val="00EC51E2"/>
    <w:rsid w:val="00EC6698"/>
    <w:rsid w:val="00EC6EE3"/>
    <w:rsid w:val="00EC7234"/>
    <w:rsid w:val="00EC72FC"/>
    <w:rsid w:val="00ED3CBE"/>
    <w:rsid w:val="00EE34EE"/>
    <w:rsid w:val="00EE406E"/>
    <w:rsid w:val="00EF1DA0"/>
    <w:rsid w:val="00EF27FC"/>
    <w:rsid w:val="00EF7964"/>
    <w:rsid w:val="00F00053"/>
    <w:rsid w:val="00F039E0"/>
    <w:rsid w:val="00F0409A"/>
    <w:rsid w:val="00F05B2D"/>
    <w:rsid w:val="00F05FAD"/>
    <w:rsid w:val="00F07011"/>
    <w:rsid w:val="00F13274"/>
    <w:rsid w:val="00F1379D"/>
    <w:rsid w:val="00F13DD2"/>
    <w:rsid w:val="00F140E8"/>
    <w:rsid w:val="00F1531A"/>
    <w:rsid w:val="00F172DC"/>
    <w:rsid w:val="00F17658"/>
    <w:rsid w:val="00F20AAA"/>
    <w:rsid w:val="00F21AA2"/>
    <w:rsid w:val="00F2237A"/>
    <w:rsid w:val="00F24635"/>
    <w:rsid w:val="00F256E9"/>
    <w:rsid w:val="00F303BB"/>
    <w:rsid w:val="00F3076E"/>
    <w:rsid w:val="00F30FB1"/>
    <w:rsid w:val="00F3327E"/>
    <w:rsid w:val="00F35614"/>
    <w:rsid w:val="00F3663F"/>
    <w:rsid w:val="00F36EBD"/>
    <w:rsid w:val="00F37DA6"/>
    <w:rsid w:val="00F40053"/>
    <w:rsid w:val="00F44D00"/>
    <w:rsid w:val="00F508C7"/>
    <w:rsid w:val="00F513F0"/>
    <w:rsid w:val="00F60503"/>
    <w:rsid w:val="00F63A33"/>
    <w:rsid w:val="00F64110"/>
    <w:rsid w:val="00F649DB"/>
    <w:rsid w:val="00F66652"/>
    <w:rsid w:val="00F67126"/>
    <w:rsid w:val="00F70764"/>
    <w:rsid w:val="00F721C8"/>
    <w:rsid w:val="00F767D8"/>
    <w:rsid w:val="00F81322"/>
    <w:rsid w:val="00F83B34"/>
    <w:rsid w:val="00FA05CC"/>
    <w:rsid w:val="00FA376B"/>
    <w:rsid w:val="00FB1A3E"/>
    <w:rsid w:val="00FB5310"/>
    <w:rsid w:val="00FB6FB9"/>
    <w:rsid w:val="00FC0543"/>
    <w:rsid w:val="00FC37DC"/>
    <w:rsid w:val="00FC4457"/>
    <w:rsid w:val="00FC6D3F"/>
    <w:rsid w:val="00FD0EC3"/>
    <w:rsid w:val="00FD1B0F"/>
    <w:rsid w:val="00FD2FBD"/>
    <w:rsid w:val="00FD339D"/>
    <w:rsid w:val="00FE117B"/>
    <w:rsid w:val="00FE71A6"/>
    <w:rsid w:val="00FF01F3"/>
    <w:rsid w:val="00FF05DD"/>
    <w:rsid w:val="00FF19EE"/>
    <w:rsid w:val="00FF4956"/>
    <w:rsid w:val="00FF5729"/>
    <w:rsid w:val="00FF6A9E"/>
    <w:rsid w:val="00FF6D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4F8BB2A"/>
  <w15:chartTrackingRefBased/>
  <w15:docId w15:val="{48FCE7F4-3DEB-4AEC-98AD-096B0AD9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6FC6"/>
  </w:style>
  <w:style w:type="paragraph" w:styleId="Heading1">
    <w:name w:val="heading 1"/>
    <w:basedOn w:val="Normal"/>
    <w:next w:val="Normal"/>
    <w:link w:val="Heading1Char"/>
    <w:uiPriority w:val="9"/>
    <w:qFormat/>
    <w:rsid w:val="003A4BEB"/>
    <w:pPr>
      <w:spacing w:before="3000"/>
      <w:jc w:val="cente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3A4BEB"/>
    <w:pPr>
      <w:keepNext/>
      <w:keepLines/>
      <w:spacing w:before="40" w:after="240"/>
      <w:jc w:val="center"/>
      <w:outlineLvl w:val="1"/>
    </w:pPr>
    <w:rPr>
      <w:rFonts w:ascii="Times New Roman" w:eastAsiaTheme="majorEastAsia" w:hAnsi="Times New Roman" w:cstheme="majorBidi"/>
      <w:b/>
      <w:sz w:val="28"/>
      <w:szCs w:val="26"/>
    </w:rPr>
  </w:style>
  <w:style w:type="paragraph" w:styleId="Heading3">
    <w:name w:val="heading 3"/>
    <w:basedOn w:val="Normal"/>
    <w:next w:val="Normal"/>
    <w:link w:val="Heading3Char"/>
    <w:uiPriority w:val="9"/>
    <w:unhideWhenUsed/>
    <w:qFormat/>
    <w:rsid w:val="003A4BEB"/>
    <w:pPr>
      <w:keepNext/>
      <w:keepLines/>
      <w:spacing w:before="600" w:after="200"/>
      <w:outlineLvl w:val="2"/>
    </w:pPr>
    <w:rPr>
      <w:rFonts w:ascii="Times New Roman" w:eastAsiaTheme="majorEastAsia" w:hAnsi="Times New Roman"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uiPriority w:val="99"/>
    <w:unhideWhenUsed/>
    <w:rsid w:val="00D84B5B"/>
    <w:pPr>
      <w:numPr>
        <w:numId w:val="20"/>
      </w:numPr>
    </w:pPr>
  </w:style>
  <w:style w:type="paragraph" w:styleId="NoSpacing">
    <w:name w:val="No Spacing"/>
    <w:basedOn w:val="Normal"/>
    <w:uiPriority w:val="1"/>
    <w:qFormat/>
    <w:rsid w:val="006346B1"/>
    <w:pPr>
      <w:spacing w:after="0" w:line="240" w:lineRule="auto"/>
    </w:pPr>
    <w:rPr>
      <w:rFonts w:eastAsia="Times New Roman" w:cs="Times New Roman"/>
      <w:szCs w:val="20"/>
      <w:lang w:eastAsia="en-AU"/>
    </w:rPr>
  </w:style>
  <w:style w:type="character" w:styleId="IntenseReference">
    <w:name w:val="Intense Reference"/>
    <w:uiPriority w:val="32"/>
    <w:qFormat/>
    <w:rsid w:val="00CF2AD3"/>
  </w:style>
  <w:style w:type="paragraph" w:styleId="List2">
    <w:name w:val="List 2"/>
    <w:basedOn w:val="Normal"/>
    <w:uiPriority w:val="99"/>
    <w:unhideWhenUsed/>
    <w:rsid w:val="00D84B5B"/>
    <w:pPr>
      <w:ind w:left="566" w:hanging="283"/>
      <w:contextualSpacing/>
    </w:pPr>
  </w:style>
  <w:style w:type="paragraph" w:styleId="BalloonText">
    <w:name w:val="Balloon Text"/>
    <w:basedOn w:val="Normal"/>
    <w:link w:val="BalloonTextChar"/>
    <w:uiPriority w:val="99"/>
    <w:semiHidden/>
    <w:unhideWhenUsed/>
    <w:rsid w:val="00E40E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EE2"/>
    <w:rPr>
      <w:rFonts w:ascii="Segoe UI" w:hAnsi="Segoe UI" w:cs="Segoe UI"/>
      <w:sz w:val="18"/>
      <w:szCs w:val="18"/>
    </w:rPr>
  </w:style>
  <w:style w:type="character" w:styleId="Hyperlink">
    <w:name w:val="Hyperlink"/>
    <w:basedOn w:val="DefaultParagraphFont"/>
    <w:uiPriority w:val="99"/>
    <w:unhideWhenUsed/>
    <w:rsid w:val="00B55204"/>
    <w:rPr>
      <w:color w:val="0563C1" w:themeColor="hyperlink"/>
      <w:u w:val="single"/>
    </w:rPr>
  </w:style>
  <w:style w:type="paragraph" w:styleId="ListParagraph">
    <w:name w:val="List Paragraph"/>
    <w:aliases w:val="Bullet List,Bulletr List Paragraph,FooterText,L,List Paragraph1,List Paragraph11,List Paragraph2,List Paragraph21,Listeafsnit1,Paragraphe de liste1,Parágrafo da Lista1,Párrafo de lista1,Recommendation,bullet point list,numbered,列出段落,列出段落1"/>
    <w:basedOn w:val="Normal"/>
    <w:link w:val="ListParagraphChar"/>
    <w:uiPriority w:val="34"/>
    <w:qFormat/>
    <w:rsid w:val="00053F9B"/>
    <w:pPr>
      <w:ind w:left="720"/>
      <w:contextualSpacing/>
    </w:pPr>
  </w:style>
  <w:style w:type="paragraph" w:styleId="Header">
    <w:name w:val="header"/>
    <w:basedOn w:val="Normal"/>
    <w:link w:val="HeaderChar"/>
    <w:uiPriority w:val="99"/>
    <w:unhideWhenUsed/>
    <w:rsid w:val="00836C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C7C"/>
  </w:style>
  <w:style w:type="paragraph" w:styleId="Footer">
    <w:name w:val="footer"/>
    <w:basedOn w:val="Normal"/>
    <w:link w:val="FooterChar"/>
    <w:uiPriority w:val="99"/>
    <w:unhideWhenUsed/>
    <w:rsid w:val="00836C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C7C"/>
  </w:style>
  <w:style w:type="character" w:styleId="CommentReference">
    <w:name w:val="annotation reference"/>
    <w:basedOn w:val="DefaultParagraphFont"/>
    <w:uiPriority w:val="99"/>
    <w:semiHidden/>
    <w:unhideWhenUsed/>
    <w:rsid w:val="00E3120D"/>
    <w:rPr>
      <w:sz w:val="16"/>
      <w:szCs w:val="16"/>
    </w:rPr>
  </w:style>
  <w:style w:type="paragraph" w:styleId="CommentText">
    <w:name w:val="annotation text"/>
    <w:basedOn w:val="Normal"/>
    <w:link w:val="CommentTextChar"/>
    <w:uiPriority w:val="99"/>
    <w:semiHidden/>
    <w:unhideWhenUsed/>
    <w:rsid w:val="00E3120D"/>
    <w:pPr>
      <w:spacing w:line="240" w:lineRule="auto"/>
    </w:pPr>
    <w:rPr>
      <w:sz w:val="20"/>
      <w:szCs w:val="20"/>
    </w:rPr>
  </w:style>
  <w:style w:type="character" w:customStyle="1" w:styleId="CommentTextChar">
    <w:name w:val="Comment Text Char"/>
    <w:basedOn w:val="DefaultParagraphFont"/>
    <w:link w:val="CommentText"/>
    <w:uiPriority w:val="99"/>
    <w:semiHidden/>
    <w:rsid w:val="00E3120D"/>
    <w:rPr>
      <w:sz w:val="20"/>
      <w:szCs w:val="20"/>
    </w:rPr>
  </w:style>
  <w:style w:type="paragraph" w:styleId="CommentSubject">
    <w:name w:val="annotation subject"/>
    <w:basedOn w:val="CommentText"/>
    <w:next w:val="CommentText"/>
    <w:link w:val="CommentSubjectChar"/>
    <w:uiPriority w:val="99"/>
    <w:semiHidden/>
    <w:unhideWhenUsed/>
    <w:rsid w:val="00E3120D"/>
    <w:rPr>
      <w:b/>
      <w:bCs/>
    </w:rPr>
  </w:style>
  <w:style w:type="character" w:customStyle="1" w:styleId="CommentSubjectChar">
    <w:name w:val="Comment Subject Char"/>
    <w:basedOn w:val="CommentTextChar"/>
    <w:link w:val="CommentSubject"/>
    <w:uiPriority w:val="99"/>
    <w:semiHidden/>
    <w:rsid w:val="00E3120D"/>
    <w:rPr>
      <w:b/>
      <w:bCs/>
      <w:sz w:val="20"/>
      <w:szCs w:val="20"/>
    </w:rPr>
  </w:style>
  <w:style w:type="paragraph" w:styleId="List3">
    <w:name w:val="List 3"/>
    <w:basedOn w:val="Normal"/>
    <w:uiPriority w:val="99"/>
    <w:unhideWhenUsed/>
    <w:rsid w:val="00D84B5B"/>
    <w:pPr>
      <w:ind w:left="849" w:hanging="283"/>
      <w:contextualSpacing/>
    </w:pPr>
  </w:style>
  <w:style w:type="paragraph" w:styleId="List4">
    <w:name w:val="List 4"/>
    <w:basedOn w:val="Normal"/>
    <w:uiPriority w:val="99"/>
    <w:unhideWhenUsed/>
    <w:rsid w:val="00D84B5B"/>
    <w:pPr>
      <w:ind w:left="1132" w:hanging="283"/>
      <w:contextualSpacing/>
    </w:pPr>
  </w:style>
  <w:style w:type="paragraph" w:styleId="ListBullet">
    <w:name w:val="List Bullet"/>
    <w:basedOn w:val="Normal"/>
    <w:uiPriority w:val="99"/>
    <w:unhideWhenUsed/>
    <w:rsid w:val="00D84B5B"/>
    <w:pPr>
      <w:tabs>
        <w:tab w:val="num" w:pos="360"/>
      </w:tabs>
      <w:ind w:left="360" w:hanging="360"/>
    </w:pPr>
  </w:style>
  <w:style w:type="paragraph" w:styleId="ListContinue">
    <w:name w:val="List Continue"/>
    <w:basedOn w:val="Normal"/>
    <w:uiPriority w:val="99"/>
    <w:unhideWhenUsed/>
    <w:rsid w:val="00D84B5B"/>
    <w:pPr>
      <w:spacing w:after="120"/>
      <w:ind w:left="283"/>
      <w:contextualSpacing/>
    </w:pPr>
  </w:style>
  <w:style w:type="paragraph" w:styleId="FootnoteText">
    <w:name w:val="footnote text"/>
    <w:basedOn w:val="Normal"/>
    <w:link w:val="FootnoteTextChar"/>
    <w:uiPriority w:val="99"/>
    <w:semiHidden/>
    <w:unhideWhenUsed/>
    <w:rsid w:val="002B55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55DE"/>
    <w:rPr>
      <w:sz w:val="20"/>
      <w:szCs w:val="20"/>
    </w:rPr>
  </w:style>
  <w:style w:type="character" w:styleId="FootnoteReference">
    <w:name w:val="footnote reference"/>
    <w:basedOn w:val="DefaultParagraphFont"/>
    <w:uiPriority w:val="99"/>
    <w:unhideWhenUsed/>
    <w:rsid w:val="002B55DE"/>
    <w:rPr>
      <w:vertAlign w:val="superscript"/>
    </w:rPr>
  </w:style>
  <w:style w:type="character" w:customStyle="1" w:styleId="ListParagraphChar">
    <w:name w:val="List Paragraph Char"/>
    <w:aliases w:val="Bullet List Char,Bulletr List Paragraph Char,FooterText Char,L Char,List Paragraph1 Char,List Paragraph11 Char,List Paragraph2 Char,List Paragraph21 Char,Listeafsnit1 Char,Paragraphe de liste1 Char,Parágrafo da Lista1 Char,列出段落 Char"/>
    <w:link w:val="ListParagraph"/>
    <w:uiPriority w:val="34"/>
    <w:qFormat/>
    <w:locked/>
    <w:rsid w:val="0054266E"/>
  </w:style>
  <w:style w:type="character" w:styleId="FollowedHyperlink">
    <w:name w:val="FollowedHyperlink"/>
    <w:basedOn w:val="DefaultParagraphFont"/>
    <w:uiPriority w:val="99"/>
    <w:semiHidden/>
    <w:unhideWhenUsed/>
    <w:rsid w:val="00102199"/>
    <w:rPr>
      <w:color w:val="954F72" w:themeColor="followedHyperlink"/>
      <w:u w:val="single"/>
    </w:rPr>
  </w:style>
  <w:style w:type="paragraph" w:styleId="Revision">
    <w:name w:val="Revision"/>
    <w:hidden/>
    <w:uiPriority w:val="99"/>
    <w:semiHidden/>
    <w:rsid w:val="00C92DA8"/>
    <w:pPr>
      <w:spacing w:after="0" w:line="240" w:lineRule="auto"/>
    </w:pPr>
  </w:style>
  <w:style w:type="paragraph" w:styleId="NormalWeb">
    <w:name w:val="Normal (Web)"/>
    <w:basedOn w:val="Normal"/>
    <w:uiPriority w:val="99"/>
    <w:unhideWhenUsed/>
    <w:rsid w:val="002A6623"/>
    <w:pPr>
      <w:spacing w:before="100" w:beforeAutospacing="1" w:after="100" w:afterAutospacing="1" w:line="240" w:lineRule="auto"/>
    </w:pPr>
    <w:rPr>
      <w:rFonts w:ascii="Times New Roman" w:hAnsi="Times New Roman" w:cs="Times New Roman"/>
      <w:sz w:val="24"/>
      <w:szCs w:val="24"/>
      <w:lang w:eastAsia="en-AU"/>
    </w:rPr>
  </w:style>
  <w:style w:type="paragraph" w:styleId="ListNumber">
    <w:name w:val="List Number"/>
    <w:basedOn w:val="Normal"/>
    <w:uiPriority w:val="99"/>
    <w:semiHidden/>
    <w:unhideWhenUsed/>
    <w:rsid w:val="00E65B0A"/>
    <w:pPr>
      <w:numPr>
        <w:numId w:val="33"/>
      </w:numPr>
      <w:contextualSpacing/>
    </w:pPr>
  </w:style>
  <w:style w:type="character" w:customStyle="1" w:styleId="Heading2Char">
    <w:name w:val="Heading 2 Char"/>
    <w:basedOn w:val="DefaultParagraphFont"/>
    <w:link w:val="Heading2"/>
    <w:uiPriority w:val="9"/>
    <w:rsid w:val="003A4BEB"/>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3A4BEB"/>
    <w:rPr>
      <w:rFonts w:ascii="Times New Roman" w:eastAsiaTheme="majorEastAsia" w:hAnsi="Times New Roman" w:cstheme="majorBidi"/>
      <w:b/>
      <w:szCs w:val="24"/>
    </w:rPr>
  </w:style>
  <w:style w:type="character" w:customStyle="1" w:styleId="Heading1Char">
    <w:name w:val="Heading 1 Char"/>
    <w:basedOn w:val="DefaultParagraphFont"/>
    <w:link w:val="Heading1"/>
    <w:uiPriority w:val="9"/>
    <w:rsid w:val="003A4BEB"/>
    <w:rPr>
      <w:rFonts w:ascii="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5523">
      <w:bodyDiv w:val="1"/>
      <w:marLeft w:val="0"/>
      <w:marRight w:val="0"/>
      <w:marTop w:val="0"/>
      <w:marBottom w:val="0"/>
      <w:divBdr>
        <w:top w:val="none" w:sz="0" w:space="0" w:color="auto"/>
        <w:left w:val="none" w:sz="0" w:space="0" w:color="auto"/>
        <w:bottom w:val="none" w:sz="0" w:space="0" w:color="auto"/>
        <w:right w:val="none" w:sz="0" w:space="0" w:color="auto"/>
      </w:divBdr>
    </w:div>
    <w:div w:id="228613822">
      <w:bodyDiv w:val="1"/>
      <w:marLeft w:val="0"/>
      <w:marRight w:val="0"/>
      <w:marTop w:val="0"/>
      <w:marBottom w:val="0"/>
      <w:divBdr>
        <w:top w:val="none" w:sz="0" w:space="0" w:color="auto"/>
        <w:left w:val="none" w:sz="0" w:space="0" w:color="auto"/>
        <w:bottom w:val="none" w:sz="0" w:space="0" w:color="auto"/>
        <w:right w:val="none" w:sz="0" w:space="0" w:color="auto"/>
      </w:divBdr>
    </w:div>
    <w:div w:id="423305830">
      <w:bodyDiv w:val="1"/>
      <w:marLeft w:val="0"/>
      <w:marRight w:val="0"/>
      <w:marTop w:val="0"/>
      <w:marBottom w:val="0"/>
      <w:divBdr>
        <w:top w:val="none" w:sz="0" w:space="0" w:color="auto"/>
        <w:left w:val="none" w:sz="0" w:space="0" w:color="auto"/>
        <w:bottom w:val="none" w:sz="0" w:space="0" w:color="auto"/>
        <w:right w:val="none" w:sz="0" w:space="0" w:color="auto"/>
      </w:divBdr>
    </w:div>
    <w:div w:id="1555892979">
      <w:bodyDiv w:val="1"/>
      <w:marLeft w:val="0"/>
      <w:marRight w:val="0"/>
      <w:marTop w:val="0"/>
      <w:marBottom w:val="0"/>
      <w:divBdr>
        <w:top w:val="none" w:sz="0" w:space="0" w:color="auto"/>
        <w:left w:val="none" w:sz="0" w:space="0" w:color="auto"/>
        <w:bottom w:val="none" w:sz="0" w:space="0" w:color="auto"/>
        <w:right w:val="none" w:sz="0" w:space="0" w:color="auto"/>
      </w:divBdr>
    </w:div>
    <w:div w:id="1660689990">
      <w:bodyDiv w:val="1"/>
      <w:marLeft w:val="0"/>
      <w:marRight w:val="0"/>
      <w:marTop w:val="0"/>
      <w:marBottom w:val="0"/>
      <w:divBdr>
        <w:top w:val="none" w:sz="0" w:space="0" w:color="auto"/>
        <w:left w:val="none" w:sz="0" w:space="0" w:color="auto"/>
        <w:bottom w:val="none" w:sz="0" w:space="0" w:color="auto"/>
        <w:right w:val="none" w:sz="0" w:space="0" w:color="auto"/>
      </w:divBdr>
    </w:div>
    <w:div w:id="2090155332">
      <w:bodyDiv w:val="1"/>
      <w:marLeft w:val="0"/>
      <w:marRight w:val="0"/>
      <w:marTop w:val="0"/>
      <w:marBottom w:val="0"/>
      <w:divBdr>
        <w:top w:val="none" w:sz="0" w:space="0" w:color="auto"/>
        <w:left w:val="none" w:sz="0" w:space="0" w:color="auto"/>
        <w:bottom w:val="none" w:sz="0" w:space="0" w:color="auto"/>
        <w:right w:val="none" w:sz="0" w:space="0" w:color="auto"/>
      </w:divBdr>
    </w:div>
    <w:div w:id="2120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ndustry.gov.au/regulation-and-standards/developing-and-applying-standard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abcb.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ph.gov.au/DocumentStore.ashx?id=8fa78ce4-716f-45e3-8221-2019a3b1cbfb" TargetMode="External"/><Relationship Id="rId7" Type="http://schemas.openxmlformats.org/officeDocument/2006/relationships/hyperlink" Target="http://www.adcommission.gov.au/adsystem/Pages/ITRF.aspx" TargetMode="External"/><Relationship Id="rId2" Type="http://schemas.openxmlformats.org/officeDocument/2006/relationships/hyperlink" Target="http://www.bmwi.de/Redaktion/EN/Downloads/global-forum-on-steel-excess-capacity-report.pdf?__blob=publicationFile" TargetMode="External"/><Relationship Id="rId1" Type="http://schemas.openxmlformats.org/officeDocument/2006/relationships/hyperlink" Target="https://www.worldsteel.org/en/dam/jcr:3e275c73-6f11-4e7f-a5d8-23d9bc5c508f/Steel+Statistical+Yearbook+2017.pdf" TargetMode="External"/><Relationship Id="rId6" Type="http://schemas.openxmlformats.org/officeDocument/2006/relationships/hyperlink" Target="https://www.aph.gov.au/Parliamentary_Business/Committees/Joint/Former_Committees/Government_Procurement/CommProcurementFramework/Government_Response" TargetMode="External"/><Relationship Id="rId5" Type="http://schemas.openxmlformats.org/officeDocument/2006/relationships/hyperlink" Target="https://www.aph.gov.au/Parliamentary_Business/Committees/Joint/Former_Committees/Government_Procurement/CommProcurementFramework/Government_Response" TargetMode="External"/><Relationship Id="rId4" Type="http://schemas.openxmlformats.org/officeDocument/2006/relationships/hyperlink" Target="https://www.minister.defence.gov.au/minister/christopher-pyne/media-releases/joint-media-release-prime-minister-minister-defence-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9A3BB94490B44294A5B9587EBE8B59" ma:contentTypeVersion="39" ma:contentTypeDescription="Create a new document." ma:contentTypeScope="" ma:versionID="3841441dc579eea1dc4493450239a98e">
  <xsd:schema xmlns:xsd="http://www.w3.org/2001/XMLSchema" xmlns:xs="http://www.w3.org/2001/XMLSchema" xmlns:p="http://schemas.microsoft.com/office/2006/metadata/properties" xmlns:ns1="http://schemas.microsoft.com/sharepoint/v3" xmlns:ns2="498945f5-0448-4b4c-97d9-fcd4d7a5a1b1" targetNamespace="http://schemas.microsoft.com/office/2006/metadata/properties" ma:root="true" ma:fieldsID="96847560d14dacb767fccd8a51631559" ns1:_="" ns2:_="">
    <xsd:import namespace="http://schemas.microsoft.com/sharepoint/v3"/>
    <xsd:import namespace="498945f5-0448-4b4c-97d9-fcd4d7a5a1b1"/>
    <xsd:element name="properties">
      <xsd:complexType>
        <xsd:sequence>
          <xsd:element name="documentManagement">
            <xsd:complexType>
              <xsd:all>
                <xsd:element ref="ns2:TaxCatchAll" minOccurs="0"/>
                <xsd:element ref="ns2:_dlc_DocIdUrl" minOccurs="0"/>
                <xsd:element ref="ns2:_dlc_DocIdPersistId" minOccurs="0"/>
                <xsd:element ref="ns2:_dlc_DocId" minOccurs="0"/>
                <xsd:element ref="ns2:aa25a1a23adf4c92a153145de6afe324"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j8b6acba72e7491594022ba2131cf943" minOccurs="0"/>
                <xsd:element ref="ns2:h562caa41cd8435eb8b6f0bdc23e20a9" minOccurs="0"/>
                <xsd:element ref="ns2:pdf7e909b33a4f5fb219da947d63a955"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3"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aa25a1a23adf4c92a153145de6afe324" ma:index="13"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4" nillable="true" ma:displayName="PDMS Number" ma:description="Parliamentary Document Management System (PDMS) Reference Number" ma:internalName="DocHub_PDMSNumber">
      <xsd:simpleType>
        <xsd:restriction base="dms:Text"/>
      </xsd:simpleType>
    </xsd:element>
    <xsd:element name="j8b6acba72e7491594022ba2131cf943" ma:index="25" nillable="true" ma:taxonomy="true" ma:internalName="j8b6acba72e7491594022ba2131cf943" ma:taxonomyFieldName="DocHub_Metal" ma:displayName="Metal" ma:default="" ma:fieldId="{38b6acba-72e7-4915-9402-2ba2131cf943}" ma:taxonomyMulti="true" ma:sspId="fb0313f7-9433-48c0-866e-9e0bbee59a50" ma:termSetId="0cba73ab-1548-411a-aa45-77f815974a08" ma:anchorId="0b6f18d8-f22c-45e1-833e-1ad78529d5ba" ma:open="false" ma:isKeyword="false">
      <xsd:complexType>
        <xsd:sequence>
          <xsd:element ref="pc:Terms" minOccurs="0" maxOccurs="1"/>
        </xsd:sequence>
      </xsd:complexType>
    </xsd:element>
    <xsd:element name="h562caa41cd8435eb8b6f0bdc23e20a9" ma:index="27"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pdf7e909b33a4f5fb219da947d63a955" ma:index="29" nillable="true" ma:taxonomy="true" ma:internalName="pdf7e909b33a4f5fb219da947d63a955" ma:taxonomyFieldName="DocHub_Stakeholder" ma:displayName="Stakeholder" ma:indexed="true" ma:default="" ma:fieldId="{9df7e909-b33a-4f5f-b219-da947d63a955}" ma:sspId="fb0313f7-9433-48c0-866e-9e0bbee59a50" ma:termSetId="713cccf5-ee6b-4d00-9685-a991537b33be" ma:anchorId="00000000-0000-0000-0000-000000000000" ma:open="true" ma:isKeyword="false">
      <xsd:complexType>
        <xsd:sequence>
          <xsd:element ref="pc:Terms" minOccurs="0" maxOccurs="1"/>
        </xsd:sequence>
      </xsd:complexType>
    </xsd:element>
    <xsd:element name="SharedWithUsers" ma:index="3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Response</TermName>
          <TermId>7897ed89-a3ff-48a8-b822-42f8261dd490</TermId>
        </TermInfo>
      </Terms>
    </pe2555c81638466f9eb614edb9ecde52>
    <j8b6acba72e7491594022ba2131cf943 xmlns="498945f5-0448-4b4c-97d9-fcd4d7a5a1b1">
      <Terms xmlns="http://schemas.microsoft.com/office/infopath/2007/PartnerControls">
        <TermInfo xmlns="http://schemas.microsoft.com/office/infopath/2007/PartnerControls">
          <TermName>Steel</TermName>
          <TermId>42efe150-699c-4ad9-98f7-d7d3f9310879</TermId>
        </TermInfo>
      </Terms>
    </j8b6acba72e7491594022ba2131cf943>
    <pdf7e909b33a4f5fb219da947d63a955 xmlns="498945f5-0448-4b4c-97d9-fcd4d7a5a1b1">
      <Terms xmlns="http://schemas.microsoft.com/office/infopath/2007/PartnerControls"/>
    </pdf7e909b33a4f5fb219da947d63a955>
    <TaxCatchAll xmlns="498945f5-0448-4b4c-97d9-fcd4d7a5a1b1">
      <Value>454</Value>
      <Value>25</Value>
      <Value>545</Value>
      <Value>190</Value>
      <Value>833</Value>
    </TaxCatchAll>
    <g7bcb40ba23249a78edca7d43a67c1c9 xmlns="498945f5-0448-4b4c-97d9-fcd4d7a5a1b1">
      <Terms xmlns="http://schemas.microsoft.com/office/infopath/2007/PartnerControls">
        <TermInfo xmlns="http://schemas.microsoft.com/office/infopath/2007/PartnerControls">
          <TermName>Inquiry</TermName>
          <TermId>cba4782b-1293-4dd5-99db-34982ee38822</TermId>
        </TermInfo>
      </Terms>
    </g7bcb40ba23249a78edca7d43a67c1c9>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TermInfo xmlns="http://schemas.microsoft.com/office/infopath/2007/PartnerControls">
          <TermName>2017-18</TermName>
          <TermId>b7f3f697-63b0-4a64-a581-540e55f3baef</TermId>
        </TermInfo>
      </Term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For Official Use Only</TermName>
          <TermId>11f6fb0b-52ce-4109-8f7f-521b2a62f692</TermId>
        </TermInfo>
      </Terms>
    </aa25a1a23adf4c92a153145de6afe324>
    <Comments xmlns="http://schemas.microsoft.com/sharepoint/v3" xsi:nil="true"/>
    <_dlc_DocId xmlns="498945f5-0448-4b4c-97d9-fcd4d7a5a1b1">A3PSR54DD4M5-1600062852-560</_dlc_DocId>
    <_dlc_DocIdUrl xmlns="498945f5-0448-4b4c-97d9-fcd4d7a5a1b1">
      <Url>https://dochub/div/sectoralgrowthpolicy/businessfunctions/steelstrategiesmetalpolicymanagement/metals/_layouts/15/DocIdRedir.aspx?ID=A3PSR54DD4M5-1600062852-560</Url>
      <Description>A3PSR54DD4M5-1600062852-560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38BD8B-4AAC-4525-B98D-6383FE964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8945f5-0448-4b4c-97d9-fcd4d7a5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326F67-8E74-4508-9012-B7AF2B0B9994}">
  <ds:schemaRefs>
    <ds:schemaRef ds:uri="http://schemas.microsoft.com/sharepoint/events"/>
  </ds:schemaRefs>
</ds:datastoreItem>
</file>

<file path=customXml/itemProps3.xml><?xml version="1.0" encoding="utf-8"?>
<ds:datastoreItem xmlns:ds="http://schemas.openxmlformats.org/officeDocument/2006/customXml" ds:itemID="{F40B7061-9E97-4E67-B21F-9B37CC060952}">
  <ds:schemaRefs>
    <ds:schemaRef ds:uri="http://schemas.microsoft.com/sharepoint/v3/contenttype/forms"/>
  </ds:schemaRefs>
</ds:datastoreItem>
</file>

<file path=customXml/itemProps4.xml><?xml version="1.0" encoding="utf-8"?>
<ds:datastoreItem xmlns:ds="http://schemas.openxmlformats.org/officeDocument/2006/customXml" ds:itemID="{BD041D18-8B5F-46F8-8FB3-E795900C57D8}">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498945f5-0448-4b4c-97d9-fcd4d7a5a1b1"/>
    <ds:schemaRef ds:uri="http://www.w3.org/XML/1998/namespace"/>
    <ds:schemaRef ds:uri="http://purl.org/dc/dcmitype/"/>
  </ds:schemaRefs>
</ds:datastoreItem>
</file>

<file path=customXml/itemProps5.xml><?xml version="1.0" encoding="utf-8"?>
<ds:datastoreItem xmlns:ds="http://schemas.openxmlformats.org/officeDocument/2006/customXml" ds:itemID="{68C45451-53CE-4922-BF55-3D131106A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18</Pages>
  <Words>6695</Words>
  <Characters>38165</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44771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Josipovic, Gordana</dc:creator>
  <cp:keywords/>
  <dc:description/>
  <cp:lastModifiedBy>Francis, Sophie</cp:lastModifiedBy>
  <cp:revision>5</cp:revision>
  <cp:lastPrinted>2018-11-27T03:27:00Z</cp:lastPrinted>
  <dcterms:created xsi:type="dcterms:W3CDTF">2019-02-20T02:19:00Z</dcterms:created>
  <dcterms:modified xsi:type="dcterms:W3CDTF">2019-02-20T02:47:00Z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0x010100079A3BB94490B44294A5B9587EBE8B59</vt:lpwstr>
  </property>
  <property fmtid="{D5CDD505-2E9C-101B-9397-08002B2CF9AE}" pid="3" name="DocHub_Year">
    <vt:lpwstr>833;#2017-18|b7f3f697-63b0-4a64-a581-540e55f3baef</vt:lpwstr>
  </property>
  <property fmtid="{D5CDD505-2E9C-101B-9397-08002B2CF9AE}" pid="4" name="DocHub_Metal">
    <vt:lpwstr>545;#Steel|42efe150-699c-4ad9-98f7-d7d3f9310879</vt:lpwstr>
  </property>
  <property fmtid="{D5CDD505-2E9C-101B-9397-08002B2CF9AE}" pid="5" name="DocHub_DocumentType">
    <vt:lpwstr>190;#Response|7897ed89-a3ff-48a8-b822-42f8261dd490</vt:lpwstr>
  </property>
  <property fmtid="{D5CDD505-2E9C-101B-9397-08002B2CF9AE}" pid="6" name="DocHub_SecurityClassification">
    <vt:lpwstr>25;#For Official Use Only|11f6fb0b-52ce-4109-8f7f-521b2a62f692</vt:lpwstr>
  </property>
  <property fmtid="{D5CDD505-2E9C-101B-9397-08002B2CF9AE}" pid="7" name="DocHub_Keywords">
    <vt:lpwstr/>
  </property>
  <property fmtid="{D5CDD505-2E9C-101B-9397-08002B2CF9AE}" pid="8" name="DocHub_Stakeholder">
    <vt:lpwstr/>
  </property>
  <property fmtid="{D5CDD505-2E9C-101B-9397-08002B2CF9AE}" pid="9" name="DocHub_BriefingCorrespondenceType">
    <vt:lpwstr/>
  </property>
  <property fmtid="{D5CDD505-2E9C-101B-9397-08002B2CF9AE}" pid="10" name="DocHub_WorkActivity">
    <vt:lpwstr>454;#Inquiry|cba4782b-1293-4dd5-99db-34982ee38822</vt:lpwstr>
  </property>
  <property fmtid="{D5CDD505-2E9C-101B-9397-08002B2CF9AE}" pid="11" name="_dlc_DocIdItemGuid">
    <vt:lpwstr>c88b24e6-ada2-4ec6-80bd-210f61396f9c</vt:lpwstr>
  </property>
</Properties>
</file>