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B51E03" w14:textId="4555BC96" w:rsidR="000B7B2A" w:rsidRDefault="000B7B2A" w:rsidP="006C3DCD">
      <w:pPr>
        <w:pStyle w:val="BusinessUnitName"/>
        <w:framePr w:w="6124" w:h="284" w:hRule="exact" w:vSpace="1276" w:wrap="notBeside" w:vAnchor="page" w:hAnchor="margin" w:y="1135" w:anchorLock="1"/>
        <w:rPr>
          <w:rFonts w:eastAsia="Calibri"/>
          <w:b w:val="0"/>
          <w:caps w:val="0"/>
          <w:noProof w:val="0"/>
          <w:color w:val="000000"/>
          <w:spacing w:val="0"/>
          <w:sz w:val="24"/>
          <w:szCs w:val="22"/>
          <w:lang w:eastAsia="en-AU"/>
        </w:rPr>
      </w:pPr>
    </w:p>
    <w:sdt>
      <w:sdtPr>
        <w:rPr>
          <w:rFonts w:eastAsia="Calibri"/>
          <w:b w:val="0"/>
          <w:caps w:val="0"/>
          <w:noProof w:val="0"/>
          <w:color w:val="000000"/>
          <w:spacing w:val="0"/>
          <w:sz w:val="24"/>
          <w:szCs w:val="22"/>
          <w:lang w:eastAsia="en-AU"/>
        </w:rPr>
        <w:id w:val="5388617"/>
        <w:docPartObj>
          <w:docPartGallery w:val="Cover Pages"/>
          <w:docPartUnique/>
        </w:docPartObj>
      </w:sdtPr>
      <w:sdtEndPr/>
      <w:sdtContent>
        <w:p w14:paraId="33B97254" w14:textId="4D7B77F0" w:rsidR="006C3DCD" w:rsidRPr="001C3137" w:rsidRDefault="00533628" w:rsidP="006C3DCD">
          <w:pPr>
            <w:pStyle w:val="BusinessUnitName"/>
            <w:framePr w:w="6124" w:h="284" w:hRule="exact" w:vSpace="1276" w:wrap="notBeside" w:vAnchor="page" w:hAnchor="margin" w:y="1135" w:anchorLock="1"/>
          </w:pPr>
          <w:r>
            <w:t>Land and Water</w:t>
          </w:r>
        </w:p>
        <w:p w14:paraId="3AA7A91C" w14:textId="7029AB9F" w:rsidR="006C3DCD" w:rsidRPr="008F64BD" w:rsidRDefault="00AB1978" w:rsidP="006C3DCD">
          <w:pPr>
            <w:pStyle w:val="CoverTitle"/>
          </w:pPr>
          <w:r>
            <w:rPr>
              <w:noProof/>
            </w:rPr>
            <mc:AlternateContent>
              <mc:Choice Requires="wpg">
                <w:drawing>
                  <wp:anchor distT="0" distB="0" distL="114300" distR="114300" simplePos="0" relativeHeight="251791360" behindDoc="1" locked="0" layoutInCell="1" allowOverlap="1" wp14:anchorId="4677796B" wp14:editId="4941FAB2">
                    <wp:simplePos x="0" y="0"/>
                    <wp:positionH relativeFrom="column">
                      <wp:posOffset>-1272540</wp:posOffset>
                    </wp:positionH>
                    <wp:positionV relativeFrom="paragraph">
                      <wp:posOffset>-1500505</wp:posOffset>
                    </wp:positionV>
                    <wp:extent cx="8454390" cy="7533005"/>
                    <wp:effectExtent l="0" t="1905" r="3810" b="8890"/>
                    <wp:wrapNone/>
                    <wp:docPr id="40" name="Group 755"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4390" cy="7533005"/>
                              <a:chOff x="-870" y="-1152"/>
                              <a:chExt cx="13314" cy="11863"/>
                            </a:xfrm>
                          </wpg:grpSpPr>
                          <wps:wsp>
                            <wps:cNvPr id="41" name="Freeform 756" descr="background" title="Decorative image"/>
                            <wps:cNvSpPr>
                              <a:spLocks noChangeAspect="1"/>
                            </wps:cNvSpPr>
                            <wps:spPr bwMode="auto">
                              <a:xfrm>
                                <a:off x="-845" y="-1152"/>
                                <a:ext cx="13289" cy="11850"/>
                              </a:xfrm>
                              <a:custGeom>
                                <a:avLst/>
                                <a:gdLst>
                                  <a:gd name="T0" fmla="*/ 0 w 2447"/>
                                  <a:gd name="T1" fmla="*/ 0 h 2181"/>
                                  <a:gd name="T2" fmla="*/ 2447 w 2447"/>
                                  <a:gd name="T3" fmla="*/ 0 h 2181"/>
                                  <a:gd name="T4" fmla="*/ 2447 w 2447"/>
                                  <a:gd name="T5" fmla="*/ 2181 h 2181"/>
                                  <a:gd name="T6" fmla="*/ 2281 w 2447"/>
                                  <a:gd name="T7" fmla="*/ 2181 h 2181"/>
                                  <a:gd name="T8" fmla="*/ 1810 w 2447"/>
                                  <a:gd name="T9" fmla="*/ 2026 h 2181"/>
                                  <a:gd name="T10" fmla="*/ 1357 w 2447"/>
                                  <a:gd name="T11" fmla="*/ 1909 h 2181"/>
                                  <a:gd name="T12" fmla="*/ 0 w 2447"/>
                                  <a:gd name="T13" fmla="*/ 1909 h 2181"/>
                                  <a:gd name="T14" fmla="*/ 0 w 2447"/>
                                  <a:gd name="T15" fmla="*/ 0 h 2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47" h="2181">
                                    <a:moveTo>
                                      <a:pt x="0" y="0"/>
                                    </a:moveTo>
                                    <a:cubicBezTo>
                                      <a:pt x="2447" y="0"/>
                                      <a:pt x="2447" y="0"/>
                                      <a:pt x="2447" y="0"/>
                                    </a:cubicBezTo>
                                    <a:cubicBezTo>
                                      <a:pt x="2447" y="2181"/>
                                      <a:pt x="2447" y="2181"/>
                                      <a:pt x="2447" y="2181"/>
                                    </a:cubicBezTo>
                                    <a:cubicBezTo>
                                      <a:pt x="2447" y="2181"/>
                                      <a:pt x="2339" y="2181"/>
                                      <a:pt x="2281" y="2181"/>
                                    </a:cubicBezTo>
                                    <a:cubicBezTo>
                                      <a:pt x="2040" y="2181"/>
                                      <a:pt x="1939" y="2098"/>
                                      <a:pt x="1810" y="2026"/>
                                    </a:cubicBezTo>
                                    <a:cubicBezTo>
                                      <a:pt x="1701" y="1963"/>
                                      <a:pt x="1551" y="1909"/>
                                      <a:pt x="1357" y="1909"/>
                                    </a:cubicBezTo>
                                    <a:cubicBezTo>
                                      <a:pt x="1148" y="1909"/>
                                      <a:pt x="0" y="1909"/>
                                      <a:pt x="0" y="1909"/>
                                    </a:cubicBezTo>
                                    <a:lnTo>
                                      <a:pt x="0"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757" descr="background"/>
                            <wps:cNvSpPr>
                              <a:spLocks noEditPoints="1"/>
                            </wps:cNvSpPr>
                            <wps:spPr bwMode="auto">
                              <a:xfrm>
                                <a:off x="-870" y="8216"/>
                                <a:ext cx="13297" cy="2495"/>
                              </a:xfrm>
                              <a:custGeom>
                                <a:avLst/>
                                <a:gdLst>
                                  <a:gd name="T0" fmla="*/ 1655 w 2447"/>
                                  <a:gd name="T1" fmla="*/ 228 h 456"/>
                                  <a:gd name="T2" fmla="*/ 1811 w 2447"/>
                                  <a:gd name="T3" fmla="*/ 298 h 456"/>
                                  <a:gd name="T4" fmla="*/ 1897 w 2447"/>
                                  <a:gd name="T5" fmla="*/ 171 h 456"/>
                                  <a:gd name="T6" fmla="*/ 1897 w 2447"/>
                                  <a:gd name="T7" fmla="*/ 258 h 456"/>
                                  <a:gd name="T8" fmla="*/ 1810 w 2447"/>
                                  <a:gd name="T9" fmla="*/ 120 h 456"/>
                                  <a:gd name="T10" fmla="*/ 1655 w 2447"/>
                                  <a:gd name="T11" fmla="*/ 138 h 456"/>
                                  <a:gd name="T12" fmla="*/ 1811 w 2447"/>
                                  <a:gd name="T13" fmla="*/ 116 h 456"/>
                                  <a:gd name="T14" fmla="*/ 600 w 2447"/>
                                  <a:gd name="T15" fmla="*/ 0 h 456"/>
                                  <a:gd name="T16" fmla="*/ 13 w 2447"/>
                                  <a:gd name="T17" fmla="*/ 0 h 456"/>
                                  <a:gd name="T18" fmla="*/ 4 w 2447"/>
                                  <a:gd name="T19" fmla="*/ 3 h 456"/>
                                  <a:gd name="T20" fmla="*/ 1357 w 2447"/>
                                  <a:gd name="T21" fmla="*/ 3 h 456"/>
                                  <a:gd name="T22" fmla="*/ 1357 w 2447"/>
                                  <a:gd name="T23" fmla="*/ 91 h 456"/>
                                  <a:gd name="T24" fmla="*/ 183 w 2447"/>
                                  <a:gd name="T25" fmla="*/ 91 h 456"/>
                                  <a:gd name="T26" fmla="*/ 0 w 2447"/>
                                  <a:gd name="T27" fmla="*/ 91 h 456"/>
                                  <a:gd name="T28" fmla="*/ 1357 w 2447"/>
                                  <a:gd name="T29" fmla="*/ 94 h 456"/>
                                  <a:gd name="T30" fmla="*/ 1527 w 2447"/>
                                  <a:gd name="T31" fmla="*/ 136 h 456"/>
                                  <a:gd name="T32" fmla="*/ 57 w 2447"/>
                                  <a:gd name="T33" fmla="*/ 136 h 456"/>
                                  <a:gd name="T34" fmla="*/ 0 w 2447"/>
                                  <a:gd name="T35" fmla="*/ 139 h 456"/>
                                  <a:gd name="T36" fmla="*/ 1646 w 2447"/>
                                  <a:gd name="T37" fmla="*/ 138 h 456"/>
                                  <a:gd name="T38" fmla="*/ 1357 w 2447"/>
                                  <a:gd name="T39" fmla="*/ 181 h 456"/>
                                  <a:gd name="T40" fmla="*/ 183 w 2447"/>
                                  <a:gd name="T41" fmla="*/ 181 h 456"/>
                                  <a:gd name="T42" fmla="*/ 0 w 2447"/>
                                  <a:gd name="T43" fmla="*/ 181 h 456"/>
                                  <a:gd name="T44" fmla="*/ 1357 w 2447"/>
                                  <a:gd name="T45" fmla="*/ 184 h 456"/>
                                  <a:gd name="T46" fmla="*/ 1527 w 2447"/>
                                  <a:gd name="T47" fmla="*/ 227 h 456"/>
                                  <a:gd name="T48" fmla="*/ 57 w 2447"/>
                                  <a:gd name="T49" fmla="*/ 227 h 456"/>
                                  <a:gd name="T50" fmla="*/ 0 w 2447"/>
                                  <a:gd name="T51" fmla="*/ 230 h 456"/>
                                  <a:gd name="T52" fmla="*/ 1646 w 2447"/>
                                  <a:gd name="T53" fmla="*/ 229 h 456"/>
                                  <a:gd name="T54" fmla="*/ 1527 w 2447"/>
                                  <a:gd name="T55" fmla="*/ 317 h 456"/>
                                  <a:gd name="T56" fmla="*/ 57 w 2447"/>
                                  <a:gd name="T57" fmla="*/ 317 h 456"/>
                                  <a:gd name="T58" fmla="*/ 0 w 2447"/>
                                  <a:gd name="T59" fmla="*/ 320 h 456"/>
                                  <a:gd name="T60" fmla="*/ 1810 w 2447"/>
                                  <a:gd name="T61" fmla="*/ 301 h 456"/>
                                  <a:gd name="T62" fmla="*/ 2447 w 2447"/>
                                  <a:gd name="T63" fmla="*/ 456 h 456"/>
                                  <a:gd name="T64" fmla="*/ 2281 w 2447"/>
                                  <a:gd name="T65" fmla="*/ 453 h 456"/>
                                  <a:gd name="T66" fmla="*/ 2281 w 2447"/>
                                  <a:gd name="T67" fmla="*/ 366 h 456"/>
                                  <a:gd name="T68" fmla="*/ 2447 w 2447"/>
                                  <a:gd name="T69" fmla="*/ 363 h 456"/>
                                  <a:gd name="T70" fmla="*/ 1900 w 2447"/>
                                  <a:gd name="T71" fmla="*/ 260 h 456"/>
                                  <a:gd name="T72" fmla="*/ 2281 w 2447"/>
                                  <a:gd name="T73" fmla="*/ 275 h 456"/>
                                  <a:gd name="T74" fmla="*/ 2447 w 2447"/>
                                  <a:gd name="T75" fmla="*/ 272 h 456"/>
                                  <a:gd name="T76" fmla="*/ 2002 w 2447"/>
                                  <a:gd name="T77" fmla="*/ 221 h 456"/>
                                  <a:gd name="T78" fmla="*/ 2447 w 2447"/>
                                  <a:gd name="T79" fmla="*/ 181 h 456"/>
                                  <a:gd name="T80" fmla="*/ 1900 w 2447"/>
                                  <a:gd name="T81" fmla="*/ 169 h 456"/>
                                  <a:gd name="T82" fmla="*/ 2447 w 2447"/>
                                  <a:gd name="T83" fmla="*/ 94 h 456"/>
                                  <a:gd name="T84" fmla="*/ 1969 w 2447"/>
                                  <a:gd name="T85" fmla="*/ 138 h 456"/>
                                  <a:gd name="T86" fmla="*/ 1970 w 2447"/>
                                  <a:gd name="T87" fmla="*/ 50 h 456"/>
                                  <a:gd name="T88" fmla="*/ 2447 w 2447"/>
                                  <a:gd name="T89"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447" h="456">
                                    <a:moveTo>
                                      <a:pt x="2447" y="453"/>
                                    </a:moveTo>
                                    <a:cubicBezTo>
                                      <a:pt x="2447" y="453"/>
                                      <a:pt x="2447" y="453"/>
                                      <a:pt x="2447" y="453"/>
                                    </a:cubicBezTo>
                                    <a:moveTo>
                                      <a:pt x="1655" y="228"/>
                                    </a:moveTo>
                                    <a:cubicBezTo>
                                      <a:pt x="1743" y="226"/>
                                      <a:pt x="1782" y="221"/>
                                      <a:pt x="1810" y="211"/>
                                    </a:cubicBezTo>
                                    <a:cubicBezTo>
                                      <a:pt x="1839" y="227"/>
                                      <a:pt x="1866" y="243"/>
                                      <a:pt x="1893" y="259"/>
                                    </a:cubicBezTo>
                                    <a:cubicBezTo>
                                      <a:pt x="1860" y="275"/>
                                      <a:pt x="1834" y="289"/>
                                      <a:pt x="1811" y="298"/>
                                    </a:cubicBezTo>
                                    <a:cubicBezTo>
                                      <a:pt x="1766" y="272"/>
                                      <a:pt x="1714" y="248"/>
                                      <a:pt x="1655" y="228"/>
                                    </a:cubicBezTo>
                                    <a:moveTo>
                                      <a:pt x="1814" y="209"/>
                                    </a:moveTo>
                                    <a:cubicBezTo>
                                      <a:pt x="1838" y="200"/>
                                      <a:pt x="1864" y="186"/>
                                      <a:pt x="1897" y="171"/>
                                    </a:cubicBezTo>
                                    <a:cubicBezTo>
                                      <a:pt x="1927" y="188"/>
                                      <a:pt x="1959" y="205"/>
                                      <a:pt x="1993" y="220"/>
                                    </a:cubicBezTo>
                                    <a:cubicBezTo>
                                      <a:pt x="1985" y="223"/>
                                      <a:pt x="1977" y="226"/>
                                      <a:pt x="1969" y="228"/>
                                    </a:cubicBezTo>
                                    <a:cubicBezTo>
                                      <a:pt x="1942" y="238"/>
                                      <a:pt x="1918" y="248"/>
                                      <a:pt x="1897" y="258"/>
                                    </a:cubicBezTo>
                                    <a:cubicBezTo>
                                      <a:pt x="1869" y="242"/>
                                      <a:pt x="1842" y="225"/>
                                      <a:pt x="1814" y="209"/>
                                    </a:cubicBezTo>
                                    <a:moveTo>
                                      <a:pt x="1655" y="138"/>
                                    </a:moveTo>
                                    <a:cubicBezTo>
                                      <a:pt x="1743" y="136"/>
                                      <a:pt x="1782" y="130"/>
                                      <a:pt x="1810" y="120"/>
                                    </a:cubicBezTo>
                                    <a:cubicBezTo>
                                      <a:pt x="1839" y="136"/>
                                      <a:pt x="1866" y="153"/>
                                      <a:pt x="1893" y="169"/>
                                    </a:cubicBezTo>
                                    <a:cubicBezTo>
                                      <a:pt x="1860" y="184"/>
                                      <a:pt x="1834" y="198"/>
                                      <a:pt x="1811" y="207"/>
                                    </a:cubicBezTo>
                                    <a:cubicBezTo>
                                      <a:pt x="1766" y="182"/>
                                      <a:pt x="1714" y="157"/>
                                      <a:pt x="1655" y="138"/>
                                    </a:cubicBezTo>
                                    <a:moveTo>
                                      <a:pt x="2287" y="0"/>
                                    </a:moveTo>
                                    <a:cubicBezTo>
                                      <a:pt x="2142" y="0"/>
                                      <a:pt x="2042" y="21"/>
                                      <a:pt x="1969" y="47"/>
                                    </a:cubicBezTo>
                                    <a:cubicBezTo>
                                      <a:pt x="1897" y="72"/>
                                      <a:pt x="1850" y="101"/>
                                      <a:pt x="1811" y="116"/>
                                    </a:cubicBezTo>
                                    <a:cubicBezTo>
                                      <a:pt x="1701" y="54"/>
                                      <a:pt x="1551" y="0"/>
                                      <a:pt x="1357" y="0"/>
                                    </a:cubicBezTo>
                                    <a:cubicBezTo>
                                      <a:pt x="1357" y="0"/>
                                      <a:pt x="1357" y="0"/>
                                      <a:pt x="1357" y="0"/>
                                    </a:cubicBezTo>
                                    <a:cubicBezTo>
                                      <a:pt x="1252" y="0"/>
                                      <a:pt x="913" y="0"/>
                                      <a:pt x="600" y="0"/>
                                    </a:cubicBezTo>
                                    <a:cubicBezTo>
                                      <a:pt x="444" y="0"/>
                                      <a:pt x="294" y="0"/>
                                      <a:pt x="183" y="0"/>
                                    </a:cubicBezTo>
                                    <a:cubicBezTo>
                                      <a:pt x="128" y="0"/>
                                      <a:pt x="82" y="0"/>
                                      <a:pt x="50" y="0"/>
                                    </a:cubicBezTo>
                                    <a:cubicBezTo>
                                      <a:pt x="34" y="0"/>
                                      <a:pt x="22" y="0"/>
                                      <a:pt x="13" y="0"/>
                                    </a:cubicBezTo>
                                    <a:cubicBezTo>
                                      <a:pt x="5" y="0"/>
                                      <a:pt x="0" y="0"/>
                                      <a:pt x="0" y="0"/>
                                    </a:cubicBezTo>
                                    <a:cubicBezTo>
                                      <a:pt x="0" y="3"/>
                                      <a:pt x="0" y="3"/>
                                      <a:pt x="0" y="3"/>
                                    </a:cubicBezTo>
                                    <a:cubicBezTo>
                                      <a:pt x="0" y="3"/>
                                      <a:pt x="2" y="3"/>
                                      <a:pt x="4" y="3"/>
                                    </a:cubicBezTo>
                                    <a:cubicBezTo>
                                      <a:pt x="6" y="3"/>
                                      <a:pt x="9" y="3"/>
                                      <a:pt x="13" y="3"/>
                                    </a:cubicBezTo>
                                    <a:cubicBezTo>
                                      <a:pt x="77" y="3"/>
                                      <a:pt x="364" y="3"/>
                                      <a:pt x="659" y="3"/>
                                    </a:cubicBezTo>
                                    <a:cubicBezTo>
                                      <a:pt x="955" y="3"/>
                                      <a:pt x="1259" y="3"/>
                                      <a:pt x="1357" y="3"/>
                                    </a:cubicBezTo>
                                    <a:cubicBezTo>
                                      <a:pt x="1549" y="3"/>
                                      <a:pt x="1698" y="56"/>
                                      <a:pt x="1807" y="118"/>
                                    </a:cubicBezTo>
                                    <a:cubicBezTo>
                                      <a:pt x="1778" y="128"/>
                                      <a:pt x="1738" y="133"/>
                                      <a:pt x="1646" y="135"/>
                                    </a:cubicBezTo>
                                    <a:cubicBezTo>
                                      <a:pt x="1564" y="108"/>
                                      <a:pt x="1467" y="91"/>
                                      <a:pt x="1357" y="91"/>
                                    </a:cubicBezTo>
                                    <a:cubicBezTo>
                                      <a:pt x="1357" y="91"/>
                                      <a:pt x="1357" y="91"/>
                                      <a:pt x="1357" y="91"/>
                                    </a:cubicBezTo>
                                    <a:cubicBezTo>
                                      <a:pt x="1252" y="91"/>
                                      <a:pt x="913" y="91"/>
                                      <a:pt x="600" y="91"/>
                                    </a:cubicBezTo>
                                    <a:cubicBezTo>
                                      <a:pt x="444" y="91"/>
                                      <a:pt x="294" y="91"/>
                                      <a:pt x="183" y="91"/>
                                    </a:cubicBezTo>
                                    <a:cubicBezTo>
                                      <a:pt x="128" y="91"/>
                                      <a:pt x="82" y="91"/>
                                      <a:pt x="50" y="91"/>
                                    </a:cubicBezTo>
                                    <a:cubicBezTo>
                                      <a:pt x="34" y="91"/>
                                      <a:pt x="22" y="91"/>
                                      <a:pt x="13" y="91"/>
                                    </a:cubicBezTo>
                                    <a:cubicBezTo>
                                      <a:pt x="5" y="91"/>
                                      <a:pt x="0" y="91"/>
                                      <a:pt x="0" y="91"/>
                                    </a:cubicBezTo>
                                    <a:cubicBezTo>
                                      <a:pt x="0" y="94"/>
                                      <a:pt x="0" y="94"/>
                                      <a:pt x="0" y="94"/>
                                    </a:cubicBezTo>
                                    <a:cubicBezTo>
                                      <a:pt x="0" y="94"/>
                                      <a:pt x="5" y="94"/>
                                      <a:pt x="13" y="94"/>
                                    </a:cubicBezTo>
                                    <a:cubicBezTo>
                                      <a:pt x="140" y="94"/>
                                      <a:pt x="1161" y="94"/>
                                      <a:pt x="1357" y="94"/>
                                    </a:cubicBezTo>
                                    <a:cubicBezTo>
                                      <a:pt x="1463" y="94"/>
                                      <a:pt x="1556" y="110"/>
                                      <a:pt x="1637" y="135"/>
                                    </a:cubicBezTo>
                                    <a:cubicBezTo>
                                      <a:pt x="1606" y="136"/>
                                      <a:pt x="1571" y="136"/>
                                      <a:pt x="1528" y="136"/>
                                    </a:cubicBezTo>
                                    <a:cubicBezTo>
                                      <a:pt x="1528" y="136"/>
                                      <a:pt x="1527" y="136"/>
                                      <a:pt x="1527" y="136"/>
                                    </a:cubicBezTo>
                                    <a:cubicBezTo>
                                      <a:pt x="1423" y="136"/>
                                      <a:pt x="1041" y="136"/>
                                      <a:pt x="685" y="136"/>
                                    </a:cubicBezTo>
                                    <a:cubicBezTo>
                                      <a:pt x="508" y="136"/>
                                      <a:pt x="336" y="136"/>
                                      <a:pt x="210" y="136"/>
                                    </a:cubicBezTo>
                                    <a:cubicBezTo>
                                      <a:pt x="146" y="136"/>
                                      <a:pt x="94" y="136"/>
                                      <a:pt x="57" y="136"/>
                                    </a:cubicBezTo>
                                    <a:cubicBezTo>
                                      <a:pt x="39" y="136"/>
                                      <a:pt x="25" y="136"/>
                                      <a:pt x="15" y="136"/>
                                    </a:cubicBezTo>
                                    <a:cubicBezTo>
                                      <a:pt x="6" y="136"/>
                                      <a:pt x="0" y="136"/>
                                      <a:pt x="0" y="136"/>
                                    </a:cubicBezTo>
                                    <a:cubicBezTo>
                                      <a:pt x="0" y="139"/>
                                      <a:pt x="0" y="139"/>
                                      <a:pt x="0" y="139"/>
                                    </a:cubicBezTo>
                                    <a:cubicBezTo>
                                      <a:pt x="0" y="139"/>
                                      <a:pt x="330" y="139"/>
                                      <a:pt x="685" y="139"/>
                                    </a:cubicBezTo>
                                    <a:cubicBezTo>
                                      <a:pt x="1041" y="139"/>
                                      <a:pt x="1423" y="139"/>
                                      <a:pt x="1527" y="139"/>
                                    </a:cubicBezTo>
                                    <a:cubicBezTo>
                                      <a:pt x="1574" y="139"/>
                                      <a:pt x="1613" y="139"/>
                                      <a:pt x="1646" y="138"/>
                                    </a:cubicBezTo>
                                    <a:cubicBezTo>
                                      <a:pt x="1707" y="158"/>
                                      <a:pt x="1761" y="182"/>
                                      <a:pt x="1807" y="209"/>
                                    </a:cubicBezTo>
                                    <a:cubicBezTo>
                                      <a:pt x="1778" y="219"/>
                                      <a:pt x="1738" y="224"/>
                                      <a:pt x="1646" y="226"/>
                                    </a:cubicBezTo>
                                    <a:cubicBezTo>
                                      <a:pt x="1564" y="199"/>
                                      <a:pt x="1467" y="181"/>
                                      <a:pt x="1357" y="181"/>
                                    </a:cubicBezTo>
                                    <a:cubicBezTo>
                                      <a:pt x="1357" y="181"/>
                                      <a:pt x="1357" y="181"/>
                                      <a:pt x="1357" y="181"/>
                                    </a:cubicBezTo>
                                    <a:cubicBezTo>
                                      <a:pt x="1252" y="181"/>
                                      <a:pt x="913" y="181"/>
                                      <a:pt x="600" y="181"/>
                                    </a:cubicBezTo>
                                    <a:cubicBezTo>
                                      <a:pt x="444" y="181"/>
                                      <a:pt x="294" y="181"/>
                                      <a:pt x="183" y="181"/>
                                    </a:cubicBezTo>
                                    <a:cubicBezTo>
                                      <a:pt x="128" y="181"/>
                                      <a:pt x="82" y="181"/>
                                      <a:pt x="50" y="181"/>
                                    </a:cubicBezTo>
                                    <a:cubicBezTo>
                                      <a:pt x="34" y="181"/>
                                      <a:pt x="22" y="181"/>
                                      <a:pt x="13" y="181"/>
                                    </a:cubicBezTo>
                                    <a:cubicBezTo>
                                      <a:pt x="5" y="181"/>
                                      <a:pt x="0" y="181"/>
                                      <a:pt x="0" y="181"/>
                                    </a:cubicBezTo>
                                    <a:cubicBezTo>
                                      <a:pt x="0" y="184"/>
                                      <a:pt x="0" y="184"/>
                                      <a:pt x="0" y="184"/>
                                    </a:cubicBezTo>
                                    <a:cubicBezTo>
                                      <a:pt x="0" y="184"/>
                                      <a:pt x="5" y="184"/>
                                      <a:pt x="13" y="184"/>
                                    </a:cubicBezTo>
                                    <a:cubicBezTo>
                                      <a:pt x="140" y="184"/>
                                      <a:pt x="1161" y="184"/>
                                      <a:pt x="1357" y="184"/>
                                    </a:cubicBezTo>
                                    <a:cubicBezTo>
                                      <a:pt x="1463" y="184"/>
                                      <a:pt x="1556" y="201"/>
                                      <a:pt x="1637" y="226"/>
                                    </a:cubicBezTo>
                                    <a:cubicBezTo>
                                      <a:pt x="1606" y="226"/>
                                      <a:pt x="1570" y="227"/>
                                      <a:pt x="1528" y="227"/>
                                    </a:cubicBezTo>
                                    <a:cubicBezTo>
                                      <a:pt x="1528" y="227"/>
                                      <a:pt x="1527" y="227"/>
                                      <a:pt x="1527" y="227"/>
                                    </a:cubicBezTo>
                                    <a:cubicBezTo>
                                      <a:pt x="1423" y="227"/>
                                      <a:pt x="1041" y="227"/>
                                      <a:pt x="685" y="227"/>
                                    </a:cubicBezTo>
                                    <a:cubicBezTo>
                                      <a:pt x="508" y="227"/>
                                      <a:pt x="336" y="227"/>
                                      <a:pt x="210" y="227"/>
                                    </a:cubicBezTo>
                                    <a:cubicBezTo>
                                      <a:pt x="146" y="227"/>
                                      <a:pt x="94" y="227"/>
                                      <a:pt x="57" y="227"/>
                                    </a:cubicBezTo>
                                    <a:cubicBezTo>
                                      <a:pt x="39" y="227"/>
                                      <a:pt x="25" y="227"/>
                                      <a:pt x="15" y="227"/>
                                    </a:cubicBezTo>
                                    <a:cubicBezTo>
                                      <a:pt x="6" y="227"/>
                                      <a:pt x="0" y="227"/>
                                      <a:pt x="0" y="227"/>
                                    </a:cubicBezTo>
                                    <a:cubicBezTo>
                                      <a:pt x="0" y="230"/>
                                      <a:pt x="0" y="230"/>
                                      <a:pt x="0" y="230"/>
                                    </a:cubicBezTo>
                                    <a:cubicBezTo>
                                      <a:pt x="0" y="230"/>
                                      <a:pt x="0" y="230"/>
                                      <a:pt x="0" y="230"/>
                                    </a:cubicBezTo>
                                    <a:cubicBezTo>
                                      <a:pt x="0" y="230"/>
                                      <a:pt x="1318" y="230"/>
                                      <a:pt x="1527" y="230"/>
                                    </a:cubicBezTo>
                                    <a:cubicBezTo>
                                      <a:pt x="1574" y="230"/>
                                      <a:pt x="1613" y="229"/>
                                      <a:pt x="1646" y="229"/>
                                    </a:cubicBezTo>
                                    <a:cubicBezTo>
                                      <a:pt x="1707" y="248"/>
                                      <a:pt x="1761" y="273"/>
                                      <a:pt x="1807" y="299"/>
                                    </a:cubicBezTo>
                                    <a:cubicBezTo>
                                      <a:pt x="1768" y="313"/>
                                      <a:pt x="1707" y="317"/>
                                      <a:pt x="1528" y="317"/>
                                    </a:cubicBezTo>
                                    <a:cubicBezTo>
                                      <a:pt x="1528" y="317"/>
                                      <a:pt x="1527" y="317"/>
                                      <a:pt x="1527" y="317"/>
                                    </a:cubicBezTo>
                                    <a:cubicBezTo>
                                      <a:pt x="1423" y="317"/>
                                      <a:pt x="1041" y="317"/>
                                      <a:pt x="685" y="317"/>
                                    </a:cubicBezTo>
                                    <a:cubicBezTo>
                                      <a:pt x="508" y="317"/>
                                      <a:pt x="336" y="317"/>
                                      <a:pt x="210" y="317"/>
                                    </a:cubicBezTo>
                                    <a:cubicBezTo>
                                      <a:pt x="146" y="317"/>
                                      <a:pt x="94" y="317"/>
                                      <a:pt x="57" y="317"/>
                                    </a:cubicBezTo>
                                    <a:cubicBezTo>
                                      <a:pt x="39" y="317"/>
                                      <a:pt x="25" y="317"/>
                                      <a:pt x="15" y="317"/>
                                    </a:cubicBezTo>
                                    <a:cubicBezTo>
                                      <a:pt x="6" y="317"/>
                                      <a:pt x="0" y="317"/>
                                      <a:pt x="0" y="317"/>
                                    </a:cubicBezTo>
                                    <a:cubicBezTo>
                                      <a:pt x="0" y="320"/>
                                      <a:pt x="0" y="320"/>
                                      <a:pt x="0" y="320"/>
                                    </a:cubicBezTo>
                                    <a:cubicBezTo>
                                      <a:pt x="0" y="320"/>
                                      <a:pt x="0" y="320"/>
                                      <a:pt x="0" y="320"/>
                                    </a:cubicBezTo>
                                    <a:cubicBezTo>
                                      <a:pt x="0" y="320"/>
                                      <a:pt x="1318" y="320"/>
                                      <a:pt x="1527" y="320"/>
                                    </a:cubicBezTo>
                                    <a:cubicBezTo>
                                      <a:pt x="1710" y="320"/>
                                      <a:pt x="1771" y="316"/>
                                      <a:pt x="1810" y="301"/>
                                    </a:cubicBezTo>
                                    <a:cubicBezTo>
                                      <a:pt x="1938" y="374"/>
                                      <a:pt x="2040" y="456"/>
                                      <a:pt x="2281" y="456"/>
                                    </a:cubicBezTo>
                                    <a:cubicBezTo>
                                      <a:pt x="2281" y="456"/>
                                      <a:pt x="2281" y="456"/>
                                      <a:pt x="2281" y="456"/>
                                    </a:cubicBezTo>
                                    <a:cubicBezTo>
                                      <a:pt x="2339" y="456"/>
                                      <a:pt x="2447" y="456"/>
                                      <a:pt x="2447" y="456"/>
                                    </a:cubicBezTo>
                                    <a:cubicBezTo>
                                      <a:pt x="2447" y="453"/>
                                      <a:pt x="2447" y="453"/>
                                      <a:pt x="2447" y="453"/>
                                    </a:cubicBezTo>
                                    <a:cubicBezTo>
                                      <a:pt x="2447" y="453"/>
                                      <a:pt x="2447" y="453"/>
                                      <a:pt x="2447" y="453"/>
                                    </a:cubicBezTo>
                                    <a:cubicBezTo>
                                      <a:pt x="2447" y="453"/>
                                      <a:pt x="2339" y="453"/>
                                      <a:pt x="2281" y="453"/>
                                    </a:cubicBezTo>
                                    <a:cubicBezTo>
                                      <a:pt x="2042" y="453"/>
                                      <a:pt x="1941" y="372"/>
                                      <a:pt x="1814" y="300"/>
                                    </a:cubicBezTo>
                                    <a:cubicBezTo>
                                      <a:pt x="1838" y="290"/>
                                      <a:pt x="1864" y="276"/>
                                      <a:pt x="1897" y="261"/>
                                    </a:cubicBezTo>
                                    <a:cubicBezTo>
                                      <a:pt x="1992" y="317"/>
                                      <a:pt x="2095" y="366"/>
                                      <a:pt x="2281" y="366"/>
                                    </a:cubicBezTo>
                                    <a:cubicBezTo>
                                      <a:pt x="2281" y="366"/>
                                      <a:pt x="2281" y="366"/>
                                      <a:pt x="2281" y="366"/>
                                    </a:cubicBezTo>
                                    <a:cubicBezTo>
                                      <a:pt x="2339" y="366"/>
                                      <a:pt x="2447" y="366"/>
                                      <a:pt x="2447" y="366"/>
                                    </a:cubicBezTo>
                                    <a:cubicBezTo>
                                      <a:pt x="2447" y="363"/>
                                      <a:pt x="2447" y="363"/>
                                      <a:pt x="2447" y="363"/>
                                    </a:cubicBezTo>
                                    <a:cubicBezTo>
                                      <a:pt x="2447" y="363"/>
                                      <a:pt x="2447" y="363"/>
                                      <a:pt x="2447" y="363"/>
                                    </a:cubicBezTo>
                                    <a:cubicBezTo>
                                      <a:pt x="2447" y="363"/>
                                      <a:pt x="2339" y="363"/>
                                      <a:pt x="2281" y="363"/>
                                    </a:cubicBezTo>
                                    <a:cubicBezTo>
                                      <a:pt x="2097" y="363"/>
                                      <a:pt x="1995" y="315"/>
                                      <a:pt x="1900" y="260"/>
                                    </a:cubicBezTo>
                                    <a:cubicBezTo>
                                      <a:pt x="1920" y="250"/>
                                      <a:pt x="1944" y="240"/>
                                      <a:pt x="1970" y="231"/>
                                    </a:cubicBezTo>
                                    <a:cubicBezTo>
                                      <a:pt x="1979" y="228"/>
                                      <a:pt x="1988" y="225"/>
                                      <a:pt x="1997" y="222"/>
                                    </a:cubicBezTo>
                                    <a:cubicBezTo>
                                      <a:pt x="2070" y="253"/>
                                      <a:pt x="2157" y="275"/>
                                      <a:pt x="2281" y="275"/>
                                    </a:cubicBezTo>
                                    <a:cubicBezTo>
                                      <a:pt x="2281" y="275"/>
                                      <a:pt x="2281" y="275"/>
                                      <a:pt x="2281" y="275"/>
                                    </a:cubicBezTo>
                                    <a:cubicBezTo>
                                      <a:pt x="2339" y="275"/>
                                      <a:pt x="2447" y="275"/>
                                      <a:pt x="2447" y="275"/>
                                    </a:cubicBezTo>
                                    <a:cubicBezTo>
                                      <a:pt x="2447" y="272"/>
                                      <a:pt x="2447" y="272"/>
                                      <a:pt x="2447" y="272"/>
                                    </a:cubicBezTo>
                                    <a:cubicBezTo>
                                      <a:pt x="2447" y="272"/>
                                      <a:pt x="2447" y="272"/>
                                      <a:pt x="2447" y="272"/>
                                    </a:cubicBezTo>
                                    <a:cubicBezTo>
                                      <a:pt x="2447" y="272"/>
                                      <a:pt x="2339" y="272"/>
                                      <a:pt x="2281" y="272"/>
                                    </a:cubicBezTo>
                                    <a:cubicBezTo>
                                      <a:pt x="2159" y="272"/>
                                      <a:pt x="2074" y="251"/>
                                      <a:pt x="2002" y="221"/>
                                    </a:cubicBezTo>
                                    <a:cubicBezTo>
                                      <a:pt x="2071" y="200"/>
                                      <a:pt x="2162" y="184"/>
                                      <a:pt x="2287" y="184"/>
                                    </a:cubicBezTo>
                                    <a:cubicBezTo>
                                      <a:pt x="2334" y="184"/>
                                      <a:pt x="2447" y="184"/>
                                      <a:pt x="2447" y="184"/>
                                    </a:cubicBezTo>
                                    <a:cubicBezTo>
                                      <a:pt x="2447" y="181"/>
                                      <a:pt x="2447" y="181"/>
                                      <a:pt x="2447" y="181"/>
                                    </a:cubicBezTo>
                                    <a:cubicBezTo>
                                      <a:pt x="2447" y="181"/>
                                      <a:pt x="2334" y="181"/>
                                      <a:pt x="2287" y="181"/>
                                    </a:cubicBezTo>
                                    <a:cubicBezTo>
                                      <a:pt x="2160" y="181"/>
                                      <a:pt x="2068" y="198"/>
                                      <a:pt x="1998" y="219"/>
                                    </a:cubicBezTo>
                                    <a:cubicBezTo>
                                      <a:pt x="1963" y="204"/>
                                      <a:pt x="1931" y="187"/>
                                      <a:pt x="1900" y="169"/>
                                    </a:cubicBezTo>
                                    <a:cubicBezTo>
                                      <a:pt x="1920" y="160"/>
                                      <a:pt x="1944" y="150"/>
                                      <a:pt x="1970" y="140"/>
                                    </a:cubicBezTo>
                                    <a:cubicBezTo>
                                      <a:pt x="2043" y="115"/>
                                      <a:pt x="2142" y="94"/>
                                      <a:pt x="2287" y="94"/>
                                    </a:cubicBezTo>
                                    <a:cubicBezTo>
                                      <a:pt x="2334" y="94"/>
                                      <a:pt x="2447" y="94"/>
                                      <a:pt x="2447" y="94"/>
                                    </a:cubicBezTo>
                                    <a:cubicBezTo>
                                      <a:pt x="2447" y="91"/>
                                      <a:pt x="2447" y="91"/>
                                      <a:pt x="2447" y="91"/>
                                    </a:cubicBezTo>
                                    <a:cubicBezTo>
                                      <a:pt x="2447" y="91"/>
                                      <a:pt x="2334" y="91"/>
                                      <a:pt x="2287" y="91"/>
                                    </a:cubicBezTo>
                                    <a:cubicBezTo>
                                      <a:pt x="2142" y="91"/>
                                      <a:pt x="2042" y="112"/>
                                      <a:pt x="1969" y="138"/>
                                    </a:cubicBezTo>
                                    <a:cubicBezTo>
                                      <a:pt x="1942" y="147"/>
                                      <a:pt x="1918" y="157"/>
                                      <a:pt x="1897" y="167"/>
                                    </a:cubicBezTo>
                                    <a:cubicBezTo>
                                      <a:pt x="1869" y="151"/>
                                      <a:pt x="1842" y="135"/>
                                      <a:pt x="1814" y="118"/>
                                    </a:cubicBezTo>
                                    <a:cubicBezTo>
                                      <a:pt x="1853" y="103"/>
                                      <a:pt x="1899" y="74"/>
                                      <a:pt x="1970" y="50"/>
                                    </a:cubicBezTo>
                                    <a:cubicBezTo>
                                      <a:pt x="2043" y="24"/>
                                      <a:pt x="2142" y="3"/>
                                      <a:pt x="2287" y="3"/>
                                    </a:cubicBezTo>
                                    <a:cubicBezTo>
                                      <a:pt x="2334" y="3"/>
                                      <a:pt x="2447" y="3"/>
                                      <a:pt x="2447" y="3"/>
                                    </a:cubicBezTo>
                                    <a:cubicBezTo>
                                      <a:pt x="2447" y="0"/>
                                      <a:pt x="2447" y="0"/>
                                      <a:pt x="2447" y="0"/>
                                    </a:cubicBezTo>
                                    <a:cubicBezTo>
                                      <a:pt x="2447" y="0"/>
                                      <a:pt x="2334" y="0"/>
                                      <a:pt x="2287" y="0"/>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9B63B4" id="Group 755" o:spid="_x0000_s1026" alt="background" style="position:absolute;margin-left:-100.2pt;margin-top:-118.15pt;width:665.7pt;height:593.15pt;z-index:-251525120" coordorigin="-870,-1152" coordsize="13314,1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">
                    <v:shape id="Freeform 756" o:spid="_x0000_s1027" alt="background" style="position:absolute;left:-845;top:-1152;width:13289;height:11850;visibility:visible;mso-wrap-style:square;v-text-anchor:top" coordsize="2447,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NsnsQA&#10;AADbAAAADwAAAGRycy9kb3ducmV2LnhtbESP3YrCMBSE7xd8h3AEb0RTF9dKNYq4uyAKij8PcGiO&#10;bbE5KU2s9e2NsLCXw8x8w8yXrSlFQ7UrLCsYDSMQxKnVBWcKLuffwRSE88gaS8uk4EkOlovOxxwT&#10;bR98pObkMxEg7BJUkHtfJVK6NCeDbmgr4uBdbW3QB1lnUtf4CHBTys8omkiDBYeFHCta55TeTnej&#10;YH/AOL00/W31Fe9+JnH/+W03a6V63XY1A+Gp9f/hv/ZGKxiP4P0l/AC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DbJ7EAAAA2wAAAA8AAAAAAAAAAAAAAAAAmAIAAGRycy9k&#10;b3ducmV2LnhtbFBLBQYAAAAABAAEAPUAAACJAwAAAAA=&#10;" path="m,c2447,,2447,,2447,v,2181,,2181,,2181c2447,2181,2339,2181,2281,2181v-241,,-342,-83,-471,-155c1701,1963,1551,1909,1357,1909v-209,,-1357,,-1357,l,xe" fillcolor="white [3212]" stroked="f">
                      <v:path arrowok="t" o:connecttype="custom" o:connectlocs="0,0;13289,0;13289,11850;12387,11850;9830,11008;7370,10372;0,10372;0,0" o:connectangles="0,0,0,0,0,0,0,0"/>
                      <o:lock v:ext="edit" aspectratio="t"/>
                    </v:shape>
                    <v:shape id="Freeform 757" o:spid="_x0000_s1028" alt="background" style="position:absolute;left:-870;top:8216;width:13297;height:2495;visibility:visible;mso-wrap-style:square;v-text-anchor:top" coordsize="2447,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W2B8IA&#10;AADbAAAADwAAAGRycy9kb3ducmV2LnhtbESPQYvCMBSE7wv+h/AEL4umiixSjaILgh51RfD2TJ5t&#10;sXnpNrGt/94IC3scZuYbZrHqbCkaqn3hWMF4lIAg1s4UnCk4/WyHMxA+IBssHZOCJ3lYLXsfC0yN&#10;a/lAzTFkIkLYp6ggD6FKpfQ6J4t+5Cri6N1cbTFEWWfS1NhGuC3lJEm+pMWC40KOFX3npO/Hh1XQ&#10;FdRc29/Np9tf6fJo9H6nzxelBv1uPQcRqAv/4b/2ziiYTuD9Jf4A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bYHwgAAANsAAAAPAAAAAAAAAAAAAAAAAJgCAABkcnMvZG93&#10;bnJldi54bWxQSwUGAAAAAAQABAD1AAAAhwMAAAAA&#10;" path="m2447,453v,,,,,m1655,228v88,-2,127,-7,155,-17c1839,227,1866,243,1893,259v-33,16,-59,30,-82,39c1766,272,1714,248,1655,228t159,-19c1838,200,1864,186,1897,171v30,17,62,34,96,49c1985,223,1977,226,1969,228v-27,10,-51,20,-72,30c1869,242,1842,225,1814,209m1655,138v88,-2,127,-8,155,-18c1839,136,1866,153,1893,169v-33,15,-59,29,-82,38c1766,182,1714,157,1655,138m2287,c2142,,2042,21,1969,47v-72,25,-119,54,-158,69c1701,54,1551,,1357,v,,,,,c1252,,913,,600,,444,,294,,183,,128,,82,,50,,34,,22,,13,,5,,,,,,,3,,3,,3v,,2,,4,c6,3,9,3,13,3v64,,351,,646,c955,3,1259,3,1357,3v192,,341,53,450,115c1778,128,1738,133,1646,135,1564,108,1467,91,1357,91v,,,,,c1252,91,913,91,600,91v-156,,-306,,-417,c128,91,82,91,50,91v-16,,-28,,-37,c5,91,,91,,91v,3,,3,,3c,94,5,94,13,94v127,,1148,,1344,c1463,94,1556,110,1637,135v-31,1,-66,1,-109,1c1528,136,1527,136,1527,136v-104,,-486,,-842,c508,136,336,136,210,136v-64,,-116,,-153,c39,136,25,136,15,136v-9,,-15,,-15,c,139,,139,,139v,,330,,685,c1041,139,1423,139,1527,139v47,,86,,119,-1c1707,158,1761,182,1807,209v-29,10,-69,15,-161,17c1564,199,1467,181,1357,181v,,,,,c1252,181,913,181,600,181v-156,,-306,,-417,c128,181,82,181,50,181v-16,,-28,,-37,c5,181,,181,,181v,3,,3,,3c,184,5,184,13,184v127,,1148,,1344,c1463,184,1556,201,1637,226v-31,,-67,1,-109,1c1528,227,1527,227,1527,227v-104,,-486,,-842,c508,227,336,227,210,227v-64,,-116,,-153,c39,227,25,227,15,227v-9,,-15,,-15,c,230,,230,,230v,,,,,c,230,1318,230,1527,230v47,,86,-1,119,-1c1707,248,1761,273,1807,299v-39,14,-100,18,-279,18c1528,317,1527,317,1527,317v-104,,-486,,-842,c508,317,336,317,210,317v-64,,-116,,-153,c39,317,25,317,15,317v-9,,-15,,-15,c,320,,320,,320v,,,,,c,320,1318,320,1527,320v183,,244,-4,283,-19c1938,374,2040,456,2281,456v,,,,,c2339,456,2447,456,2447,456v,-3,,-3,,-3c2447,453,2447,453,2447,453v,,-108,,-166,c2042,453,1941,372,1814,300v24,-10,50,-24,83,-39c1992,317,2095,366,2281,366v,,,,,c2339,366,2447,366,2447,366v,-3,,-3,,-3c2447,363,2447,363,2447,363v,,-108,,-166,c2097,363,1995,315,1900,260v20,-10,44,-20,70,-29c1979,228,1988,225,1997,222v73,31,160,53,284,53c2281,275,2281,275,2281,275v58,,166,,166,c2447,272,2447,272,2447,272v,,,,,c2447,272,2339,272,2281,272v-122,,-207,-21,-279,-51c2071,200,2162,184,2287,184v47,,160,,160,c2447,181,2447,181,2447,181v,,-113,,-160,c2160,181,2068,198,1998,219v-35,-15,-67,-32,-98,-50c1920,160,1944,150,1970,140v73,-25,172,-46,317,-46c2334,94,2447,94,2447,94v,-3,,-3,,-3c2447,91,2334,91,2287,91v-145,,-245,21,-318,47c1942,147,1918,157,1897,167v-28,-16,-55,-32,-83,-49c1853,103,1899,74,1970,50,2043,24,2142,3,2287,3v47,,160,,160,c2447,,2447,,2447,v,,-113,,-160,e" fillcolor="#00a9ce [3204]" stroked="f">
                      <v:path arrowok="t" o:connecttype="custom" o:connectlocs="8993,1248;9841,1631;10308,936;10308,1412;9836,657;8993,755;9841,635;3260,0;71,0;22,16;7374,16;7374,498;994,498;0,498;7374,514;8298,744;310,744;0,761;8944,755;7374,990;994,990;0,990;7374,1007;8298,1242;310,1242;0,1258;8944,1253;8298,1734;310,1734;0,1751;9836,1647;13297,2495;12395,2479;12395,2003;13297,1986;10325,1423;12395,1505;13297,1488;10879,1209;13297,990;10325,925;13297,514;10700,755;10705,274;13297,0" o:connectangles="0,0,0,0,0,0,0,0,0,0,0,0,0,0,0,0,0,0,0,0,0,0,0,0,0,0,0,0,0,0,0,0,0,0,0,0,0,0,0,0,0,0,0,0,0"/>
                      <o:lock v:ext="edit" verticies="t"/>
                    </v:shape>
                  </v:group>
                </w:pict>
              </mc:Fallback>
            </mc:AlternateContent>
          </w:r>
          <w:r>
            <w:rPr>
              <w:noProof/>
            </w:rPr>
            <mc:AlternateContent>
              <mc:Choice Requires="wpg">
                <w:drawing>
                  <wp:anchor distT="0" distB="0" distL="114300" distR="114300" simplePos="0" relativeHeight="251793408" behindDoc="1" locked="0" layoutInCell="1" allowOverlap="1" wp14:anchorId="0B0ACD2D" wp14:editId="1E8DA91C">
                    <wp:simplePos x="0" y="0"/>
                    <wp:positionH relativeFrom="column">
                      <wp:posOffset>-886460</wp:posOffset>
                    </wp:positionH>
                    <wp:positionV relativeFrom="paragraph">
                      <wp:posOffset>-119380</wp:posOffset>
                    </wp:positionV>
                    <wp:extent cx="8095615" cy="1022350"/>
                    <wp:effectExtent l="5080" t="1905" r="5080" b="4445"/>
                    <wp:wrapNone/>
                    <wp:docPr id="20"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5615" cy="1022350"/>
                              <a:chOff x="0" y="0"/>
                              <a:chExt cx="80962" cy="10223"/>
                            </a:xfrm>
                          </wpg:grpSpPr>
                          <wpg:grpSp>
                            <wpg:cNvPr id="21" name="Group 81"/>
                            <wpg:cNvGrpSpPr>
                              <a:grpSpLocks/>
                            </wpg:cNvGrpSpPr>
                            <wpg:grpSpPr bwMode="auto">
                              <a:xfrm>
                                <a:off x="0" y="0"/>
                                <a:ext cx="80962" cy="10223"/>
                                <a:chOff x="254" y="226"/>
                                <a:chExt cx="80962" cy="10223"/>
                              </a:xfrm>
                            </wpg:grpSpPr>
                            <wps:wsp>
                              <wps:cNvPr id="22" name="Freeform 70" descr="background" title="Decorative image"/>
                              <wps:cNvSpPr>
                                <a:spLocks noEditPoints="1"/>
                              </wps:cNvSpPr>
                              <wps:spPr bwMode="auto">
                                <a:xfrm>
                                  <a:off x="254" y="226"/>
                                  <a:ext cx="80962" cy="10224"/>
                                </a:xfrm>
                                <a:custGeom>
                                  <a:avLst/>
                                  <a:gdLst>
                                    <a:gd name="T0" fmla="*/ 2147483647 w 2488"/>
                                    <a:gd name="T1" fmla="*/ 2147483647 h 313"/>
                                    <a:gd name="T2" fmla="*/ 2147483647 w 2488"/>
                                    <a:gd name="T3" fmla="*/ 2147483647 h 313"/>
                                    <a:gd name="T4" fmla="*/ 2147483647 w 2488"/>
                                    <a:gd name="T5" fmla="*/ 2147483647 h 313"/>
                                    <a:gd name="T6" fmla="*/ 2147483647 w 2488"/>
                                    <a:gd name="T7" fmla="*/ 2147483647 h 313"/>
                                    <a:gd name="T8" fmla="*/ 2147483647 w 2488"/>
                                    <a:gd name="T9" fmla="*/ 2147483647 h 313"/>
                                    <a:gd name="T10" fmla="*/ 2147483647 w 2488"/>
                                    <a:gd name="T11" fmla="*/ 2147483647 h 313"/>
                                    <a:gd name="T12" fmla="*/ 2147483647 w 2488"/>
                                    <a:gd name="T13" fmla="*/ 0 h 313"/>
                                    <a:gd name="T14" fmla="*/ 0 w 2488"/>
                                    <a:gd name="T15" fmla="*/ 0 h 313"/>
                                    <a:gd name="T16" fmla="*/ 0 w 2488"/>
                                    <a:gd name="T17" fmla="*/ 2147483647 h 313"/>
                                    <a:gd name="T18" fmla="*/ 2147483647 w 2488"/>
                                    <a:gd name="T19" fmla="*/ 2147483647 h 313"/>
                                    <a:gd name="T20" fmla="*/ 2147483647 w 2488"/>
                                    <a:gd name="T21" fmla="*/ 2147483647 h 313"/>
                                    <a:gd name="T22" fmla="*/ 2147483647 w 2488"/>
                                    <a:gd name="T23" fmla="*/ 2147483647 h 313"/>
                                    <a:gd name="T24" fmla="*/ 2147483647 w 2488"/>
                                    <a:gd name="T25" fmla="*/ 2147483647 h 313"/>
                                    <a:gd name="T26" fmla="*/ 2147483647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71" descr="background"/>
                              <wps:cNvSpPr>
                                <a:spLocks/>
                              </wps:cNvSpPr>
                              <wps:spPr bwMode="auto">
                                <a:xfrm>
                                  <a:off x="254" y="912"/>
                                  <a:ext cx="58837" cy="4442"/>
                                </a:xfrm>
                                <a:custGeom>
                                  <a:avLst/>
                                  <a:gdLst>
                                    <a:gd name="T0" fmla="*/ 2147483647 w 1808"/>
                                    <a:gd name="T1" fmla="*/ 2147483647 h 136"/>
                                    <a:gd name="T2" fmla="*/ 2147483647 w 1808"/>
                                    <a:gd name="T3" fmla="*/ 0 h 136"/>
                                    <a:gd name="T4" fmla="*/ 0 w 1808"/>
                                    <a:gd name="T5" fmla="*/ 0 h 136"/>
                                    <a:gd name="T6" fmla="*/ 0 w 1808"/>
                                    <a:gd name="T7" fmla="*/ 2147483647 h 136"/>
                                    <a:gd name="T8" fmla="*/ 2147483647 w 1808"/>
                                    <a:gd name="T9" fmla="*/ 2147483647 h 136"/>
                                    <a:gd name="T10" fmla="*/ 2147483647 w 1808"/>
                                    <a:gd name="T11" fmla="*/ 2147483647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4" name="Group 105"/>
                              <wpg:cNvGrpSpPr>
                                <a:grpSpLocks/>
                              </wpg:cNvGrpSpPr>
                              <wpg:grpSpPr bwMode="auto">
                                <a:xfrm>
                                  <a:off x="9186" y="3326"/>
                                  <a:ext cx="8853" cy="1049"/>
                                  <a:chOff x="6800" y="3263"/>
                                  <a:chExt cx="8851" cy="1047"/>
                                </a:xfrm>
                              </wpg:grpSpPr>
                              <wps:wsp>
                                <wps:cNvPr id="25" name="Freeform 72" descr="background"/>
                                <wps:cNvSpPr>
                                  <a:spLocks/>
                                </wps:cNvSpPr>
                                <wps:spPr bwMode="auto">
                                  <a:xfrm>
                                    <a:off x="6800" y="3556"/>
                                    <a:ext cx="1042" cy="717"/>
                                  </a:xfrm>
                                  <a:custGeom>
                                    <a:avLst/>
                                    <a:gdLst>
                                      <a:gd name="T0" fmla="*/ 110421359 w 32"/>
                                      <a:gd name="T1" fmla="*/ 0 h 22"/>
                                      <a:gd name="T2" fmla="*/ 89717600 w 32"/>
                                      <a:gd name="T3" fmla="*/ 76215829 h 22"/>
                                      <a:gd name="T4" fmla="*/ 69013874 w 32"/>
                                      <a:gd name="T5" fmla="*/ 76215829 h 22"/>
                                      <a:gd name="T6" fmla="*/ 58660953 w 32"/>
                                      <a:gd name="T7" fmla="*/ 31178875 h 22"/>
                                      <a:gd name="T8" fmla="*/ 55210663 w 32"/>
                                      <a:gd name="T9" fmla="*/ 24250341 h 22"/>
                                      <a:gd name="T10" fmla="*/ 55210663 w 32"/>
                                      <a:gd name="T11" fmla="*/ 24250341 h 22"/>
                                      <a:gd name="T12" fmla="*/ 51760406 w 32"/>
                                      <a:gd name="T13" fmla="*/ 31178875 h 22"/>
                                      <a:gd name="T14" fmla="*/ 41408526 w 32"/>
                                      <a:gd name="T15" fmla="*/ 76215829 h 22"/>
                                      <a:gd name="T16" fmla="*/ 20703726 w 32"/>
                                      <a:gd name="T17" fmla="*/ 76215829 h 22"/>
                                      <a:gd name="T18" fmla="*/ 0 w 32"/>
                                      <a:gd name="T19" fmla="*/ 0 h 22"/>
                                      <a:gd name="T20" fmla="*/ 17253469 w 32"/>
                                      <a:gd name="T21" fmla="*/ 0 h 22"/>
                                      <a:gd name="T22" fmla="*/ 27605348 w 32"/>
                                      <a:gd name="T23" fmla="*/ 45036954 h 22"/>
                                      <a:gd name="T24" fmla="*/ 31055605 w 32"/>
                                      <a:gd name="T25" fmla="*/ 58893989 h 22"/>
                                      <a:gd name="T26" fmla="*/ 31055605 w 32"/>
                                      <a:gd name="T27" fmla="*/ 58893989 h 22"/>
                                      <a:gd name="T28" fmla="*/ 34506937 w 32"/>
                                      <a:gd name="T29" fmla="*/ 45036954 h 22"/>
                                      <a:gd name="T30" fmla="*/ 44858816 w 32"/>
                                      <a:gd name="T31" fmla="*/ 0 h 22"/>
                                      <a:gd name="T32" fmla="*/ 65562542 w 32"/>
                                      <a:gd name="T33" fmla="*/ 0 h 22"/>
                                      <a:gd name="T34" fmla="*/ 79365754 w 32"/>
                                      <a:gd name="T35" fmla="*/ 48500683 h 22"/>
                                      <a:gd name="T36" fmla="*/ 79365754 w 32"/>
                                      <a:gd name="T37" fmla="*/ 58893989 h 22"/>
                                      <a:gd name="T38" fmla="*/ 79365754 w 32"/>
                                      <a:gd name="T39" fmla="*/ 58893989 h 22"/>
                                      <a:gd name="T40" fmla="*/ 82816011 w 32"/>
                                      <a:gd name="T41" fmla="*/ 45036954 h 22"/>
                                      <a:gd name="T42" fmla="*/ 93167890 w 32"/>
                                      <a:gd name="T43" fmla="*/ 0 h 22"/>
                                      <a:gd name="T44" fmla="*/ 110421359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73" descr="background"/>
                                <wps:cNvSpPr>
                                  <a:spLocks/>
                                </wps:cNvSpPr>
                                <wps:spPr bwMode="auto">
                                  <a:xfrm>
                                    <a:off x="7969" y="3556"/>
                                    <a:ext cx="1073" cy="717"/>
                                  </a:xfrm>
                                  <a:custGeom>
                                    <a:avLst/>
                                    <a:gdLst>
                                      <a:gd name="T0" fmla="*/ 113457167 w 33"/>
                                      <a:gd name="T1" fmla="*/ 0 h 22"/>
                                      <a:gd name="T2" fmla="*/ 89390297 w 33"/>
                                      <a:gd name="T3" fmla="*/ 76215829 h 22"/>
                                      <a:gd name="T4" fmla="*/ 6876151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1257533 w 33"/>
                                      <a:gd name="T15" fmla="*/ 76215829 h 22"/>
                                      <a:gd name="T16" fmla="*/ 20628783 w 33"/>
                                      <a:gd name="T17" fmla="*/ 76215829 h 22"/>
                                      <a:gd name="T18" fmla="*/ 0 w 33"/>
                                      <a:gd name="T19" fmla="*/ 0 h 22"/>
                                      <a:gd name="T20" fmla="*/ 17190631 w 33"/>
                                      <a:gd name="T21" fmla="*/ 0 h 22"/>
                                      <a:gd name="T22" fmla="*/ 30943141 w 33"/>
                                      <a:gd name="T23" fmla="*/ 45036954 h 22"/>
                                      <a:gd name="T24" fmla="*/ 30943141 w 33"/>
                                      <a:gd name="T25" fmla="*/ 58893989 h 22"/>
                                      <a:gd name="T26" fmla="*/ 30943141 w 33"/>
                                      <a:gd name="T27" fmla="*/ 58893989 h 22"/>
                                      <a:gd name="T28" fmla="*/ 34381294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74" descr="background"/>
                                <wps:cNvSpPr>
                                  <a:spLocks/>
                                </wps:cNvSpPr>
                                <wps:spPr bwMode="auto">
                                  <a:xfrm>
                                    <a:off x="9144" y="3556"/>
                                    <a:ext cx="1073" cy="717"/>
                                  </a:xfrm>
                                  <a:custGeom>
                                    <a:avLst/>
                                    <a:gdLst>
                                      <a:gd name="T0" fmla="*/ 113457167 w 33"/>
                                      <a:gd name="T1" fmla="*/ 0 h 22"/>
                                      <a:gd name="T2" fmla="*/ 92828416 w 33"/>
                                      <a:gd name="T3" fmla="*/ 76215829 h 22"/>
                                      <a:gd name="T4" fmla="*/ 7219963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4695685 w 33"/>
                                      <a:gd name="T15" fmla="*/ 76215829 h 22"/>
                                      <a:gd name="T16" fmla="*/ 20628783 w 33"/>
                                      <a:gd name="T17" fmla="*/ 76215829 h 22"/>
                                      <a:gd name="T18" fmla="*/ 0 w 33"/>
                                      <a:gd name="T19" fmla="*/ 0 h 22"/>
                                      <a:gd name="T20" fmla="*/ 20628783 w 33"/>
                                      <a:gd name="T21" fmla="*/ 0 h 22"/>
                                      <a:gd name="T22" fmla="*/ 30943141 w 33"/>
                                      <a:gd name="T23" fmla="*/ 45036954 h 22"/>
                                      <a:gd name="T24" fmla="*/ 34381294 w 33"/>
                                      <a:gd name="T25" fmla="*/ 58893989 h 22"/>
                                      <a:gd name="T26" fmla="*/ 34381294 w 33"/>
                                      <a:gd name="T27" fmla="*/ 58893989 h 22"/>
                                      <a:gd name="T28" fmla="*/ 37819413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Oval 75" descr="background"/>
                                <wps:cNvSpPr>
                                  <a:spLocks noChangeArrowheads="1"/>
                                </wps:cNvSpPr>
                                <wps:spPr bwMode="auto">
                                  <a:xfrm>
                                    <a:off x="10312" y="4044"/>
                                    <a:ext cx="229" cy="229"/>
                                  </a:xfrm>
                                  <a:prstGeom prst="ellipse">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76" descr="background"/>
                                <wps:cNvSpPr>
                                  <a:spLocks/>
                                </wps:cNvSpPr>
                                <wps:spPr bwMode="auto">
                                  <a:xfrm>
                                    <a:off x="10674" y="3556"/>
                                    <a:ext cx="552" cy="717"/>
                                  </a:xfrm>
                                  <a:custGeom>
                                    <a:avLst/>
                                    <a:gdLst>
                                      <a:gd name="T0" fmla="*/ 58246975 w 17"/>
                                      <a:gd name="T1" fmla="*/ 72751024 h 22"/>
                                      <a:gd name="T2" fmla="*/ 34262867 w 17"/>
                                      <a:gd name="T3" fmla="*/ 76215829 h 22"/>
                                      <a:gd name="T4" fmla="*/ 0 w 17"/>
                                      <a:gd name="T5" fmla="*/ 41572181 h 22"/>
                                      <a:gd name="T6" fmla="*/ 37689456 w 17"/>
                                      <a:gd name="T7" fmla="*/ 0 h 22"/>
                                      <a:gd name="T8" fmla="*/ 54820354 w 17"/>
                                      <a:gd name="T9" fmla="*/ 3464805 h 22"/>
                                      <a:gd name="T10" fmla="*/ 51394804 w 17"/>
                                      <a:gd name="T11" fmla="*/ 17321840 h 22"/>
                                      <a:gd name="T12" fmla="*/ 37689456 w 17"/>
                                      <a:gd name="T13" fmla="*/ 13857035 h 22"/>
                                      <a:gd name="T14" fmla="*/ 20557519 w 17"/>
                                      <a:gd name="T15" fmla="*/ 38108452 h 22"/>
                                      <a:gd name="T16" fmla="*/ 37689456 w 17"/>
                                      <a:gd name="T17" fmla="*/ 62358794 h 22"/>
                                      <a:gd name="T18" fmla="*/ 54820354 w 17"/>
                                      <a:gd name="T19" fmla="*/ 58893989 h 22"/>
                                      <a:gd name="T20" fmla="*/ 58246975 w 17"/>
                                      <a:gd name="T21" fmla="*/ 72751024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77" descr="background"/>
                                <wps:cNvSpPr>
                                  <a:spLocks/>
                                </wps:cNvSpPr>
                                <wps:spPr bwMode="auto">
                                  <a:xfrm>
                                    <a:off x="11322" y="3556"/>
                                    <a:ext cx="520" cy="755"/>
                                  </a:xfrm>
                                  <a:custGeom>
                                    <a:avLst/>
                                    <a:gdLst>
                                      <a:gd name="T0" fmla="*/ 24062448 w 16"/>
                                      <a:gd name="T1" fmla="*/ 81425207 h 23"/>
                                      <a:gd name="T2" fmla="*/ 0 w 16"/>
                                      <a:gd name="T3" fmla="*/ 77885472 h 23"/>
                                      <a:gd name="T4" fmla="*/ 3437038 w 16"/>
                                      <a:gd name="T5" fmla="*/ 60183446 h 23"/>
                                      <a:gd name="T6" fmla="*/ 24062448 w 16"/>
                                      <a:gd name="T7" fmla="*/ 63724265 h 23"/>
                                      <a:gd name="T8" fmla="*/ 34374600 w 16"/>
                                      <a:gd name="T9" fmla="*/ 56643678 h 23"/>
                                      <a:gd name="T10" fmla="*/ 20624338 w 16"/>
                                      <a:gd name="T11" fmla="*/ 46023323 h 23"/>
                                      <a:gd name="T12" fmla="*/ 3437038 w 16"/>
                                      <a:gd name="T13" fmla="*/ 24781529 h 23"/>
                                      <a:gd name="T14" fmla="*/ 30936523 w 16"/>
                                      <a:gd name="T15" fmla="*/ 0 h 23"/>
                                      <a:gd name="T16" fmla="*/ 48123823 w 16"/>
                                      <a:gd name="T17" fmla="*/ 3539768 h 23"/>
                                      <a:gd name="T18" fmla="*/ 48123823 w 16"/>
                                      <a:gd name="T19" fmla="*/ 17700942 h 23"/>
                                      <a:gd name="T20" fmla="*/ 30936523 w 16"/>
                                      <a:gd name="T21" fmla="*/ 14161174 h 23"/>
                                      <a:gd name="T22" fmla="*/ 20624338 w 16"/>
                                      <a:gd name="T23" fmla="*/ 21241794 h 23"/>
                                      <a:gd name="T24" fmla="*/ 34374600 w 16"/>
                                      <a:gd name="T25" fmla="*/ 31862149 h 23"/>
                                      <a:gd name="T26" fmla="*/ 54998938 w 16"/>
                                      <a:gd name="T27" fmla="*/ 53103910 h 23"/>
                                      <a:gd name="T28" fmla="*/ 24062448 w 16"/>
                                      <a:gd name="T29" fmla="*/ 81425207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78" descr="background"/>
                                <wps:cNvSpPr>
                                  <a:spLocks noEditPoints="1"/>
                                </wps:cNvSpPr>
                                <wps:spPr bwMode="auto">
                                  <a:xfrm>
                                    <a:off x="11938" y="3263"/>
                                    <a:ext cx="298" cy="1010"/>
                                  </a:xfrm>
                                  <a:custGeom>
                                    <a:avLst/>
                                    <a:gdLst>
                                      <a:gd name="T0" fmla="*/ 10906436 w 9"/>
                                      <a:gd name="T1" fmla="*/ 107174195 h 31"/>
                                      <a:gd name="T2" fmla="*/ 10906436 w 9"/>
                                      <a:gd name="T3" fmla="*/ 44943860 h 31"/>
                                      <a:gd name="T4" fmla="*/ 0 w 9"/>
                                      <a:gd name="T5" fmla="*/ 44943860 h 31"/>
                                      <a:gd name="T6" fmla="*/ 0 w 9"/>
                                      <a:gd name="T7" fmla="*/ 31114646 h 31"/>
                                      <a:gd name="T8" fmla="*/ 29084966 w 9"/>
                                      <a:gd name="T9" fmla="*/ 31114646 h 31"/>
                                      <a:gd name="T10" fmla="*/ 29084966 w 9"/>
                                      <a:gd name="T11" fmla="*/ 107174195 h 31"/>
                                      <a:gd name="T12" fmla="*/ 10906436 w 9"/>
                                      <a:gd name="T13" fmla="*/ 107174195 h 31"/>
                                      <a:gd name="T14" fmla="*/ 21813997 w 9"/>
                                      <a:gd name="T15" fmla="*/ 20743804 h 31"/>
                                      <a:gd name="T16" fmla="*/ 7270968 w 9"/>
                                      <a:gd name="T17" fmla="*/ 10371885 h 31"/>
                                      <a:gd name="T18" fmla="*/ 21813997 w 9"/>
                                      <a:gd name="T19" fmla="*/ 0 h 31"/>
                                      <a:gd name="T20" fmla="*/ 32720433 w 9"/>
                                      <a:gd name="T21" fmla="*/ 10371885 h 31"/>
                                      <a:gd name="T22" fmla="*/ 21813997 w 9"/>
                                      <a:gd name="T23" fmla="*/ 20743804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79" descr="background"/>
                                <wps:cNvSpPr>
                                  <a:spLocks/>
                                </wps:cNvSpPr>
                                <wps:spPr bwMode="auto">
                                  <a:xfrm>
                                    <a:off x="12426" y="3556"/>
                                    <a:ext cx="426" cy="717"/>
                                  </a:xfrm>
                                  <a:custGeom>
                                    <a:avLst/>
                                    <a:gdLst>
                                      <a:gd name="T0" fmla="*/ 42171149 w 13"/>
                                      <a:gd name="T1" fmla="*/ 17321840 h 22"/>
                                      <a:gd name="T2" fmla="*/ 35143001 w 13"/>
                                      <a:gd name="T3" fmla="*/ 17321840 h 22"/>
                                      <a:gd name="T4" fmla="*/ 17570960 w 13"/>
                                      <a:gd name="T5" fmla="*/ 31178875 h 22"/>
                                      <a:gd name="T6" fmla="*/ 17570960 w 13"/>
                                      <a:gd name="T7" fmla="*/ 76215829 h 22"/>
                                      <a:gd name="T8" fmla="*/ 0 w 13"/>
                                      <a:gd name="T9" fmla="*/ 76215829 h 22"/>
                                      <a:gd name="T10" fmla="*/ 0 w 13"/>
                                      <a:gd name="T11" fmla="*/ 0 h 22"/>
                                      <a:gd name="T12" fmla="*/ 14057410 w 13"/>
                                      <a:gd name="T13" fmla="*/ 0 h 22"/>
                                      <a:gd name="T14" fmla="*/ 17570960 w 13"/>
                                      <a:gd name="T15" fmla="*/ 13857035 h 22"/>
                                      <a:gd name="T16" fmla="*/ 35143001 w 13"/>
                                      <a:gd name="T17" fmla="*/ 0 h 22"/>
                                      <a:gd name="T18" fmla="*/ 45685780 w 13"/>
                                      <a:gd name="T19" fmla="*/ 0 h 22"/>
                                      <a:gd name="T20" fmla="*/ 42171149 w 13"/>
                                      <a:gd name="T21" fmla="*/ 17321840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80" descr="background"/>
                                <wps:cNvSpPr>
                                  <a:spLocks noEditPoints="1"/>
                                </wps:cNvSpPr>
                                <wps:spPr bwMode="auto">
                                  <a:xfrm>
                                    <a:off x="12947" y="3556"/>
                                    <a:ext cx="718" cy="755"/>
                                  </a:xfrm>
                                  <a:custGeom>
                                    <a:avLst/>
                                    <a:gdLst>
                                      <a:gd name="T0" fmla="*/ 38214799 w 22"/>
                                      <a:gd name="T1" fmla="*/ 81425207 h 23"/>
                                      <a:gd name="T2" fmla="*/ 0 w 22"/>
                                      <a:gd name="T3" fmla="*/ 42482471 h 23"/>
                                      <a:gd name="T4" fmla="*/ 38214799 w 22"/>
                                      <a:gd name="T5" fmla="*/ 0 h 23"/>
                                      <a:gd name="T6" fmla="*/ 76428554 w 22"/>
                                      <a:gd name="T7" fmla="*/ 38942736 h 23"/>
                                      <a:gd name="T8" fmla="*/ 38214799 w 22"/>
                                      <a:gd name="T9" fmla="*/ 81425207 h 23"/>
                                      <a:gd name="T10" fmla="*/ 38214799 w 22"/>
                                      <a:gd name="T11" fmla="*/ 14161174 h 23"/>
                                      <a:gd name="T12" fmla="*/ 17370182 w 22"/>
                                      <a:gd name="T13" fmla="*/ 38942736 h 23"/>
                                      <a:gd name="T14" fmla="*/ 38214799 w 22"/>
                                      <a:gd name="T15" fmla="*/ 63724265 h 23"/>
                                      <a:gd name="T16" fmla="*/ 55583937 w 22"/>
                                      <a:gd name="T17" fmla="*/ 38942736 h 23"/>
                                      <a:gd name="T18" fmla="*/ 38214799 w 22"/>
                                      <a:gd name="T19" fmla="*/ 14161174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Oval 81" descr="background"/>
                                <wps:cNvSpPr>
                                  <a:spLocks noChangeArrowheads="1"/>
                                </wps:cNvSpPr>
                                <wps:spPr bwMode="auto">
                                  <a:xfrm>
                                    <a:off x="13830" y="4044"/>
                                    <a:ext cx="190" cy="229"/>
                                  </a:xfrm>
                                  <a:prstGeom prst="ellipse">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82" descr="background"/>
                                <wps:cNvSpPr>
                                  <a:spLocks noEditPoints="1"/>
                                </wps:cNvSpPr>
                                <wps:spPr bwMode="auto">
                                  <a:xfrm>
                                    <a:off x="14217" y="3556"/>
                                    <a:ext cx="584" cy="755"/>
                                  </a:xfrm>
                                  <a:custGeom>
                                    <a:avLst/>
                                    <a:gdLst>
                                      <a:gd name="T0" fmla="*/ 47829957 w 18"/>
                                      <a:gd name="T1" fmla="*/ 77885472 h 23"/>
                                      <a:gd name="T2" fmla="*/ 47829957 w 18"/>
                                      <a:gd name="T3" fmla="*/ 70804852 h 23"/>
                                      <a:gd name="T4" fmla="*/ 23914962 w 18"/>
                                      <a:gd name="T5" fmla="*/ 81425207 h 23"/>
                                      <a:gd name="T6" fmla="*/ 0 w 18"/>
                                      <a:gd name="T7" fmla="*/ 56643678 h 23"/>
                                      <a:gd name="T8" fmla="*/ 34164552 w 18"/>
                                      <a:gd name="T9" fmla="*/ 31862149 h 23"/>
                                      <a:gd name="T10" fmla="*/ 44413070 w 18"/>
                                      <a:gd name="T11" fmla="*/ 31862149 h 23"/>
                                      <a:gd name="T12" fmla="*/ 44413070 w 18"/>
                                      <a:gd name="T13" fmla="*/ 28321297 h 23"/>
                                      <a:gd name="T14" fmla="*/ 27330811 w 18"/>
                                      <a:gd name="T15" fmla="*/ 14161174 h 23"/>
                                      <a:gd name="T16" fmla="*/ 6832703 w 18"/>
                                      <a:gd name="T17" fmla="*/ 17700942 h 23"/>
                                      <a:gd name="T18" fmla="*/ 3416887 w 18"/>
                                      <a:gd name="T19" fmla="*/ 3539768 h 23"/>
                                      <a:gd name="T20" fmla="*/ 30747665 w 18"/>
                                      <a:gd name="T21" fmla="*/ 0 h 23"/>
                                      <a:gd name="T22" fmla="*/ 61495330 w 18"/>
                                      <a:gd name="T23" fmla="*/ 24781529 h 23"/>
                                      <a:gd name="T24" fmla="*/ 61495330 w 18"/>
                                      <a:gd name="T25" fmla="*/ 77885472 h 23"/>
                                      <a:gd name="T26" fmla="*/ 47829957 w 18"/>
                                      <a:gd name="T27" fmla="*/ 77885472 h 23"/>
                                      <a:gd name="T28" fmla="*/ 44413070 w 18"/>
                                      <a:gd name="T29" fmla="*/ 42482471 h 23"/>
                                      <a:gd name="T30" fmla="*/ 34164552 w 18"/>
                                      <a:gd name="T31" fmla="*/ 42482471 h 23"/>
                                      <a:gd name="T32" fmla="*/ 17082260 w 18"/>
                                      <a:gd name="T33" fmla="*/ 56643678 h 23"/>
                                      <a:gd name="T34" fmla="*/ 27330811 w 18"/>
                                      <a:gd name="T35" fmla="*/ 67264033 h 23"/>
                                      <a:gd name="T36" fmla="*/ 44413070 w 18"/>
                                      <a:gd name="T37" fmla="*/ 60183446 h 23"/>
                                      <a:gd name="T38" fmla="*/ 44413070 w 18"/>
                                      <a:gd name="T39" fmla="*/ 42482471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83" descr="background"/>
                                <wps:cNvSpPr>
                                  <a:spLocks/>
                                </wps:cNvSpPr>
                                <wps:spPr bwMode="auto">
                                  <a:xfrm>
                                    <a:off x="15030" y="3556"/>
                                    <a:ext cx="622" cy="755"/>
                                  </a:xfrm>
                                  <a:custGeom>
                                    <a:avLst/>
                                    <a:gdLst>
                                      <a:gd name="T0" fmla="*/ 52651580 w 19"/>
                                      <a:gd name="T1" fmla="*/ 77885472 h 23"/>
                                      <a:gd name="T2" fmla="*/ 52651580 w 19"/>
                                      <a:gd name="T3" fmla="*/ 67264033 h 23"/>
                                      <a:gd name="T4" fmla="*/ 24570899 w 19"/>
                                      <a:gd name="T5" fmla="*/ 81425207 h 23"/>
                                      <a:gd name="T6" fmla="*/ 0 w 19"/>
                                      <a:gd name="T7" fmla="*/ 49563091 h 23"/>
                                      <a:gd name="T8" fmla="*/ 0 w 19"/>
                                      <a:gd name="T9" fmla="*/ 0 h 23"/>
                                      <a:gd name="T10" fmla="*/ 17550188 w 19"/>
                                      <a:gd name="T11" fmla="*/ 0 h 23"/>
                                      <a:gd name="T12" fmla="*/ 17550188 w 19"/>
                                      <a:gd name="T13" fmla="*/ 46023323 h 23"/>
                                      <a:gd name="T14" fmla="*/ 31590529 w 19"/>
                                      <a:gd name="T15" fmla="*/ 63724265 h 23"/>
                                      <a:gd name="T16" fmla="*/ 49141765 w 19"/>
                                      <a:gd name="T17" fmla="*/ 53103910 h 23"/>
                                      <a:gd name="T18" fmla="*/ 49141765 w 19"/>
                                      <a:gd name="T19" fmla="*/ 0 h 23"/>
                                      <a:gd name="T20" fmla="*/ 66691953 w 19"/>
                                      <a:gd name="T21" fmla="*/ 0 h 23"/>
                                      <a:gd name="T22" fmla="*/ 66691953 w 19"/>
                                      <a:gd name="T23" fmla="*/ 77885472 h 23"/>
                                      <a:gd name="T24" fmla="*/ 52651580 w 19"/>
                                      <a:gd name="T25" fmla="*/ 77885472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7" name="Freeform 84"/>
                              <wps:cNvSpPr>
                                <a:spLocks/>
                              </wps:cNvSpPr>
                              <wps:spPr bwMode="auto">
                                <a:xfrm>
                                  <a:off x="59091" y="912"/>
                                  <a:ext cx="22125" cy="8883"/>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104" descr="background"/>
                              <wps:cNvSpPr>
                                <a:spLocks/>
                              </wps:cNvSpPr>
                              <wps:spPr bwMode="auto">
                                <a:xfrm>
                                  <a:off x="59103" y="929"/>
                                  <a:ext cx="22106" cy="8861"/>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rgbClr val="F8F8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B6572A" w14:textId="77777777" w:rsidR="00B5448A" w:rsidRPr="007367A7" w:rsidRDefault="00B5448A" w:rsidP="006C3DCD">
                                    <w:pPr>
                                      <w:rPr>
                                        <w:rFonts w:eastAsia="Times New Roman"/>
                                        <w:color w:val="00A9CE"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39" name="Picture 40" descr="CSIRO logo"/>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B0ACD2D" id="Group 759" o:spid="_x0000_s1026" style="position:absolute;margin-left:-69.8pt;margin-top:-9.4pt;width:637.45pt;height:80.5pt;z-index:-251523072" coordsize="80962,1022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">
                    <v:group id="Group 81" o:spid="_x0000_s1027"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Freeform 70" o:spid="_x0000_s1028" alt="background"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YNs8MA&#10;AADbAAAADwAAAGRycy9kb3ducmV2LnhtbESPT4vCMBTE78J+h/AWvGm6BUWrUZZdFgVR8M/F27N5&#10;2xabl9BErd/eCILHYWZ+w0znranFlRpfWVbw1U9AEOdWV1woOOz/eiMQPiBrrC2Tgjt5mM8+OlPM&#10;tL3xlq67UIgIYZ+hgjIEl0np85IM+r51xNH7t43BEGVTSN3gLcJNLdMkGUqDFceFEh39lJSfdxej&#10;YLPaBpeefvm4GAzcQe/H51W1Vqr72X5PQARqwzv8ai+1gjSF55f4A+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YNs8MAAADbAAAADwAAAAAAAAAAAAAAAACYAgAAZHJzL2Rv&#10;d25yZXYueG1sUEsFBgAAAAAEAAQA9QAAAIgDAAAAAA==&#10;" path="m2488,21v-204,,-204,,-204,c1994,21,1887,107,1808,137v97,81,229,176,470,176c2336,313,2488,313,2488,313v,-292,,-292,,-292m1354,c,,,,,,,157,,157,,157v1524,,1524,,1524,c1709,157,1769,152,1808,137v,,,,,c1808,137,1808,137,1808,137,1710,57,1548,,1354,e" fillcolor="#bfbfbf"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29" alt="background"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9ZcMA&#10;AADbAAAADwAAAGRycy9kb3ducmV2LnhtbESPQWvCQBSE7wX/w/KE3uqmKkWiq0ikpbdi9ODxmX3J&#10;xmbfhuw2Sf99VxB6HGbmG2azG20jeup87VjB6ywBQVw4XXOl4Hx6f1mB8AFZY+OYFPySh9128rTB&#10;VLuBj9TnoRIRwj5FBSaENpXSF4Ys+plriaNXus5iiLKrpO5wiHDbyHmSvEmLNccFgy1lhorv/Mcq&#10;+Fgk+z67lLevcjlcs4oOxuQHpZ6n434NItAY/sOP9qdWMF/A/Uv8A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B9ZcMAAADbAAAADwAAAAAAAAAAAAAAAACYAgAAZHJzL2Rv&#10;d25yZXYueG1sUEsFBgAAAAAEAAQA9QAAAIgDAAAAAA==&#10;" path="m1808,116c1698,54,1548,,1354,,,,,,,,,136,,136,,136v1524,,1524,,1524,c1709,136,1769,131,1808,116e" fillcolor="#00a9ce [3204]" stroked="f">
                        <v:path arrowok="t" o:connecttype="custom" o:connectlocs="2147483646,2147483646;2147483646,0;0,0;0,2147483646;2147483646,2147483646;2147483646,2147483646" o:connectangles="0,0,0,0,0,0"/>
                      </v:shape>
                      <v:group id="Group 105" o:spid="_x0000_s1030"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72" o:spid="_x0000_s1031" alt="background"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Vg8MA&#10;AADbAAAADwAAAGRycy9kb3ducmV2LnhtbESPQYvCMBSE74L/ITzBi2i6glK6TWV3YVE8CFYPHt82&#10;b9ti81KaqPXfG0HwOMzMN0y66k0jrtS52rKCj1kEgriwuuZSwfHwO41BOI+ssbFMCu7kYJUNBykm&#10;2t54T9fclyJA2CWooPK+TaR0RUUG3cy2xMH7t51BH2RXSt3hLcBNI+dRtJQGaw4LFbb0U1Fxzi9G&#10;we7+bfptfmova/LxHx4nZ2lJqfGo//oE4an37/CrvdEK5gt4fgk/QG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TVg8MAAADbAAAADwAAAAAAAAAAAAAAAACYAgAAZHJzL2Rv&#10;d25yZXYueG1sUEsFBgAAAAAEAAQA9QAAAIgDAAAAAA==&#10;" path="m32,c31,8,29,15,26,22v-6,,-6,,-6,c17,9,17,9,17,9,16,7,16,7,16,7v,,,,,c15,9,15,9,15,9,12,22,12,22,12,22v-6,,-6,,-6,c3,15,1,8,,,5,,5,,5,,6,5,7,9,8,13v1,1,1,3,1,4c9,17,9,17,9,17v1,-4,1,-4,1,-4c13,,13,,13,v6,,6,,6,c23,14,23,14,23,14v,3,,3,,3c23,17,23,17,23,17v1,-1,1,-3,1,-4c25,9,26,5,27,r5,xe" fillcolor="#00313c [3205]" stroked="f">
                          <v:path arrowok="t" o:connecttype="custom" o:connectlocs="2147483646,0;2147483646,2147483646;2147483646,2147483646;1910147282,1016147881;1797797214,790340659;1797797214,790340659;1685448220,1016147881;1348365128,2147483646;674165078,2147483646;0,0;561816084,0;898899144,1467795274;1011248138,1919408642;1011248138,1919408642;1123632136,1467795274;1460715196,0;2134880274,0;2147483646,1580681351;2147483646,1919408642;2147483646,1919408642;2147483646,1467795274;2147483646,0;2147483646,0" o:connectangles="0,0,0,0,0,0,0,0,0,0,0,0,0,0,0,0,0,0,0,0,0,0,0"/>
                        </v:shape>
                        <v:shape id="Freeform 73" o:spid="_x0000_s1032" alt="background"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ucAMMA&#10;AADbAAAADwAAAGRycy9kb3ducmV2LnhtbESPQYvCMBSE7wv+h/AEL4um66Er1SgqFJQ9uK3+gEfz&#10;bIvNS7eJWv/9RhA8DjPzDbNY9aYRN+pcbVnB1yQCQVxYXXOp4HRMxzMQziNrbCyTggc5WC0HHwtM&#10;tL1zRrfclyJA2CWooPK+TaR0RUUG3cS2xME7286gD7Irpe7wHuCmkdMoiqXBmsNChS1tKyou+dUo&#10;+M70hn4Ov/7zby+32SlO86tLlRoN+/UchKfev8Ov9k4rmMbw/B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ucAMMAAADbAAAADwAAAAAAAAAAAAAAAACYAgAAZHJzL2Rv&#10;d25yZXYueG1sUEsFBgAAAAAEAAQA9QAAAIgDAAAAAA==&#10;" path="m33,c31,8,29,15,26,22v-6,,-6,,-6,c17,9,17,9,17,9,16,7,16,7,16,7v,,,,,c16,9,16,9,16,9,12,22,12,22,12,22v-6,,-6,,-6,c4,15,1,8,,,5,,5,,5,,6,5,7,9,9,13v,1,,3,,4c9,17,9,17,9,17v1,-4,1,-4,1,-4c14,,14,,14,v5,,5,,5,c23,14,23,14,23,14v1,3,1,3,1,3c24,17,24,17,24,17v,-1,,-3,1,-4c26,9,27,5,28,r5,xe" fillcolor="#00313c [3205]" stroked="f">
                          <v:path arrowok="t" o:connecttype="custom" o:connectlocs="2147483646,0;2147483646,2147483646;2147483646,2147483646;1900417060,1016147881;1788659916,790340659;1788659916,790340659;1788659916,1016147881;1341494937,2147483646;670748005,2147483646;0,0;558955972,0;1006120918,1467795274;1006120918,1919408642;1006120918,1919408642;1117912984,1467795274;1565077963,0;2124000086,0;2147483646,1580681351;2147483646,1919408642;2147483646,1919408642;2147483646,1467795274;2147483646,0;2147483646,0" o:connectangles="0,0,0,0,0,0,0,0,0,0,0,0,0,0,0,0,0,0,0,0,0,0,0"/>
                        </v:shape>
                        <v:shape id="Freeform 74" o:spid="_x0000_s1033" alt="background"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5m8QA&#10;AADbAAAADwAAAGRycy9kb3ducmV2LnhtbESPQWvCQBSE74X+h+UVeim6MQeV1E1QIWDpoU30Bzyy&#10;r0kw+zZm1xj/vVso9DjMzDfMJptMJ0YaXGtZwWIegSCurG65VnA65rM1COeRNXaWScGdHGTp89MG&#10;E21vXNBY+loECLsEFTTe94mUrmrIoJvbnjh4P3Yw6IMcaqkHvAW46WQcRUtpsOWw0GBP+4aqc3k1&#10;ClaF3tHn17d/u3zIfXFa5uXV5Uq9vkzbdxCeJv8f/msftIJ4Bb9fwg+Q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3OZvEAAAA2wAAAA8AAAAAAAAAAAAAAAAAmAIAAGRycy9k&#10;b3ducmV2LnhtbFBLBQYAAAAABAAEAPUAAACJAwAAAAA=&#10;" path="m33,c31,8,29,15,27,22v-6,,-6,,-6,c17,9,17,9,17,9,16,7,16,7,16,7v,,,,,c16,9,16,9,16,9,13,22,13,22,13,22v-7,,-7,,-7,c4,15,2,8,,,6,,6,,6,,7,5,8,9,9,13v,1,,3,1,4c10,17,10,17,10,17v1,-4,1,-4,1,-4c14,,14,,14,v5,,5,,5,c23,14,23,14,23,14v1,3,1,3,1,3c24,17,24,17,24,17v,-1,1,-3,1,-4c26,9,27,5,28,r5,xe" fillcolor="#00313c [3205]" stroked="f">
                          <v:path arrowok="t" o:connecttype="custom" o:connectlocs="2147483646,0;2147483646,2147483646;2147483646,2147483646;1900417060,1016147881;1788659916,790340659;1788659916,790340659;1788659916,1016147881;1453286970,2147483646;670748005,2147483646;0,0;670748005,0;1006120918,1467795274;1117912984,1919408642;1117912984,1919408642;1229703944,1467795274;1565077963,0;2124000086,0;2147483646,1580681351;2147483646,1919408642;2147483646,1919408642;2147483646,1467795274;2147483646,0;2147483646,0" o:connectangles="0,0,0,0,0,0,0,0,0,0,0,0,0,0,0,0,0,0,0,0,0,0,0"/>
                        </v:shape>
                        <v:oval id="Oval 75" o:spid="_x0000_s1034" alt="background"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UYsMA&#10;AADbAAAADwAAAGRycy9kb3ducmV2LnhtbERPy2rCQBTdF/yH4QpuipmYRSnRUdTGUuiiVLNwecnc&#10;PEjmTsxMNfXrnUWhy8N5rzaj6cSVBtdYVrCIYhDEhdUNVwry02H+CsJ5ZI2dZVLwSw4268nTClNt&#10;b/xN16OvRAhhl6KC2vs+ldIVNRl0ke2JA1fawaAPcKikHvAWwk0nkzh+kQYbDg019rSvqWiPP0ZB&#10;e8/eLkl2upyf8/Iz/9q17wvOlJpNx+0ShKfR/4v/3B9aQRLGhi/h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dUYsMAAADbAAAADwAAAAAAAAAAAAAAAACYAgAAZHJzL2Rv&#10;d25yZXYueG1sUEsFBgAAAAAEAAQA9QAAAIgDAAAAAA==&#10;" fillcolor="#00313c [3205]" stroked="f"/>
                        <v:shape id="Freeform 76" o:spid="_x0000_s1035" alt="background"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LpXcMA&#10;AADbAAAADwAAAGRycy9kb3ducmV2LnhtbESPQWsCMRSE74L/IbyCN81WaKmrWRFBKMUWahWvj81z&#10;N+zmZUlSXf31jSD0OMzMN8xi2dtWnMkH41jB8yQDQVw6bbhSsP/ZjN9AhIissXVMCq4UYFkMBwvM&#10;tbvwN513sRIJwiFHBXWMXS5lKGuyGCauI07eyXmLMUlfSe3xkuC2ldMse5UWDaeFGjta11Q2u1+r&#10;4BNfnMmw2X4cDzftS7P5OrhWqdFTv5qDiNTH//Cj/a4VTGdw/5J+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4LpXcMAAADbAAAADwAAAAAAAAAAAAAAAACYAgAAZHJzL2Rv&#10;d25yZXYueG1sUEsFBgAAAAAEAAQA9QAAAIgDAAAAAA==&#10;" path="m17,21v-3,1,-5,1,-7,1c3,22,,18,,12,,4,5,,11,v2,,4,,5,1c15,5,15,5,15,5,14,5,13,4,11,4,8,4,6,7,6,11v,5,2,7,5,7c13,18,14,18,16,17r1,4xe" fillcolor="#00313c [3205]" stroked="f">
                          <v:path arrowok="t" o:connecttype="custom" o:connectlocs="1891313541,2147483646;1112535446,2147483646;0,1354875172;1223798807,0;1780049142,112921145;1668819518,564534513;1223798807,451613368;667514735,1241989095;1223798807,2032329786;1780049142,1919408642;1891313541,2147483646" o:connectangles="0,0,0,0,0,0,0,0,0,0,0"/>
                        </v:shape>
                        <v:shape id="Freeform 77" o:spid="_x0000_s1036" alt="background"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U/OcAA&#10;AADbAAAADwAAAGRycy9kb3ducmV2LnhtbERPzWrCQBC+F3yHZQRvdWOlVaKrSEFIBQ+NPsCQHZOY&#10;7GzMjpq+ffdQ6PHj+19vB9eqB/Wh9mxgNk1AERfe1lwaOJ/2r0tQQZAttp7JwA8F2G5GL2tMrX/y&#10;Nz1yKVUM4ZCigUqkS7UORUUOw9R3xJG7+N6hRNiX2vb4jOGu1W9J8qEd1hwbKuzos6Kiye/OwDsf&#10;D4usOR+lKQ5fZZbL7aqtMZPxsFuBEhrkX/znzqyBeVwfv8Qfo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fU/OcAAAADbAAAADwAAAAAAAAAAAAAAAACYAgAAZHJzL2Rvd25y&#10;ZXYueG1sUEsFBgAAAAAEAAQA9QAAAIUDAAAAAA==&#10;" path="m7,23c5,23,3,22,,22,1,17,1,17,1,17v2,1,4,1,6,1c9,18,10,18,10,16,10,15,9,14,6,13,3,12,1,10,1,7,1,3,4,,9,v2,,4,,5,1c14,5,14,5,14,5,12,4,11,4,9,4,7,4,6,5,6,6v,2,1,2,4,3c14,10,16,12,16,15v,5,-4,8,-9,8xe" fillcolor="#00313c [3205]" stroked="f">
                          <v:path arrowok="t" o:connecttype="custom" o:connectlocs="782029560,2147483646;0,2147483646;111703735,1975587032;782029560,2091818264;1117174500,1859390300;670290985,1510765603;111703735,813480626;1005436998,0;1564024248,116196732;1564024248,581052661;1005436998,464855929;670290985,697284977;1117174500,1045909674;1787465485,1743193567;782029560,2147483646" o:connectangles="0,0,0,0,0,0,0,0,0,0,0,0,0,0,0"/>
                        </v:shape>
                        <v:shape id="Freeform 78" o:spid="_x0000_s1037" alt="background"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UM7sUA&#10;AADbAAAADwAAAGRycy9kb3ducmV2LnhtbESPUWvCMBSF3wf+h3CFvYimzm1I1ygiOISBoNsPuDR3&#10;aWtzU5NYu39vBoM9Hs453+EU68G2oicfascK5rMMBHHpdM1GwdfnbroEESKyxtYxKfihAOvV6KHA&#10;XLsbH6k/RSMShEOOCqoYu1zKUFZkMcxcR5y8b+ctxiS9kdrjLcFtK5+y7FVarDktVNjRtqLyfLpa&#10;BfHwvti9mN4/T9ru0mTN5Go+Dko9jofNG4hIQ/wP/7X3WsFiDr9f0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QzuxQAAANsAAAAPAAAAAAAAAAAAAAAAAJgCAABkcnMv&#10;ZG93bnJldi54bWxQSwUGAAAAAAQABAD1AAAAigMAAAAA&#10;" path="m3,31c3,13,3,13,3,13,,13,,13,,13,,9,,9,,9v8,,8,,8,c8,31,8,31,8,31r-5,xm6,6c4,6,2,5,2,3,2,1,4,,6,,8,,9,1,9,3,9,5,8,6,6,6xe" fillcolor="#00313c [3205]" stroked="f">
                          <v:path arrowok="t" o:connecttype="custom" o:connectlocs="361124214,2147483646;361124214,1464299955;0,1464299955;0,1013735241;963035541,1013735241;963035541,2147483646;361124214,2147483646;722285678,675846517;240749829,337922705;722285678,0;1083409893,337922705;722285678,675846517" o:connectangles="0,0,0,0,0,0,0,0,0,0,0,0"/>
                          <o:lock v:ext="edit" verticies="t"/>
                        </v:shape>
                        <v:shape id="Freeform 79" o:spid="_x0000_s1038" alt="background"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uEcIA&#10;AADbAAAADwAAAGRycy9kb3ducmV2LnhtbESPT4vCMBTE7wt+h/AWvK2piiJdoyxiQbypBa+P5tmW&#10;bV5qk/7RT2+EhT0OM78ZZr0dTCU6alxpWcF0EoEgzqwuOVeQXpKvFQjnkTVWlknBgxxsN6OPNcba&#10;9nyi7uxzEUrYxaig8L6OpXRZQQbdxNbEwbvZxqAPssmlbrAP5aaSsyhaSoMlh4UCa9oVlP2eW6Ng&#10;3rqkm17NfZFGSXdrj71+7nOlxp/DzzcIT4P/D//RBx24Gby/hB8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7K4RwgAAANsAAAAPAAAAAAAAAAAAAAAAAJgCAABkcnMvZG93&#10;bnJldi54bWxQSwUGAAAAAAQABAD1AAAAhwMAAAAA&#10;" path="m12,5v,,-1,,-2,c9,5,7,6,5,9v,13,,13,,13c,22,,22,,22,,,,,,,4,,4,,4,,5,4,5,4,5,4,7,1,8,,10,v1,,2,,3,l12,5xe" fillcolor="#00313c [3205]" stroked="f">
                          <v:path arrowok="t" o:connecttype="custom" o:connectlocs="1381916113,564534513;1151609110,564534513;575786843,1016147881;575786843,2147483646;0,2147483646;0,0;460650512,0;575786843,451613368;1151609110,0;1497087868,0;1381916113,564534513" o:connectangles="0,0,0,0,0,0,0,0,0,0,0"/>
                        </v:shape>
                        <v:shape id="Freeform 80" o:spid="_x0000_s1039" alt="background"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R6scMA&#10;AADbAAAADwAAAGRycy9kb3ducmV2LnhtbESPQUsDMRSE70L/Q3hCbzarW0S2TYuUiqUnbT3o7bF5&#10;3SxuXpbkuV3/vREKPQ4z8w2zXI++UwPF1AY2cD8rQBHXwbbcGPg4vtw9gUqCbLELTAZ+KcF6NblZ&#10;YmXDmd9pOEijMoRThQacSF9pnWpHHtMs9MTZO4XoUbKMjbYRzxnuO/1QFI/aY8t5wWFPG0f19+HH&#10;G+g/h+2b8LZJ0RWvJc7xa5C9MdPb8XkBSmiUa/jS3lkDZQn/X/IP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R6scMAAADbAAAADwAAAAAAAAAAAAAAAACYAgAAZHJzL2Rv&#10;d25yZXYueG1sUEsFBgAAAAAEAAQA9QAAAIgDAAAAAA==&#10;" path="m11,23c3,23,,18,,12,,4,4,,11,v7,,11,4,11,11c22,18,18,23,11,23xm11,4c7,4,5,7,5,11v,4,2,7,6,7c15,18,16,15,16,11,16,7,15,4,11,4xe" fillcolor="#00313c [3205]" stroked="f">
                          <v:path arrowok="t" o:connecttype="custom" o:connectlocs="1247192076,2147483646;0,1394533287;1247192076,0;2147483646,1278337638;1247192076,2147483646;1247192076,464855929;566899576,1278337638;1247192076,2091818264;1814057580,1278337638;1247192076,464855929" o:connectangles="0,0,0,0,0,0,0,0,0,0"/>
                          <o:lock v:ext="edit" verticies="t"/>
                        </v:shape>
                        <v:oval id="Oval 81" o:spid="_x0000_s1040" alt="background"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PIuscA&#10;AADbAAAADwAAAGRycy9kb3ducmV2LnhtbESPT2vCQBTE74V+h+UVvIhu/IOU1FWqpqXgQao5eHxk&#10;n0lI9m3MbjX203cFocdhZn7DzJedqcWFWldaVjAaRiCIM6tLzhWkh4/BKwjnkTXWlknBjRwsF89P&#10;c4y1vfI3XfY+FwHCLkYFhfdNLKXLCjLohrYhDt7JtgZ9kG0udYvXADe1HEfRTBosOSwU2NC6oKza&#10;/xgF1W+yOY+Tw/nYT0/bdLeqPkecKNV76d7fQHjq/H/40f7SCiZTuH8JP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DyLrHAAAA2wAAAA8AAAAAAAAAAAAAAAAAmAIAAGRy&#10;cy9kb3ducmV2LnhtbFBLBQYAAAAABAAEAPUAAACMAwAAAAA=&#10;" fillcolor="#00313c [3205]" stroked="f"/>
                        <v:shape id="Freeform 82" o:spid="_x0000_s1041" alt="background"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8+8QA&#10;AADbAAAADwAAAGRycy9kb3ducmV2LnhtbESPQWvCQBSE7wX/w/KEXoJutLRIdBVpEQpe2qjo8ZF9&#10;JsHs25B9avz33UKhx2FmvmEWq9416kZdqD0bmIxTUMSFtzWXBva7zWgGKgiyxcYzGXhQgNVy8LTA&#10;zPo7f9Mtl1JFCIcMDVQibaZ1KCpyGMa+JY7e2XcOJcqu1LbDe4S7Rk/T9E07rDkuVNjSe0XFJb86&#10;A3RKjnU+Sbb7j2R6cruy+RI5GPM87NdzUEK9/If/2p/WwMsr/H6JP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WPPvEAAAA2wAAAA8AAAAAAAAAAAAAAAAAmAIAAGRycy9k&#10;b3ducmV2LnhtbFBLBQYAAAAABAAEAPUAAACJAwAAAAA=&#10;" path="m14,22v,-2,,-2,,-2c12,22,10,23,7,23,2,23,,20,,16,,11,4,9,10,9v3,,3,,3,c13,8,13,8,13,8,13,5,12,4,8,4,6,4,4,4,2,5,1,1,1,1,1,1,3,,6,,9,v7,,9,3,9,7c18,22,18,22,18,22r-4,xm13,12v-3,,-3,,-3,c7,12,5,14,5,16v,1,1,3,3,3c10,19,12,18,13,17r,-5xe" fillcolor="#00313c [3205]" stroked="f">
                          <v:path arrowok="t" o:connecttype="custom" o:connectlocs="1551816383,2147483646;1551816383,2147483646;775907656,2147483646;0,1859390300;1108449909,1045909674;1440957382,1045909674;1440957382,929677358;886732979,464855929;221683253,581052661;110859000,116196732;997590909,0;1995181818,813480626;1995181818,2147483646;1551816383,2147483646;1440957382,1394533287;1108449909,1394533287;554224436,1859390300;886732979,2147483646;1440957382,1975587032;1440957382,1394533287" o:connectangles="0,0,0,0,0,0,0,0,0,0,0,0,0,0,0,0,0,0,0,0"/>
                          <o:lock v:ext="edit" verticies="t"/>
                        </v:shape>
                        <v:shape id="Freeform 83" o:spid="_x0000_s1042" alt="background"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fzsUA&#10;AADbAAAADwAAAGRycy9kb3ducmV2LnhtbESPQWvCQBSE7wX/w/IEL6XZ1EJiY9YghYCFXqpevL1m&#10;X5Ng9m3Irib213cLBY/DzHzD5MVkOnGlwbWWFTxHMQjiyuqWawXHQ/m0AuE8ssbOMim4kYNiM3vI&#10;MdN25E+67n0tAoRdhgoa7/tMSlc1ZNBFticO3rcdDPogh1rqAccAN51cxnEiDbYcFhrs6a2h6ry/&#10;GAXla/rxeE5rfP/56qbdmJ7aNOmVWsyn7RqEp8nfw//tnVbwksDf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1/OxQAAANsAAAAPAAAAAAAAAAAAAAAAAJgCAABkcnMv&#10;ZG93bnJldi54bWxQSwUGAAAAAAQABAD1AAAAigMAAAAA&#10;" path="m15,22v,-3,,-3,,-3c12,22,10,23,7,23,2,23,,19,,14,,,,,,,5,,5,,5,v,13,,13,,13c5,16,6,18,9,18v2,,3,-1,5,-3c14,,14,,14,v5,,5,,5,c19,22,19,22,19,22r-4,xe" fillcolor="#00313c [3205]" stroked="f">
                          <v:path arrowok="t" o:connecttype="custom" o:connectlocs="1723646461,2147483646;1723646461,2147483646;804373641,2147483646;0,1626962335;0,0;574537733,0;574537733,1510765603;1034174160,2091818264;1608746202,1743193567;1608746202,0;2147483646,0;2147483646,2147483646;1723646461,2147483646" o:connectangles="0,0,0,0,0,0,0,0,0,0,0,0,0"/>
                        </v:shape>
                      </v:group>
                      <v:shape id="Freeform 84" o:spid="_x0000_s1043"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wCd8EA&#10;AADbAAAADwAAAGRycy9kb3ducmV2LnhtbESPzYvCMBTE7wv+D+EJ3tbUFT+oRhFBqIc9rB/3R/Ns&#10;SpuXkmS1/vdmQdjjMDO/Ydbb3rbiTj7UjhVMxhkI4tLpmisFl/PhcwkiRGSNrWNS8KQA283gY425&#10;dg/+ofspViJBOOSowMTY5VKG0pDFMHYdcfJuzluMSfpKao+PBLet/MqyubRYc1ow2NHeUNmcfq2C&#10;OGtdoa/WN8X3sS9MM98xoVKjYb9bgYjUx//wu11oBdMF/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cAnfBAAAA2wAAAA8AAAAAAAAAAAAAAAAAmAIAAGRycy9kb3du&#10;cmV2LnhtbFBLBQYAAAAABAAEAPUAAACGAwAAAAA=&#10;" path="m476,c186,,79,86,,116v128,73,229,156,470,156c528,272,680,272,680,272,680,,680,,680,l476,xe" fillcolor="white [3212]" stroked="f">
                        <v:path arrowok="t" o:connecttype="custom" o:connectlocs="2147483646,0;0,2147483646;2147483646,2147483646;2147483646,2147483646;2147483646,0;2147483646,0" o:connectangles="0,0,0,0,0,0"/>
                      </v:shape>
                      <v:shape id="Freeform 104" o:spid="_x0000_s1044" alt="background"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WdrLwA&#10;AADbAAAADwAAAGRycy9kb3ducmV2LnhtbERPzQ7BQBC+S7zDZiRubJEIZYlIiBtaieukO9rSnW26&#10;i3p7e5A4fvn+l+vWVOJFjSstKxgNIxDEmdUl5wou6W4wA+E8ssbKMin4kIP1qttZYqztm8/0Snwu&#10;Qgi7GBUU3texlC4ryKAb2po4cDfbGPQBNrnUDb5DuKnkOIqm0mDJoaHAmrYFZY/kaRQcp8/jbTt/&#10;2Cyp9ye6X1MvbapUv9duFiA8tf4v/rkPWsEkjA1fwg+Qq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2FZ2svAAAANsAAAAPAAAAAAAAAAAAAAAAAJgCAABkcnMvZG93bnJldi54&#10;bWxQSwUGAAAAAAQABAD1AAAAgQMAAAAA&#10;" adj="-11796480,,5400" path="m476,c186,,79,86,,116v128,73,229,156,470,156c528,272,680,272,680,272,680,,680,,680,l476,xe" fillcolor="#f8f8f8" stroked="f">
                        <v:stroke joinstyle="miter"/>
                        <v:formulas/>
                        <v:path arrowok="t" o:connecttype="custom" o:connectlocs="2147483646,0;0,2147483646;2147483646,2147483646;2147483646,2147483646;2147483646,0;2147483646,0" o:connectangles="0,0,0,0,0,0" textboxrect="0,0,680,272"/>
                        <v:textbox>
                          <w:txbxContent>
                            <w:p w14:paraId="04B6572A" w14:textId="77777777" w:rsidR="00B5448A" w:rsidRPr="007367A7" w:rsidRDefault="00B5448A" w:rsidP="006C3DCD">
                              <w:pPr>
                                <w:rPr>
                                  <w:rFonts w:eastAsia="Times New Roman"/>
                                  <w:color w:val="00A9CE"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5" type="#_x0000_t75" alt="CSIRO logo"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wvFPFAAAA2wAAAA8AAABkcnMvZG93bnJldi54bWxEj09rAjEUxO+C3yG8Qm+arQWrW6OIUChl&#10;pfjnoLfn5rlZunnZblJNv70pFDwOM/MbZraIthEX6nztWMHTMANBXDpdc6Vgv3sbTED4gKyxcUwK&#10;fsnDYt7vzTDX7sobumxDJRKEfY4KTAhtLqUvDVn0Q9cSJ+/sOoshya6SusNrgttGjrJsLC3WnBYM&#10;trQyVH5tf6yCU/HdHA5uOv40cR3x+FGcX7hQ6vEhLl9BBIrhHv5vv2sFz1P4+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MLxTxQAAANsAAAAPAAAAAAAAAAAAAAAA&#10;AJ8CAABkcnMvZG93bnJldi54bWxQSwUGAAAAAAQABAD3AAAAkQMAAAAA&#10;">
                      <v:imagedata r:id="rId9" o:title="CSIRO logo"/>
                      <v:path arrowok="t"/>
                    </v:shape>
                  </v:group>
                </w:pict>
              </mc:Fallback>
            </mc:AlternateContent>
          </w:r>
          <w:r w:rsidR="007D3F41">
            <w:t>Extractive industries lifecycle and benefit distribution</w:t>
          </w:r>
        </w:p>
        <w:p w14:paraId="4D0F738F" w14:textId="1AF66BCA" w:rsidR="006C3DCD" w:rsidRPr="00716588" w:rsidRDefault="007D3F41" w:rsidP="006C3DCD">
          <w:pPr>
            <w:pStyle w:val="CoverSubtitle"/>
          </w:pPr>
          <w:r>
            <w:t>A report prepared for the Department of Industry, Innovation and Science</w:t>
          </w:r>
          <w:r w:rsidR="00711ED2">
            <w:t xml:space="preserve"> on behalf of the COAG Land Access for Resources Working Group</w:t>
          </w:r>
        </w:p>
        <w:p w14:paraId="64D10D5D" w14:textId="22C79ADD" w:rsidR="006C3DCD" w:rsidRPr="00716588" w:rsidRDefault="006C3DCD" w:rsidP="006C3DCD">
          <w:pPr>
            <w:pStyle w:val="BodyText"/>
          </w:pPr>
        </w:p>
        <w:p w14:paraId="42FA8F83" w14:textId="27EBC224" w:rsidR="006C3DCD" w:rsidRPr="007D1633" w:rsidRDefault="00F20726" w:rsidP="006C3DCD">
          <w:pPr>
            <w:pStyle w:val="BodyText"/>
          </w:pPr>
          <w:r>
            <w:t>April</w:t>
          </w:r>
          <w:r w:rsidR="00644943">
            <w:t xml:space="preserve"> </w:t>
          </w:r>
          <w:r w:rsidR="007D3F41">
            <w:t>201</w:t>
          </w:r>
          <w:r w:rsidR="00883C72">
            <w:t>8</w:t>
          </w:r>
        </w:p>
        <w:p w14:paraId="21606F8E" w14:textId="0BD3E3CC" w:rsidR="006C3DCD" w:rsidRDefault="00483057" w:rsidP="006C3DCD">
          <w:pPr>
            <w:pStyle w:val="BodyText"/>
          </w:pPr>
          <w:r>
            <w:rPr>
              <w:noProof/>
            </w:rPr>
            <w:drawing>
              <wp:anchor distT="0" distB="0" distL="114300" distR="114300" simplePos="0" relativeHeight="251781119" behindDoc="1" locked="0" layoutInCell="1" allowOverlap="1" wp14:anchorId="76E7C1B9" wp14:editId="61F157AF">
                <wp:simplePos x="0" y="0"/>
                <wp:positionH relativeFrom="page">
                  <wp:align>left</wp:align>
                </wp:positionH>
                <wp:positionV relativeFrom="page">
                  <wp:posOffset>5334000</wp:posOffset>
                </wp:positionV>
                <wp:extent cx="7566755" cy="5357495"/>
                <wp:effectExtent l="0" t="0" r="0" b="0"/>
                <wp:wrapNone/>
                <wp:docPr id="3" name="Picture 3" title="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novation.jpg"/>
                        <pic:cNvPicPr/>
                      </pic:nvPicPr>
                      <pic:blipFill>
                        <a:blip r:embed="rId10">
                          <a:extLst>
                            <a:ext uri="{28A0092B-C50C-407E-A947-70E740481C1C}">
                              <a14:useLocalDpi xmlns:a14="http://schemas.microsoft.com/office/drawing/2010/main" val="0"/>
                            </a:ext>
                          </a:extLst>
                        </a:blip>
                        <a:stretch>
                          <a:fillRect/>
                        </a:stretch>
                      </pic:blipFill>
                      <pic:spPr>
                        <a:xfrm>
                          <a:off x="0" y="0"/>
                          <a:ext cx="7566755" cy="5357495"/>
                        </a:xfrm>
                        <a:prstGeom prst="rect">
                          <a:avLst/>
                        </a:prstGeom>
                      </pic:spPr>
                    </pic:pic>
                  </a:graphicData>
                </a:graphic>
                <wp14:sizeRelH relativeFrom="page">
                  <wp14:pctWidth>0</wp14:pctWidth>
                </wp14:sizeRelH>
                <wp14:sizeRelV relativeFrom="page">
                  <wp14:pctHeight>0</wp14:pctHeight>
                </wp14:sizeRelV>
              </wp:anchor>
            </w:drawing>
          </w:r>
        </w:p>
        <w:p w14:paraId="0BA461B2" w14:textId="667D3570" w:rsidR="006C3DCD" w:rsidRDefault="006C3DCD" w:rsidP="006C3DCD">
          <w:pPr>
            <w:pStyle w:val="BodyText"/>
          </w:pPr>
          <w:r>
            <w:br w:type="page"/>
          </w:r>
        </w:p>
      </w:sdtContent>
    </w:sdt>
    <w:p w14:paraId="3C44AB9A" w14:textId="77777777" w:rsidR="00A943B2" w:rsidRPr="00D1044D" w:rsidRDefault="00A943B2" w:rsidP="00D1044D">
      <w:pPr>
        <w:pStyle w:val="VersoPageHeading"/>
      </w:pPr>
      <w:r w:rsidRPr="00D1044D">
        <w:lastRenderedPageBreak/>
        <w:t>Citation</w:t>
      </w:r>
    </w:p>
    <w:p w14:paraId="317806CB" w14:textId="6A57DBAD" w:rsidR="00A943B2" w:rsidRPr="00F444B7" w:rsidRDefault="007D3F41" w:rsidP="00DC2413">
      <w:pPr>
        <w:pStyle w:val="BodyText"/>
      </w:pPr>
      <w:proofErr w:type="spellStart"/>
      <w:r>
        <w:t>Poruschi</w:t>
      </w:r>
      <w:proofErr w:type="spellEnd"/>
      <w:r>
        <w:t xml:space="preserve"> L</w:t>
      </w:r>
      <w:r w:rsidR="00A943B2">
        <w:t xml:space="preserve">, </w:t>
      </w:r>
      <w:proofErr w:type="spellStart"/>
      <w:r>
        <w:t>Measham</w:t>
      </w:r>
      <w:proofErr w:type="spellEnd"/>
      <w:r>
        <w:t xml:space="preserve"> TG (201</w:t>
      </w:r>
      <w:r w:rsidR="007D3713">
        <w:t>8</w:t>
      </w:r>
      <w:r>
        <w:t>) Extractive industries lifec</w:t>
      </w:r>
      <w:r w:rsidR="00672361">
        <w:t>ycle and benefit distribution: A</w:t>
      </w:r>
      <w:r>
        <w:t xml:space="preserve"> report prepared for the Department of Industry, Innovation and Science</w:t>
      </w:r>
      <w:r w:rsidR="00A943B2">
        <w:t>. CSIRO,</w:t>
      </w:r>
      <w:r>
        <w:t xml:space="preserve"> Brisbane,</w:t>
      </w:r>
      <w:r w:rsidR="00A943B2">
        <w:t xml:space="preserve"> Australia.</w:t>
      </w:r>
    </w:p>
    <w:p w14:paraId="64A95709" w14:textId="1449B2BF" w:rsidR="00A943B2" w:rsidRDefault="00A943B2" w:rsidP="00D1044D">
      <w:pPr>
        <w:pStyle w:val="VersoPageHeading"/>
      </w:pPr>
      <w:r>
        <w:t>Copyright</w:t>
      </w:r>
    </w:p>
    <w:p w14:paraId="4F7CE470" w14:textId="4B87A4CC" w:rsidR="00A943B2" w:rsidRDefault="004D7860" w:rsidP="00DC2413">
      <w:pPr>
        <w:pStyle w:val="BodyText"/>
      </w:pPr>
      <w:r w:rsidRPr="004D7860">
        <w:t>© Commonwealth Scientific and Indus</w:t>
      </w:r>
      <w:r w:rsidR="00064280">
        <w:t>trial Research Organisation 2018</w:t>
      </w:r>
      <w:r>
        <w:t xml:space="preserve">. </w:t>
      </w:r>
      <w:r w:rsidR="00A943B2">
        <w:t>To the extent permitted by law, all rights are reserved and no part of this publication covered by copyright may be reproduced or copied in any form or by any means except with the written permission of CSIRO.</w:t>
      </w:r>
    </w:p>
    <w:p w14:paraId="0554734F" w14:textId="77777777" w:rsidR="00A943B2" w:rsidRDefault="00A943B2" w:rsidP="00D1044D">
      <w:pPr>
        <w:pStyle w:val="VersoPageHeading"/>
      </w:pPr>
      <w:r>
        <w:t>Important disclaimer</w:t>
      </w:r>
    </w:p>
    <w:p w14:paraId="13D85047" w14:textId="77777777" w:rsidR="00A943B2" w:rsidRDefault="00A943B2" w:rsidP="00DC2413">
      <w:pPr>
        <w:pStyle w:val="BodyText"/>
      </w:pPr>
      <w: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6C8C7E92" w14:textId="6A5AF897" w:rsidR="002F6753" w:rsidRDefault="002F6753" w:rsidP="00DC2413">
      <w:pPr>
        <w:pStyle w:val="BodyText"/>
      </w:pPr>
      <w:r>
        <w:t>CSIRO i</w:t>
      </w:r>
      <w:r w:rsidRPr="002F6753">
        <w:t>s committed to providing web accessible content wherever possible. If you are having difficulties with accessing this document please contact</w:t>
      </w:r>
      <w:r>
        <w:t xml:space="preserve"> </w:t>
      </w:r>
      <w:hyperlink r:id="rId11" w:history="1">
        <w:r w:rsidR="00595E34">
          <w:rPr>
            <w:rStyle w:val="Hyperlink"/>
          </w:rPr>
          <w:t>csiroenquiries@csiro.au</w:t>
        </w:r>
      </w:hyperlink>
      <w:r>
        <w:t>.</w:t>
      </w:r>
    </w:p>
    <w:p w14:paraId="3111DDD1" w14:textId="77777777" w:rsidR="00B316E7" w:rsidRDefault="00B316E7" w:rsidP="00DC2413">
      <w:pPr>
        <w:pStyle w:val="BodyText"/>
      </w:pPr>
    </w:p>
    <w:p w14:paraId="1577687B" w14:textId="77777777" w:rsidR="00B316E7" w:rsidRDefault="00B316E7" w:rsidP="00DC2413">
      <w:pPr>
        <w:pStyle w:val="BodyText"/>
      </w:pPr>
    </w:p>
    <w:p w14:paraId="20EFEA16" w14:textId="77777777" w:rsidR="00B316E7" w:rsidRDefault="00B316E7" w:rsidP="00DC2413">
      <w:pPr>
        <w:pStyle w:val="BodyText"/>
      </w:pPr>
    </w:p>
    <w:p w14:paraId="2EF418B2" w14:textId="77777777" w:rsidR="00B316E7" w:rsidRDefault="00B316E7" w:rsidP="00DC2413">
      <w:pPr>
        <w:pStyle w:val="BodyText"/>
      </w:pPr>
    </w:p>
    <w:p w14:paraId="6564422C" w14:textId="77777777" w:rsidR="00B316E7" w:rsidRDefault="00B316E7" w:rsidP="00DC2413">
      <w:pPr>
        <w:pStyle w:val="BodyText"/>
      </w:pPr>
    </w:p>
    <w:p w14:paraId="524B8633" w14:textId="77777777" w:rsidR="00B316E7" w:rsidRDefault="00B316E7" w:rsidP="00DC2413">
      <w:pPr>
        <w:pStyle w:val="BodyText"/>
      </w:pPr>
    </w:p>
    <w:p w14:paraId="366821CD" w14:textId="77777777" w:rsidR="00B316E7" w:rsidRDefault="00B316E7" w:rsidP="00DC2413">
      <w:pPr>
        <w:pStyle w:val="BodyText"/>
      </w:pPr>
    </w:p>
    <w:p w14:paraId="53E5960E" w14:textId="77777777" w:rsidR="00B316E7" w:rsidRDefault="00B316E7" w:rsidP="00DC2413">
      <w:pPr>
        <w:pStyle w:val="BodyText"/>
      </w:pPr>
    </w:p>
    <w:p w14:paraId="29BA7619" w14:textId="77777777" w:rsidR="00B316E7" w:rsidRDefault="00B316E7" w:rsidP="00DC2413">
      <w:pPr>
        <w:pStyle w:val="BodyText"/>
      </w:pPr>
    </w:p>
    <w:p w14:paraId="71515CD8" w14:textId="77777777" w:rsidR="00B316E7" w:rsidRDefault="00B316E7" w:rsidP="00DC2413">
      <w:pPr>
        <w:pStyle w:val="BodyText"/>
      </w:pPr>
    </w:p>
    <w:p w14:paraId="5963BA69" w14:textId="77777777" w:rsidR="00B316E7" w:rsidRDefault="00B316E7" w:rsidP="00DC2413">
      <w:pPr>
        <w:pStyle w:val="BodyText"/>
      </w:pPr>
    </w:p>
    <w:p w14:paraId="61F3365E" w14:textId="77777777" w:rsidR="00B316E7" w:rsidRDefault="00B316E7" w:rsidP="00DC2413">
      <w:pPr>
        <w:pStyle w:val="BodyText"/>
      </w:pPr>
    </w:p>
    <w:p w14:paraId="4A79A763" w14:textId="77777777" w:rsidR="00B316E7" w:rsidRDefault="00B316E7" w:rsidP="00DC2413">
      <w:pPr>
        <w:pStyle w:val="BodyText"/>
      </w:pPr>
    </w:p>
    <w:p w14:paraId="381768BE" w14:textId="77777777" w:rsidR="00B316E7" w:rsidRDefault="00B316E7" w:rsidP="00DC2413">
      <w:pPr>
        <w:pStyle w:val="BodyText"/>
      </w:pPr>
    </w:p>
    <w:p w14:paraId="751A0A73" w14:textId="77777777" w:rsidR="00B316E7" w:rsidRDefault="00B316E7" w:rsidP="00DC2413">
      <w:pPr>
        <w:pStyle w:val="BodyText"/>
      </w:pPr>
    </w:p>
    <w:p w14:paraId="030FDE49" w14:textId="77777777" w:rsidR="00B316E7" w:rsidRDefault="00B316E7" w:rsidP="00DC2413">
      <w:pPr>
        <w:pStyle w:val="BodyText"/>
      </w:pPr>
    </w:p>
    <w:p w14:paraId="12CF376B" w14:textId="68BAAB97" w:rsidR="00B316E7" w:rsidRPr="00B316E7" w:rsidRDefault="00B316E7" w:rsidP="00DC2413">
      <w:pPr>
        <w:pStyle w:val="BodyText"/>
        <w:rPr>
          <w:sz w:val="18"/>
        </w:rPr>
      </w:pPr>
      <w:r w:rsidRPr="00B316E7">
        <w:rPr>
          <w:sz w:val="18"/>
        </w:rPr>
        <w:t>Acknowledgement: Cover image by bestfoto77</w:t>
      </w:r>
    </w:p>
    <w:p w14:paraId="338A6C9D" w14:textId="77777777" w:rsidR="00B316E7" w:rsidRDefault="00B316E7" w:rsidP="00DC2413">
      <w:pPr>
        <w:pStyle w:val="BodyText"/>
      </w:pPr>
    </w:p>
    <w:p w14:paraId="64E08B84" w14:textId="77777777" w:rsidR="00A943B2" w:rsidRDefault="00A943B2" w:rsidP="00D1044D">
      <w:pPr>
        <w:pStyle w:val="Heading1noTOC"/>
      </w:pPr>
      <w:r w:rsidRPr="00890BD7">
        <w:lastRenderedPageBreak/>
        <w:t>Contents</w:t>
      </w:r>
    </w:p>
    <w:p w14:paraId="2E10A6DF" w14:textId="77777777" w:rsidR="00FF436C" w:rsidRDefault="00846190">
      <w:pPr>
        <w:pStyle w:val="TOC2"/>
        <w:rPr>
          <w:rFonts w:asciiTheme="minorHAnsi" w:eastAsiaTheme="minorEastAsia" w:hAnsiTheme="minorHAnsi" w:cstheme="minorBidi"/>
          <w:color w:val="auto"/>
          <w:sz w:val="22"/>
          <w:lang w:eastAsia="ja-JP"/>
        </w:rPr>
      </w:pPr>
      <w:r>
        <w:fldChar w:fldCharType="begin"/>
      </w:r>
      <w:r w:rsidR="00462182" w:rsidRPr="00D1044D">
        <w:instrText xml:space="preserve"> TOC \h \z \t "Heading 1,2,Heading 2,3,PartTitle,1,Heading 1 Numbered,2,Heading 1 not numbered,2,Heading 2 not numbered,3,Appendix Heading 1,2" </w:instrText>
      </w:r>
      <w:r>
        <w:fldChar w:fldCharType="separate"/>
      </w:r>
      <w:hyperlink w:anchor="_Toc515031450" w:history="1">
        <w:r w:rsidR="00FF436C" w:rsidRPr="00EE7AF2">
          <w:rPr>
            <w:rStyle w:val="Hyperlink"/>
          </w:rPr>
          <w:t>Executive summary</w:t>
        </w:r>
        <w:r w:rsidR="00FF436C">
          <w:rPr>
            <w:webHidden/>
          </w:rPr>
          <w:tab/>
        </w:r>
        <w:r w:rsidR="00FF436C">
          <w:rPr>
            <w:webHidden/>
          </w:rPr>
          <w:fldChar w:fldCharType="begin"/>
        </w:r>
        <w:r w:rsidR="00FF436C">
          <w:rPr>
            <w:webHidden/>
          </w:rPr>
          <w:instrText xml:space="preserve"> PAGEREF _Toc515031450 \h </w:instrText>
        </w:r>
        <w:r w:rsidR="00FF436C">
          <w:rPr>
            <w:webHidden/>
          </w:rPr>
        </w:r>
        <w:r w:rsidR="00FF436C">
          <w:rPr>
            <w:webHidden/>
          </w:rPr>
          <w:fldChar w:fldCharType="separate"/>
        </w:r>
        <w:r w:rsidR="00FF436C">
          <w:rPr>
            <w:webHidden/>
          </w:rPr>
          <w:t>v</w:t>
        </w:r>
        <w:r w:rsidR="00FF436C">
          <w:rPr>
            <w:webHidden/>
          </w:rPr>
          <w:fldChar w:fldCharType="end"/>
        </w:r>
      </w:hyperlink>
    </w:p>
    <w:p w14:paraId="4FDE7986" w14:textId="77777777" w:rsidR="00FF436C" w:rsidRDefault="004C2BB2">
      <w:pPr>
        <w:pStyle w:val="TOC1"/>
        <w:rPr>
          <w:rFonts w:asciiTheme="minorHAnsi" w:eastAsiaTheme="minorEastAsia" w:hAnsiTheme="minorHAnsi" w:cstheme="minorBidi"/>
          <w:b w:val="0"/>
          <w:color w:val="auto"/>
          <w:sz w:val="22"/>
          <w:lang w:eastAsia="ja-JP"/>
        </w:rPr>
      </w:pPr>
      <w:hyperlink w:anchor="_Toc515031451" w:history="1">
        <w:r w:rsidR="00FF436C" w:rsidRPr="00EE7AF2">
          <w:rPr>
            <w:rStyle w:val="Hyperlink"/>
          </w:rPr>
          <w:t>Part I</w:t>
        </w:r>
        <w:r w:rsidR="00FF436C">
          <w:rPr>
            <w:rFonts w:asciiTheme="minorHAnsi" w:eastAsiaTheme="minorEastAsia" w:hAnsiTheme="minorHAnsi" w:cstheme="minorBidi"/>
            <w:b w:val="0"/>
            <w:color w:val="auto"/>
            <w:sz w:val="22"/>
            <w:lang w:eastAsia="ja-JP"/>
          </w:rPr>
          <w:tab/>
        </w:r>
        <w:r w:rsidR="00FF436C" w:rsidRPr="00EE7AF2">
          <w:rPr>
            <w:rStyle w:val="Hyperlink"/>
          </w:rPr>
          <w:t>Mining sector activity</w:t>
        </w:r>
        <w:r w:rsidR="00FF436C">
          <w:rPr>
            <w:webHidden/>
          </w:rPr>
          <w:tab/>
        </w:r>
        <w:r w:rsidR="00FF436C">
          <w:rPr>
            <w:webHidden/>
          </w:rPr>
          <w:fldChar w:fldCharType="begin"/>
        </w:r>
        <w:r w:rsidR="00FF436C">
          <w:rPr>
            <w:webHidden/>
          </w:rPr>
          <w:instrText xml:space="preserve"> PAGEREF _Toc515031451 \h </w:instrText>
        </w:r>
        <w:r w:rsidR="00FF436C">
          <w:rPr>
            <w:webHidden/>
          </w:rPr>
        </w:r>
        <w:r w:rsidR="00FF436C">
          <w:rPr>
            <w:webHidden/>
          </w:rPr>
          <w:fldChar w:fldCharType="separate"/>
        </w:r>
        <w:r w:rsidR="00FF436C">
          <w:rPr>
            <w:webHidden/>
          </w:rPr>
          <w:t>10</w:t>
        </w:r>
        <w:r w:rsidR="00FF436C">
          <w:rPr>
            <w:webHidden/>
          </w:rPr>
          <w:fldChar w:fldCharType="end"/>
        </w:r>
      </w:hyperlink>
    </w:p>
    <w:p w14:paraId="24E8F295" w14:textId="77777777" w:rsidR="00FF436C" w:rsidRDefault="004C2BB2">
      <w:pPr>
        <w:pStyle w:val="TOC2"/>
        <w:rPr>
          <w:rFonts w:asciiTheme="minorHAnsi" w:eastAsiaTheme="minorEastAsia" w:hAnsiTheme="minorHAnsi" w:cstheme="minorBidi"/>
          <w:color w:val="auto"/>
          <w:sz w:val="22"/>
          <w:lang w:eastAsia="ja-JP"/>
        </w:rPr>
      </w:pPr>
      <w:hyperlink w:anchor="_Toc515031452" w:history="1">
        <w:r w:rsidR="00FF436C" w:rsidRPr="00EE7AF2">
          <w:rPr>
            <w:rStyle w:val="Hyperlink"/>
          </w:rPr>
          <w:t>1</w:t>
        </w:r>
        <w:r w:rsidR="00FF436C">
          <w:rPr>
            <w:rFonts w:asciiTheme="minorHAnsi" w:eastAsiaTheme="minorEastAsia" w:hAnsiTheme="minorHAnsi" w:cstheme="minorBidi"/>
            <w:color w:val="auto"/>
            <w:sz w:val="22"/>
            <w:lang w:eastAsia="ja-JP"/>
          </w:rPr>
          <w:tab/>
        </w:r>
        <w:r w:rsidR="00FF436C" w:rsidRPr="00EE7AF2">
          <w:rPr>
            <w:rStyle w:val="Hyperlink"/>
          </w:rPr>
          <w:t>The mining investment boom and changes in the mining sector</w:t>
        </w:r>
        <w:r w:rsidR="00FF436C">
          <w:rPr>
            <w:webHidden/>
          </w:rPr>
          <w:tab/>
        </w:r>
        <w:r w:rsidR="00FF436C">
          <w:rPr>
            <w:webHidden/>
          </w:rPr>
          <w:fldChar w:fldCharType="begin"/>
        </w:r>
        <w:r w:rsidR="00FF436C">
          <w:rPr>
            <w:webHidden/>
          </w:rPr>
          <w:instrText xml:space="preserve"> PAGEREF _Toc515031452 \h </w:instrText>
        </w:r>
        <w:r w:rsidR="00FF436C">
          <w:rPr>
            <w:webHidden/>
          </w:rPr>
        </w:r>
        <w:r w:rsidR="00FF436C">
          <w:rPr>
            <w:webHidden/>
          </w:rPr>
          <w:fldChar w:fldCharType="separate"/>
        </w:r>
        <w:r w:rsidR="00FF436C">
          <w:rPr>
            <w:webHidden/>
          </w:rPr>
          <w:t>11</w:t>
        </w:r>
        <w:r w:rsidR="00FF436C">
          <w:rPr>
            <w:webHidden/>
          </w:rPr>
          <w:fldChar w:fldCharType="end"/>
        </w:r>
      </w:hyperlink>
    </w:p>
    <w:p w14:paraId="17AEFCFF" w14:textId="77777777" w:rsidR="00FF436C" w:rsidRDefault="004C2BB2">
      <w:pPr>
        <w:pStyle w:val="TOC2"/>
        <w:rPr>
          <w:rFonts w:asciiTheme="minorHAnsi" w:eastAsiaTheme="minorEastAsia" w:hAnsiTheme="minorHAnsi" w:cstheme="minorBidi"/>
          <w:color w:val="auto"/>
          <w:sz w:val="22"/>
          <w:lang w:eastAsia="ja-JP"/>
        </w:rPr>
      </w:pPr>
      <w:hyperlink w:anchor="_Toc515031453" w:history="1">
        <w:r w:rsidR="00FF436C" w:rsidRPr="00EE7AF2">
          <w:rPr>
            <w:rStyle w:val="Hyperlink"/>
          </w:rPr>
          <w:t>2</w:t>
        </w:r>
        <w:r w:rsidR="00FF436C">
          <w:rPr>
            <w:rFonts w:asciiTheme="minorHAnsi" w:eastAsiaTheme="minorEastAsia" w:hAnsiTheme="minorHAnsi" w:cstheme="minorBidi"/>
            <w:color w:val="auto"/>
            <w:sz w:val="22"/>
            <w:lang w:eastAsia="ja-JP"/>
          </w:rPr>
          <w:tab/>
        </w:r>
        <w:r w:rsidR="00FF436C" w:rsidRPr="00EE7AF2">
          <w:rPr>
            <w:rStyle w:val="Hyperlink"/>
          </w:rPr>
          <w:t>Employment and income benefits distribution</w:t>
        </w:r>
        <w:r w:rsidR="00FF436C">
          <w:rPr>
            <w:webHidden/>
          </w:rPr>
          <w:tab/>
        </w:r>
        <w:r w:rsidR="00FF436C">
          <w:rPr>
            <w:webHidden/>
          </w:rPr>
          <w:fldChar w:fldCharType="begin"/>
        </w:r>
        <w:r w:rsidR="00FF436C">
          <w:rPr>
            <w:webHidden/>
          </w:rPr>
          <w:instrText xml:space="preserve"> PAGEREF _Toc515031453 \h </w:instrText>
        </w:r>
        <w:r w:rsidR="00FF436C">
          <w:rPr>
            <w:webHidden/>
          </w:rPr>
        </w:r>
        <w:r w:rsidR="00FF436C">
          <w:rPr>
            <w:webHidden/>
          </w:rPr>
          <w:fldChar w:fldCharType="separate"/>
        </w:r>
        <w:r w:rsidR="00FF436C">
          <w:rPr>
            <w:webHidden/>
          </w:rPr>
          <w:t>15</w:t>
        </w:r>
        <w:r w:rsidR="00FF436C">
          <w:rPr>
            <w:webHidden/>
          </w:rPr>
          <w:fldChar w:fldCharType="end"/>
        </w:r>
      </w:hyperlink>
    </w:p>
    <w:p w14:paraId="2F2C8553" w14:textId="77777777" w:rsidR="00FF436C" w:rsidRDefault="004C2BB2">
      <w:pPr>
        <w:pStyle w:val="TOC3"/>
        <w:rPr>
          <w:rFonts w:asciiTheme="minorHAnsi" w:eastAsiaTheme="minorEastAsia" w:hAnsiTheme="minorHAnsi" w:cstheme="minorBidi"/>
          <w:noProof/>
          <w:color w:val="auto"/>
          <w:sz w:val="22"/>
          <w:lang w:eastAsia="ja-JP"/>
        </w:rPr>
      </w:pPr>
      <w:hyperlink w:anchor="_Toc515031454" w:history="1">
        <w:r w:rsidR="00FF436C" w:rsidRPr="00EE7AF2">
          <w:rPr>
            <w:rStyle w:val="Hyperlink"/>
            <w:noProof/>
          </w:rPr>
          <w:t>2.1</w:t>
        </w:r>
        <w:r w:rsidR="00FF436C">
          <w:rPr>
            <w:rFonts w:asciiTheme="minorHAnsi" w:eastAsiaTheme="minorEastAsia" w:hAnsiTheme="minorHAnsi" w:cstheme="minorBidi"/>
            <w:noProof/>
            <w:color w:val="auto"/>
            <w:sz w:val="22"/>
            <w:lang w:eastAsia="ja-JP"/>
          </w:rPr>
          <w:tab/>
        </w:r>
        <w:r w:rsidR="00FF436C" w:rsidRPr="00EE7AF2">
          <w:rPr>
            <w:rStyle w:val="Hyperlink"/>
            <w:noProof/>
          </w:rPr>
          <w:t>Mining employment</w:t>
        </w:r>
        <w:r w:rsidR="00FF436C">
          <w:rPr>
            <w:noProof/>
            <w:webHidden/>
          </w:rPr>
          <w:tab/>
        </w:r>
        <w:r w:rsidR="00FF436C">
          <w:rPr>
            <w:noProof/>
            <w:webHidden/>
          </w:rPr>
          <w:fldChar w:fldCharType="begin"/>
        </w:r>
        <w:r w:rsidR="00FF436C">
          <w:rPr>
            <w:noProof/>
            <w:webHidden/>
          </w:rPr>
          <w:instrText xml:space="preserve"> PAGEREF _Toc515031454 \h </w:instrText>
        </w:r>
        <w:r w:rsidR="00FF436C">
          <w:rPr>
            <w:noProof/>
            <w:webHidden/>
          </w:rPr>
        </w:r>
        <w:r w:rsidR="00FF436C">
          <w:rPr>
            <w:noProof/>
            <w:webHidden/>
          </w:rPr>
          <w:fldChar w:fldCharType="separate"/>
        </w:r>
        <w:r w:rsidR="00FF436C">
          <w:rPr>
            <w:noProof/>
            <w:webHidden/>
          </w:rPr>
          <w:t>15</w:t>
        </w:r>
        <w:r w:rsidR="00FF436C">
          <w:rPr>
            <w:noProof/>
            <w:webHidden/>
          </w:rPr>
          <w:fldChar w:fldCharType="end"/>
        </w:r>
      </w:hyperlink>
    </w:p>
    <w:p w14:paraId="5A038DF4" w14:textId="77777777" w:rsidR="00FF436C" w:rsidRDefault="004C2BB2">
      <w:pPr>
        <w:pStyle w:val="TOC3"/>
        <w:rPr>
          <w:rFonts w:asciiTheme="minorHAnsi" w:eastAsiaTheme="minorEastAsia" w:hAnsiTheme="minorHAnsi" w:cstheme="minorBidi"/>
          <w:noProof/>
          <w:color w:val="auto"/>
          <w:sz w:val="22"/>
          <w:lang w:eastAsia="ja-JP"/>
        </w:rPr>
      </w:pPr>
      <w:hyperlink w:anchor="_Toc515031455" w:history="1">
        <w:r w:rsidR="00FF436C" w:rsidRPr="00EE7AF2">
          <w:rPr>
            <w:rStyle w:val="Hyperlink"/>
            <w:noProof/>
          </w:rPr>
          <w:t>2.2</w:t>
        </w:r>
        <w:r w:rsidR="00FF436C">
          <w:rPr>
            <w:rFonts w:asciiTheme="minorHAnsi" w:eastAsiaTheme="minorEastAsia" w:hAnsiTheme="minorHAnsi" w:cstheme="minorBidi"/>
            <w:noProof/>
            <w:color w:val="auto"/>
            <w:sz w:val="22"/>
            <w:lang w:eastAsia="ja-JP"/>
          </w:rPr>
          <w:tab/>
        </w:r>
        <w:r w:rsidR="00FF436C" w:rsidRPr="00EE7AF2">
          <w:rPr>
            <w:rStyle w:val="Hyperlink"/>
            <w:noProof/>
          </w:rPr>
          <w:t>Distribution of income change</w:t>
        </w:r>
        <w:r w:rsidR="00FF436C">
          <w:rPr>
            <w:noProof/>
            <w:webHidden/>
          </w:rPr>
          <w:tab/>
        </w:r>
        <w:r w:rsidR="00FF436C">
          <w:rPr>
            <w:noProof/>
            <w:webHidden/>
          </w:rPr>
          <w:fldChar w:fldCharType="begin"/>
        </w:r>
        <w:r w:rsidR="00FF436C">
          <w:rPr>
            <w:noProof/>
            <w:webHidden/>
          </w:rPr>
          <w:instrText xml:space="preserve"> PAGEREF _Toc515031455 \h </w:instrText>
        </w:r>
        <w:r w:rsidR="00FF436C">
          <w:rPr>
            <w:noProof/>
            <w:webHidden/>
          </w:rPr>
        </w:r>
        <w:r w:rsidR="00FF436C">
          <w:rPr>
            <w:noProof/>
            <w:webHidden/>
          </w:rPr>
          <w:fldChar w:fldCharType="separate"/>
        </w:r>
        <w:r w:rsidR="00FF436C">
          <w:rPr>
            <w:noProof/>
            <w:webHidden/>
          </w:rPr>
          <w:t>19</w:t>
        </w:r>
        <w:r w:rsidR="00FF436C">
          <w:rPr>
            <w:noProof/>
            <w:webHidden/>
          </w:rPr>
          <w:fldChar w:fldCharType="end"/>
        </w:r>
      </w:hyperlink>
    </w:p>
    <w:p w14:paraId="5569AA72" w14:textId="77777777" w:rsidR="00FF436C" w:rsidRDefault="004C2BB2">
      <w:pPr>
        <w:pStyle w:val="TOC1"/>
        <w:rPr>
          <w:rFonts w:asciiTheme="minorHAnsi" w:eastAsiaTheme="minorEastAsia" w:hAnsiTheme="minorHAnsi" w:cstheme="minorBidi"/>
          <w:b w:val="0"/>
          <w:color w:val="auto"/>
          <w:sz w:val="22"/>
          <w:lang w:eastAsia="ja-JP"/>
        </w:rPr>
      </w:pPr>
      <w:hyperlink w:anchor="_Toc515031456" w:history="1">
        <w:r w:rsidR="00FF436C" w:rsidRPr="00EE7AF2">
          <w:rPr>
            <w:rStyle w:val="Hyperlink"/>
          </w:rPr>
          <w:t>Part II</w:t>
        </w:r>
        <w:r w:rsidR="00FF436C">
          <w:rPr>
            <w:rFonts w:asciiTheme="minorHAnsi" w:eastAsiaTheme="minorEastAsia" w:hAnsiTheme="minorHAnsi" w:cstheme="minorBidi"/>
            <w:b w:val="0"/>
            <w:color w:val="auto"/>
            <w:sz w:val="22"/>
            <w:lang w:eastAsia="ja-JP"/>
          </w:rPr>
          <w:tab/>
        </w:r>
        <w:r w:rsidR="00FF436C" w:rsidRPr="00EE7AF2">
          <w:rPr>
            <w:rStyle w:val="Hyperlink"/>
          </w:rPr>
          <w:t>Mining innovation</w:t>
        </w:r>
        <w:r w:rsidR="00FF436C">
          <w:rPr>
            <w:webHidden/>
          </w:rPr>
          <w:tab/>
        </w:r>
        <w:r w:rsidR="00FF436C">
          <w:rPr>
            <w:webHidden/>
          </w:rPr>
          <w:fldChar w:fldCharType="begin"/>
        </w:r>
        <w:r w:rsidR="00FF436C">
          <w:rPr>
            <w:webHidden/>
          </w:rPr>
          <w:instrText xml:space="preserve"> PAGEREF _Toc515031456 \h </w:instrText>
        </w:r>
        <w:r w:rsidR="00FF436C">
          <w:rPr>
            <w:webHidden/>
          </w:rPr>
        </w:r>
        <w:r w:rsidR="00FF436C">
          <w:rPr>
            <w:webHidden/>
          </w:rPr>
          <w:fldChar w:fldCharType="separate"/>
        </w:r>
        <w:r w:rsidR="00FF436C">
          <w:rPr>
            <w:webHidden/>
          </w:rPr>
          <w:t>23</w:t>
        </w:r>
        <w:r w:rsidR="00FF436C">
          <w:rPr>
            <w:webHidden/>
          </w:rPr>
          <w:fldChar w:fldCharType="end"/>
        </w:r>
      </w:hyperlink>
    </w:p>
    <w:p w14:paraId="51BCCB54" w14:textId="77777777" w:rsidR="00FF436C" w:rsidRDefault="004C2BB2">
      <w:pPr>
        <w:pStyle w:val="TOC2"/>
        <w:rPr>
          <w:rFonts w:asciiTheme="minorHAnsi" w:eastAsiaTheme="minorEastAsia" w:hAnsiTheme="minorHAnsi" w:cstheme="minorBidi"/>
          <w:color w:val="auto"/>
          <w:sz w:val="22"/>
          <w:lang w:eastAsia="ja-JP"/>
        </w:rPr>
      </w:pPr>
      <w:hyperlink w:anchor="_Toc515031457" w:history="1">
        <w:r w:rsidR="00FF436C" w:rsidRPr="00EE7AF2">
          <w:rPr>
            <w:rStyle w:val="Hyperlink"/>
          </w:rPr>
          <w:t>3</w:t>
        </w:r>
        <w:r w:rsidR="00FF436C">
          <w:rPr>
            <w:rFonts w:asciiTheme="minorHAnsi" w:eastAsiaTheme="minorEastAsia" w:hAnsiTheme="minorHAnsi" w:cstheme="minorBidi"/>
            <w:color w:val="auto"/>
            <w:sz w:val="22"/>
            <w:lang w:eastAsia="ja-JP"/>
          </w:rPr>
          <w:tab/>
        </w:r>
        <w:r w:rsidR="00FF436C" w:rsidRPr="00EE7AF2">
          <w:rPr>
            <w:rStyle w:val="Hyperlink"/>
          </w:rPr>
          <w:t>Innovation in mining and regional areas</w:t>
        </w:r>
        <w:r w:rsidR="00FF436C">
          <w:rPr>
            <w:webHidden/>
          </w:rPr>
          <w:tab/>
        </w:r>
        <w:r w:rsidR="00FF436C">
          <w:rPr>
            <w:webHidden/>
          </w:rPr>
          <w:fldChar w:fldCharType="begin"/>
        </w:r>
        <w:r w:rsidR="00FF436C">
          <w:rPr>
            <w:webHidden/>
          </w:rPr>
          <w:instrText xml:space="preserve"> PAGEREF _Toc515031457 \h </w:instrText>
        </w:r>
        <w:r w:rsidR="00FF436C">
          <w:rPr>
            <w:webHidden/>
          </w:rPr>
        </w:r>
        <w:r w:rsidR="00FF436C">
          <w:rPr>
            <w:webHidden/>
          </w:rPr>
          <w:fldChar w:fldCharType="separate"/>
        </w:r>
        <w:r w:rsidR="00FF436C">
          <w:rPr>
            <w:webHidden/>
          </w:rPr>
          <w:t>24</w:t>
        </w:r>
        <w:r w:rsidR="00FF436C">
          <w:rPr>
            <w:webHidden/>
          </w:rPr>
          <w:fldChar w:fldCharType="end"/>
        </w:r>
      </w:hyperlink>
    </w:p>
    <w:p w14:paraId="52D12F47" w14:textId="77777777" w:rsidR="00FF436C" w:rsidRDefault="004C2BB2">
      <w:pPr>
        <w:pStyle w:val="TOC3"/>
        <w:rPr>
          <w:rFonts w:asciiTheme="minorHAnsi" w:eastAsiaTheme="minorEastAsia" w:hAnsiTheme="minorHAnsi" w:cstheme="minorBidi"/>
          <w:noProof/>
          <w:color w:val="auto"/>
          <w:sz w:val="22"/>
          <w:lang w:eastAsia="ja-JP"/>
        </w:rPr>
      </w:pPr>
      <w:hyperlink w:anchor="_Toc515031458" w:history="1">
        <w:r w:rsidR="00FF436C" w:rsidRPr="00EE7AF2">
          <w:rPr>
            <w:rStyle w:val="Hyperlink"/>
            <w:noProof/>
          </w:rPr>
          <w:t>3.1</w:t>
        </w:r>
        <w:r w:rsidR="00FF436C">
          <w:rPr>
            <w:rFonts w:asciiTheme="minorHAnsi" w:eastAsiaTheme="minorEastAsia" w:hAnsiTheme="minorHAnsi" w:cstheme="minorBidi"/>
            <w:noProof/>
            <w:color w:val="auto"/>
            <w:sz w:val="22"/>
            <w:lang w:eastAsia="ja-JP"/>
          </w:rPr>
          <w:tab/>
        </w:r>
        <w:r w:rsidR="00FF436C" w:rsidRPr="00EE7AF2">
          <w:rPr>
            <w:rStyle w:val="Hyperlink"/>
            <w:noProof/>
          </w:rPr>
          <w:t>R&amp;D expenditure in Australian mining</w:t>
        </w:r>
        <w:r w:rsidR="00FF436C">
          <w:rPr>
            <w:noProof/>
            <w:webHidden/>
          </w:rPr>
          <w:tab/>
        </w:r>
        <w:r w:rsidR="00FF436C">
          <w:rPr>
            <w:noProof/>
            <w:webHidden/>
          </w:rPr>
          <w:fldChar w:fldCharType="begin"/>
        </w:r>
        <w:r w:rsidR="00FF436C">
          <w:rPr>
            <w:noProof/>
            <w:webHidden/>
          </w:rPr>
          <w:instrText xml:space="preserve"> PAGEREF _Toc515031458 \h </w:instrText>
        </w:r>
        <w:r w:rsidR="00FF436C">
          <w:rPr>
            <w:noProof/>
            <w:webHidden/>
          </w:rPr>
        </w:r>
        <w:r w:rsidR="00FF436C">
          <w:rPr>
            <w:noProof/>
            <w:webHidden/>
          </w:rPr>
          <w:fldChar w:fldCharType="separate"/>
        </w:r>
        <w:r w:rsidR="00FF436C">
          <w:rPr>
            <w:noProof/>
            <w:webHidden/>
          </w:rPr>
          <w:t>24</w:t>
        </w:r>
        <w:r w:rsidR="00FF436C">
          <w:rPr>
            <w:noProof/>
            <w:webHidden/>
          </w:rPr>
          <w:fldChar w:fldCharType="end"/>
        </w:r>
      </w:hyperlink>
    </w:p>
    <w:p w14:paraId="3E0FA7DC" w14:textId="77777777" w:rsidR="00FF436C" w:rsidRDefault="004C2BB2">
      <w:pPr>
        <w:pStyle w:val="TOC3"/>
        <w:rPr>
          <w:rFonts w:asciiTheme="minorHAnsi" w:eastAsiaTheme="minorEastAsia" w:hAnsiTheme="minorHAnsi" w:cstheme="minorBidi"/>
          <w:noProof/>
          <w:color w:val="auto"/>
          <w:sz w:val="22"/>
          <w:lang w:eastAsia="ja-JP"/>
        </w:rPr>
      </w:pPr>
      <w:hyperlink w:anchor="_Toc515031459" w:history="1">
        <w:r w:rsidR="00FF436C" w:rsidRPr="00EE7AF2">
          <w:rPr>
            <w:rStyle w:val="Hyperlink"/>
            <w:noProof/>
          </w:rPr>
          <w:t>3.2</w:t>
        </w:r>
        <w:r w:rsidR="00FF436C">
          <w:rPr>
            <w:rFonts w:asciiTheme="minorHAnsi" w:eastAsiaTheme="minorEastAsia" w:hAnsiTheme="minorHAnsi" w:cstheme="minorBidi"/>
            <w:noProof/>
            <w:color w:val="auto"/>
            <w:sz w:val="22"/>
            <w:lang w:eastAsia="ja-JP"/>
          </w:rPr>
          <w:tab/>
        </w:r>
        <w:r w:rsidR="00FF436C" w:rsidRPr="00EE7AF2">
          <w:rPr>
            <w:rStyle w:val="Hyperlink"/>
            <w:noProof/>
          </w:rPr>
          <w:t>Enablers and barriers to innovation in Australian mining</w:t>
        </w:r>
        <w:r w:rsidR="00FF436C">
          <w:rPr>
            <w:noProof/>
            <w:webHidden/>
          </w:rPr>
          <w:tab/>
        </w:r>
        <w:r w:rsidR="00FF436C">
          <w:rPr>
            <w:noProof/>
            <w:webHidden/>
          </w:rPr>
          <w:fldChar w:fldCharType="begin"/>
        </w:r>
        <w:r w:rsidR="00FF436C">
          <w:rPr>
            <w:noProof/>
            <w:webHidden/>
          </w:rPr>
          <w:instrText xml:space="preserve"> PAGEREF _Toc515031459 \h </w:instrText>
        </w:r>
        <w:r w:rsidR="00FF436C">
          <w:rPr>
            <w:noProof/>
            <w:webHidden/>
          </w:rPr>
        </w:r>
        <w:r w:rsidR="00FF436C">
          <w:rPr>
            <w:noProof/>
            <w:webHidden/>
          </w:rPr>
          <w:fldChar w:fldCharType="separate"/>
        </w:r>
        <w:r w:rsidR="00FF436C">
          <w:rPr>
            <w:noProof/>
            <w:webHidden/>
          </w:rPr>
          <w:t>27</w:t>
        </w:r>
        <w:r w:rsidR="00FF436C">
          <w:rPr>
            <w:noProof/>
            <w:webHidden/>
          </w:rPr>
          <w:fldChar w:fldCharType="end"/>
        </w:r>
      </w:hyperlink>
    </w:p>
    <w:p w14:paraId="79A7806E" w14:textId="77777777" w:rsidR="00FF436C" w:rsidRDefault="004C2BB2">
      <w:pPr>
        <w:pStyle w:val="TOC2"/>
        <w:rPr>
          <w:rFonts w:asciiTheme="minorHAnsi" w:eastAsiaTheme="minorEastAsia" w:hAnsiTheme="minorHAnsi" w:cstheme="minorBidi"/>
          <w:color w:val="auto"/>
          <w:sz w:val="22"/>
          <w:lang w:eastAsia="ja-JP"/>
        </w:rPr>
      </w:pPr>
      <w:hyperlink w:anchor="_Toc515031460" w:history="1">
        <w:r w:rsidR="00FF436C" w:rsidRPr="00EE7AF2">
          <w:rPr>
            <w:rStyle w:val="Hyperlink"/>
          </w:rPr>
          <w:t>Appendix A</w:t>
        </w:r>
        <w:r w:rsidR="00FF436C">
          <w:rPr>
            <w:rFonts w:asciiTheme="minorHAnsi" w:eastAsiaTheme="minorEastAsia" w:hAnsiTheme="minorHAnsi" w:cstheme="minorBidi"/>
            <w:color w:val="auto"/>
            <w:sz w:val="22"/>
            <w:lang w:eastAsia="ja-JP"/>
          </w:rPr>
          <w:tab/>
        </w:r>
        <w:r w:rsidR="00FF436C" w:rsidRPr="00EE7AF2">
          <w:rPr>
            <w:rStyle w:val="Hyperlink"/>
          </w:rPr>
          <w:t>Inequality coefficients calculation and analysis</w:t>
        </w:r>
        <w:r w:rsidR="00FF436C">
          <w:rPr>
            <w:webHidden/>
          </w:rPr>
          <w:tab/>
        </w:r>
        <w:r w:rsidR="00FF436C">
          <w:rPr>
            <w:webHidden/>
          </w:rPr>
          <w:fldChar w:fldCharType="begin"/>
        </w:r>
        <w:r w:rsidR="00FF436C">
          <w:rPr>
            <w:webHidden/>
          </w:rPr>
          <w:instrText xml:space="preserve"> PAGEREF _Toc515031460 \h </w:instrText>
        </w:r>
        <w:r w:rsidR="00FF436C">
          <w:rPr>
            <w:webHidden/>
          </w:rPr>
        </w:r>
        <w:r w:rsidR="00FF436C">
          <w:rPr>
            <w:webHidden/>
          </w:rPr>
          <w:fldChar w:fldCharType="separate"/>
        </w:r>
        <w:r w:rsidR="00FF436C">
          <w:rPr>
            <w:webHidden/>
          </w:rPr>
          <w:t>29</w:t>
        </w:r>
        <w:r w:rsidR="00FF436C">
          <w:rPr>
            <w:webHidden/>
          </w:rPr>
          <w:fldChar w:fldCharType="end"/>
        </w:r>
      </w:hyperlink>
    </w:p>
    <w:p w14:paraId="29F6F02D" w14:textId="68D55D3B" w:rsidR="00FF436C" w:rsidRDefault="004C2BB2">
      <w:pPr>
        <w:pStyle w:val="TOC2"/>
        <w:rPr>
          <w:rFonts w:asciiTheme="minorHAnsi" w:eastAsiaTheme="minorEastAsia" w:hAnsiTheme="minorHAnsi" w:cstheme="minorBidi"/>
          <w:color w:val="auto"/>
          <w:sz w:val="22"/>
          <w:lang w:eastAsia="ja-JP"/>
        </w:rPr>
      </w:pPr>
      <w:hyperlink w:anchor="_Toc515031461" w:history="1">
        <w:r w:rsidR="00FF436C" w:rsidRPr="00EE7AF2">
          <w:rPr>
            <w:rStyle w:val="Hyperlink"/>
          </w:rPr>
          <w:t>References</w:t>
        </w:r>
        <w:r w:rsidR="00FF436C">
          <w:rPr>
            <w:webHidden/>
          </w:rPr>
          <w:tab/>
          <w:t>………………………………………………………………………………………………………………………..</w:t>
        </w:r>
        <w:r w:rsidR="00FF436C">
          <w:rPr>
            <w:webHidden/>
          </w:rPr>
          <w:fldChar w:fldCharType="begin"/>
        </w:r>
        <w:r w:rsidR="00FF436C">
          <w:rPr>
            <w:webHidden/>
          </w:rPr>
          <w:instrText xml:space="preserve"> PAGEREF _Toc515031461 \h </w:instrText>
        </w:r>
        <w:r w:rsidR="00FF436C">
          <w:rPr>
            <w:webHidden/>
          </w:rPr>
        </w:r>
        <w:r w:rsidR="00FF436C">
          <w:rPr>
            <w:webHidden/>
          </w:rPr>
          <w:fldChar w:fldCharType="separate"/>
        </w:r>
        <w:r w:rsidR="00FF436C">
          <w:rPr>
            <w:webHidden/>
          </w:rPr>
          <w:t>31</w:t>
        </w:r>
        <w:r w:rsidR="00FF436C">
          <w:rPr>
            <w:webHidden/>
          </w:rPr>
          <w:fldChar w:fldCharType="end"/>
        </w:r>
      </w:hyperlink>
    </w:p>
    <w:p w14:paraId="795E5939" w14:textId="77777777" w:rsidR="003053C7" w:rsidRDefault="00846190" w:rsidP="008B2EB2">
      <w:pPr>
        <w:pStyle w:val="TOC2"/>
        <w:rPr>
          <w:rFonts w:eastAsiaTheme="majorEastAsia" w:cstheme="majorBidi"/>
          <w:color w:val="00A9CE" w:themeColor="accent1"/>
          <w:sz w:val="44"/>
          <w:szCs w:val="28"/>
        </w:rPr>
      </w:pPr>
      <w:r>
        <w:fldChar w:fldCharType="end"/>
      </w:r>
      <w:r w:rsidR="003053C7">
        <w:br w:type="page"/>
      </w:r>
    </w:p>
    <w:p w14:paraId="3391DD83" w14:textId="77777777" w:rsidR="00A943B2" w:rsidRDefault="004D139E" w:rsidP="00D1044D">
      <w:pPr>
        <w:pStyle w:val="ListofFiguresandTablesTOCHeading"/>
      </w:pPr>
      <w:r w:rsidRPr="00D1044D">
        <w:lastRenderedPageBreak/>
        <w:t>F</w:t>
      </w:r>
      <w:r w:rsidR="00A943B2" w:rsidRPr="00D1044D">
        <w:t>igures</w:t>
      </w:r>
    </w:p>
    <w:p w14:paraId="03306641" w14:textId="77777777" w:rsidR="00FF436C" w:rsidRDefault="00846190">
      <w:pPr>
        <w:pStyle w:val="TableofFigures"/>
        <w:rPr>
          <w:rFonts w:asciiTheme="minorHAnsi" w:eastAsiaTheme="minorEastAsia" w:hAnsiTheme="minorHAnsi" w:cstheme="minorBidi"/>
          <w:noProof/>
          <w:color w:val="auto"/>
          <w:sz w:val="22"/>
          <w:lang w:eastAsia="ja-JP"/>
        </w:rPr>
      </w:pPr>
      <w:r>
        <w:fldChar w:fldCharType="begin"/>
      </w:r>
      <w:r w:rsidR="00A943B2">
        <w:instrText xml:space="preserve"> TOC \h \z \c "Figure" </w:instrText>
      </w:r>
      <w:r>
        <w:fldChar w:fldCharType="separate"/>
      </w:r>
      <w:hyperlink w:anchor="_Toc515031464" w:history="1">
        <w:r w:rsidR="00FF436C" w:rsidRPr="007E7FAA">
          <w:rPr>
            <w:rStyle w:val="Hyperlink"/>
            <w:noProof/>
          </w:rPr>
          <w:t>Figure 1. Terms of trade, goods, quarterly trend</w:t>
        </w:r>
        <w:r w:rsidR="00FF436C">
          <w:rPr>
            <w:noProof/>
            <w:webHidden/>
          </w:rPr>
          <w:tab/>
        </w:r>
        <w:r w:rsidR="00FF436C">
          <w:rPr>
            <w:noProof/>
            <w:webHidden/>
          </w:rPr>
          <w:fldChar w:fldCharType="begin"/>
        </w:r>
        <w:r w:rsidR="00FF436C">
          <w:rPr>
            <w:noProof/>
            <w:webHidden/>
          </w:rPr>
          <w:instrText xml:space="preserve"> PAGEREF _Toc515031464 \h </w:instrText>
        </w:r>
        <w:r w:rsidR="00FF436C">
          <w:rPr>
            <w:noProof/>
            <w:webHidden/>
          </w:rPr>
        </w:r>
        <w:r w:rsidR="00FF436C">
          <w:rPr>
            <w:noProof/>
            <w:webHidden/>
          </w:rPr>
          <w:fldChar w:fldCharType="separate"/>
        </w:r>
        <w:r w:rsidR="00FF436C">
          <w:rPr>
            <w:noProof/>
            <w:webHidden/>
          </w:rPr>
          <w:t>12</w:t>
        </w:r>
        <w:r w:rsidR="00FF436C">
          <w:rPr>
            <w:noProof/>
            <w:webHidden/>
          </w:rPr>
          <w:fldChar w:fldCharType="end"/>
        </w:r>
      </w:hyperlink>
    </w:p>
    <w:p w14:paraId="72CF8634"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65" w:history="1">
        <w:r w:rsidR="00FF436C" w:rsidRPr="007E7FAA">
          <w:rPr>
            <w:rStyle w:val="Hyperlink"/>
            <w:noProof/>
          </w:rPr>
          <w:t>Figure 2. Extractive industries share of the value of total goods exported</w:t>
        </w:r>
        <w:r w:rsidR="00FF436C">
          <w:rPr>
            <w:noProof/>
            <w:webHidden/>
          </w:rPr>
          <w:tab/>
        </w:r>
        <w:r w:rsidR="00FF436C">
          <w:rPr>
            <w:noProof/>
            <w:webHidden/>
          </w:rPr>
          <w:fldChar w:fldCharType="begin"/>
        </w:r>
        <w:r w:rsidR="00FF436C">
          <w:rPr>
            <w:noProof/>
            <w:webHidden/>
          </w:rPr>
          <w:instrText xml:space="preserve"> PAGEREF _Toc515031465 \h </w:instrText>
        </w:r>
        <w:r w:rsidR="00FF436C">
          <w:rPr>
            <w:noProof/>
            <w:webHidden/>
          </w:rPr>
        </w:r>
        <w:r w:rsidR="00FF436C">
          <w:rPr>
            <w:noProof/>
            <w:webHidden/>
          </w:rPr>
          <w:fldChar w:fldCharType="separate"/>
        </w:r>
        <w:r w:rsidR="00FF436C">
          <w:rPr>
            <w:noProof/>
            <w:webHidden/>
          </w:rPr>
          <w:t>12</w:t>
        </w:r>
        <w:r w:rsidR="00FF436C">
          <w:rPr>
            <w:noProof/>
            <w:webHidden/>
          </w:rPr>
          <w:fldChar w:fldCharType="end"/>
        </w:r>
      </w:hyperlink>
    </w:p>
    <w:p w14:paraId="1E5C7ABF"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66" w:history="1">
        <w:r w:rsidR="00FF436C" w:rsidRPr="007E7FAA">
          <w:rPr>
            <w:rStyle w:val="Hyperlink"/>
            <w:noProof/>
          </w:rPr>
          <w:t>Figure 3. Industry gross value added as share of national Australian GDP, added annually, current prices</w:t>
        </w:r>
        <w:r w:rsidR="00FF436C">
          <w:rPr>
            <w:noProof/>
            <w:webHidden/>
          </w:rPr>
          <w:tab/>
        </w:r>
        <w:r w:rsidR="00FF436C">
          <w:rPr>
            <w:noProof/>
            <w:webHidden/>
          </w:rPr>
          <w:fldChar w:fldCharType="begin"/>
        </w:r>
        <w:r w:rsidR="00FF436C">
          <w:rPr>
            <w:noProof/>
            <w:webHidden/>
          </w:rPr>
          <w:instrText xml:space="preserve"> PAGEREF _Toc515031466 \h </w:instrText>
        </w:r>
        <w:r w:rsidR="00FF436C">
          <w:rPr>
            <w:noProof/>
            <w:webHidden/>
          </w:rPr>
        </w:r>
        <w:r w:rsidR="00FF436C">
          <w:rPr>
            <w:noProof/>
            <w:webHidden/>
          </w:rPr>
          <w:fldChar w:fldCharType="separate"/>
        </w:r>
        <w:r w:rsidR="00FF436C">
          <w:rPr>
            <w:noProof/>
            <w:webHidden/>
          </w:rPr>
          <w:t>13</w:t>
        </w:r>
        <w:r w:rsidR="00FF436C">
          <w:rPr>
            <w:noProof/>
            <w:webHidden/>
          </w:rPr>
          <w:fldChar w:fldCharType="end"/>
        </w:r>
      </w:hyperlink>
    </w:p>
    <w:p w14:paraId="5CDDB38C"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67" w:history="1">
        <w:r w:rsidR="00FF436C" w:rsidRPr="007E7FAA">
          <w:rPr>
            <w:rStyle w:val="Hyperlink"/>
            <w:noProof/>
          </w:rPr>
          <w:t>Figure 4. Quarterly private resources and energy exploration expenditure</w:t>
        </w:r>
        <w:r w:rsidR="00FF436C">
          <w:rPr>
            <w:noProof/>
            <w:webHidden/>
          </w:rPr>
          <w:tab/>
        </w:r>
        <w:r w:rsidR="00FF436C">
          <w:rPr>
            <w:noProof/>
            <w:webHidden/>
          </w:rPr>
          <w:fldChar w:fldCharType="begin"/>
        </w:r>
        <w:r w:rsidR="00FF436C">
          <w:rPr>
            <w:noProof/>
            <w:webHidden/>
          </w:rPr>
          <w:instrText xml:space="preserve"> PAGEREF _Toc515031467 \h </w:instrText>
        </w:r>
        <w:r w:rsidR="00FF436C">
          <w:rPr>
            <w:noProof/>
            <w:webHidden/>
          </w:rPr>
        </w:r>
        <w:r w:rsidR="00FF436C">
          <w:rPr>
            <w:noProof/>
            <w:webHidden/>
          </w:rPr>
          <w:fldChar w:fldCharType="separate"/>
        </w:r>
        <w:r w:rsidR="00FF436C">
          <w:rPr>
            <w:noProof/>
            <w:webHidden/>
          </w:rPr>
          <w:t>14</w:t>
        </w:r>
        <w:r w:rsidR="00FF436C">
          <w:rPr>
            <w:noProof/>
            <w:webHidden/>
          </w:rPr>
          <w:fldChar w:fldCharType="end"/>
        </w:r>
      </w:hyperlink>
    </w:p>
    <w:p w14:paraId="403DEA9C"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68" w:history="1">
        <w:r w:rsidR="00FF436C" w:rsidRPr="007E7FAA">
          <w:rPr>
            <w:rStyle w:val="Hyperlink"/>
            <w:noProof/>
          </w:rPr>
          <w:t>Figure 5. National employment in mining: cumulative figures by state over time.</w:t>
        </w:r>
        <w:r w:rsidR="00FF436C">
          <w:rPr>
            <w:noProof/>
            <w:webHidden/>
          </w:rPr>
          <w:tab/>
        </w:r>
        <w:r w:rsidR="00FF436C">
          <w:rPr>
            <w:noProof/>
            <w:webHidden/>
          </w:rPr>
          <w:fldChar w:fldCharType="begin"/>
        </w:r>
        <w:r w:rsidR="00FF436C">
          <w:rPr>
            <w:noProof/>
            <w:webHidden/>
          </w:rPr>
          <w:instrText xml:space="preserve"> PAGEREF _Toc515031468 \h </w:instrText>
        </w:r>
        <w:r w:rsidR="00FF436C">
          <w:rPr>
            <w:noProof/>
            <w:webHidden/>
          </w:rPr>
        </w:r>
        <w:r w:rsidR="00FF436C">
          <w:rPr>
            <w:noProof/>
            <w:webHidden/>
          </w:rPr>
          <w:fldChar w:fldCharType="separate"/>
        </w:r>
        <w:r w:rsidR="00FF436C">
          <w:rPr>
            <w:noProof/>
            <w:webHidden/>
          </w:rPr>
          <w:t>15</w:t>
        </w:r>
        <w:r w:rsidR="00FF436C">
          <w:rPr>
            <w:noProof/>
            <w:webHidden/>
          </w:rPr>
          <w:fldChar w:fldCharType="end"/>
        </w:r>
      </w:hyperlink>
    </w:p>
    <w:p w14:paraId="225E39F7"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69" w:history="1">
        <w:r w:rsidR="00FF436C" w:rsidRPr="007E7FAA">
          <w:rPr>
            <w:rStyle w:val="Hyperlink"/>
            <w:noProof/>
          </w:rPr>
          <w:t>Figure 6. Mining employment: Australian regional areas vs capital cities ratios. Moving average trend, calculated based on four quarters’ average</w:t>
        </w:r>
        <w:r w:rsidR="00FF436C">
          <w:rPr>
            <w:noProof/>
            <w:webHidden/>
          </w:rPr>
          <w:tab/>
        </w:r>
        <w:r w:rsidR="00FF436C">
          <w:rPr>
            <w:noProof/>
            <w:webHidden/>
          </w:rPr>
          <w:fldChar w:fldCharType="begin"/>
        </w:r>
        <w:r w:rsidR="00FF436C">
          <w:rPr>
            <w:noProof/>
            <w:webHidden/>
          </w:rPr>
          <w:instrText xml:space="preserve"> PAGEREF _Toc515031469 \h </w:instrText>
        </w:r>
        <w:r w:rsidR="00FF436C">
          <w:rPr>
            <w:noProof/>
            <w:webHidden/>
          </w:rPr>
        </w:r>
        <w:r w:rsidR="00FF436C">
          <w:rPr>
            <w:noProof/>
            <w:webHidden/>
          </w:rPr>
          <w:fldChar w:fldCharType="separate"/>
        </w:r>
        <w:r w:rsidR="00FF436C">
          <w:rPr>
            <w:noProof/>
            <w:webHidden/>
          </w:rPr>
          <w:t>16</w:t>
        </w:r>
        <w:r w:rsidR="00FF436C">
          <w:rPr>
            <w:noProof/>
            <w:webHidden/>
          </w:rPr>
          <w:fldChar w:fldCharType="end"/>
        </w:r>
      </w:hyperlink>
    </w:p>
    <w:p w14:paraId="13E283A9"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70" w:history="1">
        <w:r w:rsidR="00FF436C" w:rsidRPr="007E7FAA">
          <w:rPr>
            <w:rStyle w:val="Hyperlink"/>
            <w:noProof/>
          </w:rPr>
          <w:t>Figure 7. Mining employment: Percentage of national employment in mining vs agriculture industry</w:t>
        </w:r>
        <w:r w:rsidR="00FF436C">
          <w:rPr>
            <w:noProof/>
            <w:webHidden/>
          </w:rPr>
          <w:tab/>
        </w:r>
        <w:r w:rsidR="00FF436C">
          <w:rPr>
            <w:noProof/>
            <w:webHidden/>
          </w:rPr>
          <w:fldChar w:fldCharType="begin"/>
        </w:r>
        <w:r w:rsidR="00FF436C">
          <w:rPr>
            <w:noProof/>
            <w:webHidden/>
          </w:rPr>
          <w:instrText xml:space="preserve"> PAGEREF _Toc515031470 \h </w:instrText>
        </w:r>
        <w:r w:rsidR="00FF436C">
          <w:rPr>
            <w:noProof/>
            <w:webHidden/>
          </w:rPr>
        </w:r>
        <w:r w:rsidR="00FF436C">
          <w:rPr>
            <w:noProof/>
            <w:webHidden/>
          </w:rPr>
          <w:fldChar w:fldCharType="separate"/>
        </w:r>
        <w:r w:rsidR="00FF436C">
          <w:rPr>
            <w:noProof/>
            <w:webHidden/>
          </w:rPr>
          <w:t>17</w:t>
        </w:r>
        <w:r w:rsidR="00FF436C">
          <w:rPr>
            <w:noProof/>
            <w:webHidden/>
          </w:rPr>
          <w:fldChar w:fldCharType="end"/>
        </w:r>
      </w:hyperlink>
    </w:p>
    <w:p w14:paraId="73E1B672"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71" w:history="1">
        <w:r w:rsidR="00FF436C" w:rsidRPr="007E7FAA">
          <w:rPr>
            <w:rStyle w:val="Hyperlink"/>
            <w:noProof/>
          </w:rPr>
          <w:t>Figure 8. LGAs where employment in 2016 in the mining sector was among the top five employment sectors</w:t>
        </w:r>
        <w:r w:rsidR="00FF436C">
          <w:rPr>
            <w:noProof/>
            <w:webHidden/>
          </w:rPr>
          <w:tab/>
        </w:r>
        <w:r w:rsidR="00FF436C">
          <w:rPr>
            <w:noProof/>
            <w:webHidden/>
          </w:rPr>
          <w:fldChar w:fldCharType="begin"/>
        </w:r>
        <w:r w:rsidR="00FF436C">
          <w:rPr>
            <w:noProof/>
            <w:webHidden/>
          </w:rPr>
          <w:instrText xml:space="preserve"> PAGEREF _Toc515031471 \h </w:instrText>
        </w:r>
        <w:r w:rsidR="00FF436C">
          <w:rPr>
            <w:noProof/>
            <w:webHidden/>
          </w:rPr>
        </w:r>
        <w:r w:rsidR="00FF436C">
          <w:rPr>
            <w:noProof/>
            <w:webHidden/>
          </w:rPr>
          <w:fldChar w:fldCharType="separate"/>
        </w:r>
        <w:r w:rsidR="00FF436C">
          <w:rPr>
            <w:noProof/>
            <w:webHidden/>
          </w:rPr>
          <w:t>18</w:t>
        </w:r>
        <w:r w:rsidR="00FF436C">
          <w:rPr>
            <w:noProof/>
            <w:webHidden/>
          </w:rPr>
          <w:fldChar w:fldCharType="end"/>
        </w:r>
      </w:hyperlink>
    </w:p>
    <w:p w14:paraId="35211B44"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72" w:history="1">
        <w:r w:rsidR="00FF436C" w:rsidRPr="007E7FAA">
          <w:rPr>
            <w:rStyle w:val="Hyperlink"/>
            <w:noProof/>
          </w:rPr>
          <w:t>Figure 9. Percentage change in the inequality Gini coefficient in mining regions, 2006–2016</w:t>
        </w:r>
        <w:r w:rsidR="00FF436C">
          <w:rPr>
            <w:noProof/>
            <w:webHidden/>
          </w:rPr>
          <w:tab/>
        </w:r>
        <w:r w:rsidR="00FF436C">
          <w:rPr>
            <w:noProof/>
            <w:webHidden/>
          </w:rPr>
          <w:fldChar w:fldCharType="begin"/>
        </w:r>
        <w:r w:rsidR="00FF436C">
          <w:rPr>
            <w:noProof/>
            <w:webHidden/>
          </w:rPr>
          <w:instrText xml:space="preserve"> PAGEREF _Toc515031472 \h </w:instrText>
        </w:r>
        <w:r w:rsidR="00FF436C">
          <w:rPr>
            <w:noProof/>
            <w:webHidden/>
          </w:rPr>
        </w:r>
        <w:r w:rsidR="00FF436C">
          <w:rPr>
            <w:noProof/>
            <w:webHidden/>
          </w:rPr>
          <w:fldChar w:fldCharType="separate"/>
        </w:r>
        <w:r w:rsidR="00FF436C">
          <w:rPr>
            <w:noProof/>
            <w:webHidden/>
          </w:rPr>
          <w:t>20</w:t>
        </w:r>
        <w:r w:rsidR="00FF436C">
          <w:rPr>
            <w:noProof/>
            <w:webHidden/>
          </w:rPr>
          <w:fldChar w:fldCharType="end"/>
        </w:r>
      </w:hyperlink>
    </w:p>
    <w:p w14:paraId="521FD040"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73" w:history="1">
        <w:r w:rsidR="00FF436C" w:rsidRPr="007E7FAA">
          <w:rPr>
            <w:rStyle w:val="Hyperlink"/>
            <w:noProof/>
          </w:rPr>
          <w:t>Figure 10. Research and development business expenditure ratio of national totals</w:t>
        </w:r>
        <w:r w:rsidR="00FF436C">
          <w:rPr>
            <w:noProof/>
            <w:webHidden/>
          </w:rPr>
          <w:tab/>
        </w:r>
        <w:r w:rsidR="00FF436C">
          <w:rPr>
            <w:noProof/>
            <w:webHidden/>
          </w:rPr>
          <w:fldChar w:fldCharType="begin"/>
        </w:r>
        <w:r w:rsidR="00FF436C">
          <w:rPr>
            <w:noProof/>
            <w:webHidden/>
          </w:rPr>
          <w:instrText xml:space="preserve"> PAGEREF _Toc515031473 \h </w:instrText>
        </w:r>
        <w:r w:rsidR="00FF436C">
          <w:rPr>
            <w:noProof/>
            <w:webHidden/>
          </w:rPr>
        </w:r>
        <w:r w:rsidR="00FF436C">
          <w:rPr>
            <w:noProof/>
            <w:webHidden/>
          </w:rPr>
          <w:fldChar w:fldCharType="separate"/>
        </w:r>
        <w:r w:rsidR="00FF436C">
          <w:rPr>
            <w:noProof/>
            <w:webHidden/>
          </w:rPr>
          <w:t>24</w:t>
        </w:r>
        <w:r w:rsidR="00FF436C">
          <w:rPr>
            <w:noProof/>
            <w:webHidden/>
          </w:rPr>
          <w:fldChar w:fldCharType="end"/>
        </w:r>
      </w:hyperlink>
    </w:p>
    <w:p w14:paraId="29850B35"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74" w:history="1">
        <w:r w:rsidR="00FF436C" w:rsidRPr="007E7FAA">
          <w:rPr>
            <w:rStyle w:val="Hyperlink"/>
            <w:noProof/>
          </w:rPr>
          <w:t>Figure 11. Research &amp; development business expenditure ratios of state totals (part 1)</w:t>
        </w:r>
        <w:r w:rsidR="00FF436C">
          <w:rPr>
            <w:noProof/>
            <w:webHidden/>
          </w:rPr>
          <w:tab/>
        </w:r>
        <w:r w:rsidR="00FF436C">
          <w:rPr>
            <w:noProof/>
            <w:webHidden/>
          </w:rPr>
          <w:fldChar w:fldCharType="begin"/>
        </w:r>
        <w:r w:rsidR="00FF436C">
          <w:rPr>
            <w:noProof/>
            <w:webHidden/>
          </w:rPr>
          <w:instrText xml:space="preserve"> PAGEREF _Toc515031474 \h </w:instrText>
        </w:r>
        <w:r w:rsidR="00FF436C">
          <w:rPr>
            <w:noProof/>
            <w:webHidden/>
          </w:rPr>
        </w:r>
        <w:r w:rsidR="00FF436C">
          <w:rPr>
            <w:noProof/>
            <w:webHidden/>
          </w:rPr>
          <w:fldChar w:fldCharType="separate"/>
        </w:r>
        <w:r w:rsidR="00FF436C">
          <w:rPr>
            <w:noProof/>
            <w:webHidden/>
          </w:rPr>
          <w:t>25</w:t>
        </w:r>
        <w:r w:rsidR="00FF436C">
          <w:rPr>
            <w:noProof/>
            <w:webHidden/>
          </w:rPr>
          <w:fldChar w:fldCharType="end"/>
        </w:r>
      </w:hyperlink>
    </w:p>
    <w:p w14:paraId="700BAF91"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75" w:history="1">
        <w:r w:rsidR="00FF436C" w:rsidRPr="007E7FAA">
          <w:rPr>
            <w:rStyle w:val="Hyperlink"/>
            <w:noProof/>
          </w:rPr>
          <w:t>Figure 12. Research &amp; development business expenditure ratios of state totals (part 2)</w:t>
        </w:r>
        <w:r w:rsidR="00FF436C">
          <w:rPr>
            <w:noProof/>
            <w:webHidden/>
          </w:rPr>
          <w:tab/>
        </w:r>
        <w:r w:rsidR="00FF436C">
          <w:rPr>
            <w:noProof/>
            <w:webHidden/>
          </w:rPr>
          <w:fldChar w:fldCharType="begin"/>
        </w:r>
        <w:r w:rsidR="00FF436C">
          <w:rPr>
            <w:noProof/>
            <w:webHidden/>
          </w:rPr>
          <w:instrText xml:space="preserve"> PAGEREF _Toc515031475 \h </w:instrText>
        </w:r>
        <w:r w:rsidR="00FF436C">
          <w:rPr>
            <w:noProof/>
            <w:webHidden/>
          </w:rPr>
        </w:r>
        <w:r w:rsidR="00FF436C">
          <w:rPr>
            <w:noProof/>
            <w:webHidden/>
          </w:rPr>
          <w:fldChar w:fldCharType="separate"/>
        </w:r>
        <w:r w:rsidR="00FF436C">
          <w:rPr>
            <w:noProof/>
            <w:webHidden/>
          </w:rPr>
          <w:t>26</w:t>
        </w:r>
        <w:r w:rsidR="00FF436C">
          <w:rPr>
            <w:noProof/>
            <w:webHidden/>
          </w:rPr>
          <w:fldChar w:fldCharType="end"/>
        </w:r>
      </w:hyperlink>
    </w:p>
    <w:p w14:paraId="56E2D8E6" w14:textId="77777777" w:rsidR="004C4580" w:rsidRDefault="00846190">
      <w:pPr>
        <w:pStyle w:val="TableofFigures"/>
      </w:pPr>
      <w:r>
        <w:fldChar w:fldCharType="end"/>
      </w:r>
    </w:p>
    <w:p w14:paraId="333D9B6E" w14:textId="2B281F2E" w:rsidR="00FF436C" w:rsidRDefault="00846190">
      <w:pPr>
        <w:pStyle w:val="TableofFigures"/>
        <w:rPr>
          <w:rFonts w:asciiTheme="minorHAnsi" w:eastAsiaTheme="minorEastAsia" w:hAnsiTheme="minorHAnsi" w:cstheme="minorBidi"/>
          <w:noProof/>
          <w:color w:val="auto"/>
          <w:sz w:val="22"/>
          <w:lang w:eastAsia="ja-JP"/>
        </w:rPr>
      </w:pPr>
      <w:r>
        <w:rPr>
          <w:sz w:val="22"/>
        </w:rPr>
        <w:fldChar w:fldCharType="begin"/>
      </w:r>
      <w:r w:rsidR="003053C7">
        <w:instrText xml:space="preserve"> TOC \h \z \c "Apx Figure" </w:instrText>
      </w:r>
      <w:r>
        <w:rPr>
          <w:sz w:val="22"/>
        </w:rPr>
        <w:fldChar w:fldCharType="separate"/>
      </w:r>
      <w:hyperlink w:anchor="_Toc515031477" w:history="1">
        <w:r w:rsidR="00FF436C" w:rsidRPr="004051E7">
          <w:rPr>
            <w:rStyle w:val="Hyperlink"/>
            <w:noProof/>
          </w:rPr>
          <w:t>Figure A.1 Percentage change in the inequality Gini coefficient in mining regions, 2006–2016</w:t>
        </w:r>
        <w:r w:rsidR="00FF436C">
          <w:rPr>
            <w:noProof/>
            <w:webHidden/>
          </w:rPr>
          <w:tab/>
        </w:r>
        <w:r w:rsidR="00FF436C">
          <w:rPr>
            <w:noProof/>
            <w:webHidden/>
          </w:rPr>
          <w:fldChar w:fldCharType="begin"/>
        </w:r>
        <w:r w:rsidR="00FF436C">
          <w:rPr>
            <w:noProof/>
            <w:webHidden/>
          </w:rPr>
          <w:instrText xml:space="preserve"> PAGEREF _Toc515031477 \h </w:instrText>
        </w:r>
        <w:r w:rsidR="00FF436C">
          <w:rPr>
            <w:noProof/>
            <w:webHidden/>
          </w:rPr>
        </w:r>
        <w:r w:rsidR="00FF436C">
          <w:rPr>
            <w:noProof/>
            <w:webHidden/>
          </w:rPr>
          <w:fldChar w:fldCharType="separate"/>
        </w:r>
        <w:r w:rsidR="00FF436C">
          <w:rPr>
            <w:noProof/>
            <w:webHidden/>
          </w:rPr>
          <w:t>30</w:t>
        </w:r>
        <w:r w:rsidR="00FF436C">
          <w:rPr>
            <w:noProof/>
            <w:webHidden/>
          </w:rPr>
          <w:fldChar w:fldCharType="end"/>
        </w:r>
      </w:hyperlink>
    </w:p>
    <w:p w14:paraId="6BF57799" w14:textId="77777777" w:rsidR="00A943B2" w:rsidRDefault="00846190" w:rsidP="00D1044D">
      <w:pPr>
        <w:pStyle w:val="ListofFiguresandTablesTOCHeading"/>
      </w:pPr>
      <w:r>
        <w:fldChar w:fldCharType="end"/>
      </w:r>
      <w:r w:rsidR="004D139E">
        <w:t>T</w:t>
      </w:r>
      <w:r w:rsidR="00A943B2">
        <w:t>ables</w:t>
      </w:r>
    </w:p>
    <w:p w14:paraId="2B08CE55" w14:textId="77777777" w:rsidR="00FF436C" w:rsidRDefault="00846190">
      <w:pPr>
        <w:pStyle w:val="TableofFigures"/>
        <w:rPr>
          <w:rFonts w:asciiTheme="minorHAnsi" w:eastAsiaTheme="minorEastAsia" w:hAnsiTheme="minorHAnsi" w:cstheme="minorBidi"/>
          <w:noProof/>
          <w:color w:val="auto"/>
          <w:sz w:val="22"/>
          <w:lang w:eastAsia="ja-JP"/>
        </w:rPr>
      </w:pPr>
      <w:r>
        <w:fldChar w:fldCharType="begin"/>
      </w:r>
      <w:r w:rsidR="00A943B2">
        <w:instrText xml:space="preserve"> TOC \h \z \c "Table" </w:instrText>
      </w:r>
      <w:r>
        <w:fldChar w:fldCharType="separate"/>
      </w:r>
      <w:hyperlink w:anchor="_Toc515031486" w:history="1">
        <w:r w:rsidR="00FF436C" w:rsidRPr="00C2339E">
          <w:rPr>
            <w:rStyle w:val="Hyperlink"/>
            <w:noProof/>
          </w:rPr>
          <w:t>Table 1. Mining industry characteristics across the Australian states and territories.</w:t>
        </w:r>
        <w:r w:rsidR="00FF436C">
          <w:rPr>
            <w:noProof/>
            <w:webHidden/>
          </w:rPr>
          <w:tab/>
        </w:r>
        <w:r w:rsidR="00FF436C">
          <w:rPr>
            <w:noProof/>
            <w:webHidden/>
          </w:rPr>
          <w:fldChar w:fldCharType="begin"/>
        </w:r>
        <w:r w:rsidR="00FF436C">
          <w:rPr>
            <w:noProof/>
            <w:webHidden/>
          </w:rPr>
          <w:instrText xml:space="preserve"> PAGEREF _Toc515031486 \h </w:instrText>
        </w:r>
        <w:r w:rsidR="00FF436C">
          <w:rPr>
            <w:noProof/>
            <w:webHidden/>
          </w:rPr>
        </w:r>
        <w:r w:rsidR="00FF436C">
          <w:rPr>
            <w:noProof/>
            <w:webHidden/>
          </w:rPr>
          <w:fldChar w:fldCharType="separate"/>
        </w:r>
        <w:r w:rsidR="00FF436C">
          <w:rPr>
            <w:noProof/>
            <w:webHidden/>
          </w:rPr>
          <w:t>vi</w:t>
        </w:r>
        <w:r w:rsidR="00FF436C">
          <w:rPr>
            <w:noProof/>
            <w:webHidden/>
          </w:rPr>
          <w:fldChar w:fldCharType="end"/>
        </w:r>
      </w:hyperlink>
    </w:p>
    <w:p w14:paraId="0BE05532"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87" w:history="1">
        <w:r w:rsidR="00FF436C" w:rsidRPr="00C2339E">
          <w:rPr>
            <w:rStyle w:val="Hyperlink"/>
            <w:noProof/>
          </w:rPr>
          <w:t>Table 2. Gini coefficient of inequality and its change during the 2006–2016 period for LGAs</w:t>
        </w:r>
        <w:r w:rsidR="00FF436C">
          <w:rPr>
            <w:noProof/>
            <w:webHidden/>
          </w:rPr>
          <w:tab/>
        </w:r>
        <w:r w:rsidR="00FF436C">
          <w:rPr>
            <w:noProof/>
            <w:webHidden/>
          </w:rPr>
          <w:fldChar w:fldCharType="begin"/>
        </w:r>
        <w:r w:rsidR="00FF436C">
          <w:rPr>
            <w:noProof/>
            <w:webHidden/>
          </w:rPr>
          <w:instrText xml:space="preserve"> PAGEREF _Toc515031487 \h </w:instrText>
        </w:r>
        <w:r w:rsidR="00FF436C">
          <w:rPr>
            <w:noProof/>
            <w:webHidden/>
          </w:rPr>
        </w:r>
        <w:r w:rsidR="00FF436C">
          <w:rPr>
            <w:noProof/>
            <w:webHidden/>
          </w:rPr>
          <w:fldChar w:fldCharType="separate"/>
        </w:r>
        <w:r w:rsidR="00FF436C">
          <w:rPr>
            <w:noProof/>
            <w:webHidden/>
          </w:rPr>
          <w:t>21</w:t>
        </w:r>
        <w:r w:rsidR="00FF436C">
          <w:rPr>
            <w:noProof/>
            <w:webHidden/>
          </w:rPr>
          <w:fldChar w:fldCharType="end"/>
        </w:r>
      </w:hyperlink>
    </w:p>
    <w:p w14:paraId="38310920"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88" w:history="1">
        <w:r w:rsidR="00FF436C" w:rsidRPr="00C2339E">
          <w:rPr>
            <w:rStyle w:val="Hyperlink"/>
            <w:noProof/>
          </w:rPr>
          <w:t>Table 3. Gini coefficient values’ change t-test analysis, LGA level analysis</w:t>
        </w:r>
        <w:r w:rsidR="00FF436C">
          <w:rPr>
            <w:noProof/>
            <w:webHidden/>
          </w:rPr>
          <w:tab/>
        </w:r>
        <w:r w:rsidR="00FF436C">
          <w:rPr>
            <w:noProof/>
            <w:webHidden/>
          </w:rPr>
          <w:fldChar w:fldCharType="begin"/>
        </w:r>
        <w:r w:rsidR="00FF436C">
          <w:rPr>
            <w:noProof/>
            <w:webHidden/>
          </w:rPr>
          <w:instrText xml:space="preserve"> PAGEREF _Toc515031488 \h </w:instrText>
        </w:r>
        <w:r w:rsidR="00FF436C">
          <w:rPr>
            <w:noProof/>
            <w:webHidden/>
          </w:rPr>
        </w:r>
        <w:r w:rsidR="00FF436C">
          <w:rPr>
            <w:noProof/>
            <w:webHidden/>
          </w:rPr>
          <w:fldChar w:fldCharType="separate"/>
        </w:r>
        <w:r w:rsidR="00FF436C">
          <w:rPr>
            <w:noProof/>
            <w:webHidden/>
          </w:rPr>
          <w:t>22</w:t>
        </w:r>
        <w:r w:rsidR="00FF436C">
          <w:rPr>
            <w:noProof/>
            <w:webHidden/>
          </w:rPr>
          <w:fldChar w:fldCharType="end"/>
        </w:r>
      </w:hyperlink>
    </w:p>
    <w:p w14:paraId="6AAFAD06" w14:textId="77777777" w:rsidR="003F1BD5" w:rsidRDefault="00846190">
      <w:pPr>
        <w:pStyle w:val="TableofFigures"/>
      </w:pPr>
      <w:r>
        <w:fldChar w:fldCharType="end"/>
      </w:r>
    </w:p>
    <w:p w14:paraId="2494068F" w14:textId="77777777" w:rsidR="00FF436C" w:rsidRDefault="00846190">
      <w:pPr>
        <w:pStyle w:val="TableofFigures"/>
        <w:rPr>
          <w:rFonts w:asciiTheme="minorHAnsi" w:eastAsiaTheme="minorEastAsia" w:hAnsiTheme="minorHAnsi" w:cstheme="minorBidi"/>
          <w:noProof/>
          <w:color w:val="auto"/>
          <w:sz w:val="22"/>
          <w:lang w:eastAsia="ja-JP"/>
        </w:rPr>
      </w:pPr>
      <w:r>
        <w:fldChar w:fldCharType="begin"/>
      </w:r>
      <w:r w:rsidR="003053C7">
        <w:instrText xml:space="preserve"> TOC \h \z \c "Apx Table" </w:instrText>
      </w:r>
      <w:r>
        <w:fldChar w:fldCharType="separate"/>
      </w:r>
      <w:hyperlink w:anchor="_Toc515031491" w:history="1">
        <w:r w:rsidR="00FF436C" w:rsidRPr="00027B98">
          <w:rPr>
            <w:rStyle w:val="Hyperlink"/>
            <w:noProof/>
          </w:rPr>
          <w:t>Table A.1 Mining regions included in the analysis</w:t>
        </w:r>
        <w:r w:rsidR="00FF436C">
          <w:rPr>
            <w:noProof/>
            <w:webHidden/>
          </w:rPr>
          <w:tab/>
        </w:r>
        <w:r w:rsidR="00FF436C">
          <w:rPr>
            <w:noProof/>
            <w:webHidden/>
          </w:rPr>
          <w:fldChar w:fldCharType="begin"/>
        </w:r>
        <w:r w:rsidR="00FF436C">
          <w:rPr>
            <w:noProof/>
            <w:webHidden/>
          </w:rPr>
          <w:instrText xml:space="preserve"> PAGEREF _Toc515031491 \h </w:instrText>
        </w:r>
        <w:r w:rsidR="00FF436C">
          <w:rPr>
            <w:noProof/>
            <w:webHidden/>
          </w:rPr>
        </w:r>
        <w:r w:rsidR="00FF436C">
          <w:rPr>
            <w:noProof/>
            <w:webHidden/>
          </w:rPr>
          <w:fldChar w:fldCharType="separate"/>
        </w:r>
        <w:r w:rsidR="00FF436C">
          <w:rPr>
            <w:noProof/>
            <w:webHidden/>
          </w:rPr>
          <w:t>29</w:t>
        </w:r>
        <w:r w:rsidR="00FF436C">
          <w:rPr>
            <w:noProof/>
            <w:webHidden/>
          </w:rPr>
          <w:fldChar w:fldCharType="end"/>
        </w:r>
      </w:hyperlink>
    </w:p>
    <w:p w14:paraId="5DCC6E38" w14:textId="77777777" w:rsidR="00FF436C" w:rsidRDefault="004C2BB2">
      <w:pPr>
        <w:pStyle w:val="TableofFigures"/>
        <w:rPr>
          <w:rFonts w:asciiTheme="minorHAnsi" w:eastAsiaTheme="minorEastAsia" w:hAnsiTheme="minorHAnsi" w:cstheme="minorBidi"/>
          <w:noProof/>
          <w:color w:val="auto"/>
          <w:sz w:val="22"/>
          <w:lang w:eastAsia="ja-JP"/>
        </w:rPr>
      </w:pPr>
      <w:hyperlink w:anchor="_Toc515031492" w:history="1">
        <w:r w:rsidR="00FF436C" w:rsidRPr="00027B98">
          <w:rPr>
            <w:rStyle w:val="Hyperlink"/>
            <w:noProof/>
          </w:rPr>
          <w:t>Table A.2 Gini coefficient values’ change t-test analysis, SA2 level analysis</w:t>
        </w:r>
        <w:r w:rsidR="00FF436C">
          <w:rPr>
            <w:noProof/>
            <w:webHidden/>
          </w:rPr>
          <w:tab/>
        </w:r>
        <w:r w:rsidR="00FF436C">
          <w:rPr>
            <w:noProof/>
            <w:webHidden/>
          </w:rPr>
          <w:fldChar w:fldCharType="begin"/>
        </w:r>
        <w:r w:rsidR="00FF436C">
          <w:rPr>
            <w:noProof/>
            <w:webHidden/>
          </w:rPr>
          <w:instrText xml:space="preserve"> PAGEREF _Toc515031492 \h </w:instrText>
        </w:r>
        <w:r w:rsidR="00FF436C">
          <w:rPr>
            <w:noProof/>
            <w:webHidden/>
          </w:rPr>
        </w:r>
        <w:r w:rsidR="00FF436C">
          <w:rPr>
            <w:noProof/>
            <w:webHidden/>
          </w:rPr>
          <w:fldChar w:fldCharType="separate"/>
        </w:r>
        <w:r w:rsidR="00FF436C">
          <w:rPr>
            <w:noProof/>
            <w:webHidden/>
          </w:rPr>
          <w:t>30</w:t>
        </w:r>
        <w:r w:rsidR="00FF436C">
          <w:rPr>
            <w:noProof/>
            <w:webHidden/>
          </w:rPr>
          <w:fldChar w:fldCharType="end"/>
        </w:r>
      </w:hyperlink>
    </w:p>
    <w:p w14:paraId="0D886F48" w14:textId="77777777" w:rsidR="00A943B2" w:rsidRPr="005871BD" w:rsidRDefault="00846190" w:rsidP="00462182">
      <w:pPr>
        <w:pStyle w:val="TableofFigures"/>
      </w:pPr>
      <w:r>
        <w:fldChar w:fldCharType="end"/>
      </w:r>
    </w:p>
    <w:p w14:paraId="45114817" w14:textId="77777777" w:rsidR="00A943B2" w:rsidRDefault="00A943B2" w:rsidP="004E1189">
      <w:pPr>
        <w:pStyle w:val="Heading1notnumbered"/>
        <w:spacing w:line="276" w:lineRule="auto"/>
      </w:pPr>
      <w:bookmarkStart w:id="0" w:name="_Toc315694430"/>
      <w:bookmarkStart w:id="1" w:name="_Toc515031450"/>
      <w:r>
        <w:lastRenderedPageBreak/>
        <w:t>Executive summary</w:t>
      </w:r>
      <w:bookmarkEnd w:id="0"/>
      <w:bookmarkEnd w:id="1"/>
    </w:p>
    <w:p w14:paraId="00308C20" w14:textId="6D9B3284" w:rsidR="00606583" w:rsidRPr="00732AD4" w:rsidRDefault="00733CB4" w:rsidP="004E1189">
      <w:pPr>
        <w:pStyle w:val="BodyText"/>
        <w:spacing w:line="276" w:lineRule="auto"/>
        <w:jc w:val="both"/>
      </w:pPr>
      <w:r w:rsidRPr="00732AD4">
        <w:t>Th</w:t>
      </w:r>
      <w:r w:rsidR="00CA403C" w:rsidRPr="00732AD4">
        <w:t xml:space="preserve">is </w:t>
      </w:r>
      <w:r w:rsidRPr="00732AD4">
        <w:t>report</w:t>
      </w:r>
      <w:r w:rsidR="002130B5" w:rsidRPr="00732AD4">
        <w:t xml:space="preserve"> </w:t>
      </w:r>
      <w:r w:rsidR="00F20726">
        <w:t xml:space="preserve">identifies </w:t>
      </w:r>
      <w:r w:rsidRPr="00732AD4">
        <w:t>socio-economic benefits and impacts of mining</w:t>
      </w:r>
      <w:r w:rsidR="00F20726">
        <w:t xml:space="preserve"> at a State and Territory level across</w:t>
      </w:r>
      <w:r w:rsidRPr="00732AD4">
        <w:t xml:space="preserve"> </w:t>
      </w:r>
      <w:r w:rsidR="00CA403C" w:rsidRPr="00732AD4">
        <w:t xml:space="preserve">the </w:t>
      </w:r>
      <w:r w:rsidRPr="00732AD4">
        <w:t xml:space="preserve">lifecycle of the industry. </w:t>
      </w:r>
      <w:r w:rsidR="00606583" w:rsidRPr="00732AD4">
        <w:t xml:space="preserve">The report considers cross-sectoral effects and draws attention to ways the mining sector is changing relative to other sectors such as agriculture and manufacturing. Throughout these changes there are a series of challenges to contend with and opportunities to seize. </w:t>
      </w:r>
    </w:p>
    <w:p w14:paraId="6D0B56FE" w14:textId="617C4A77" w:rsidR="00606583" w:rsidRPr="00732AD4" w:rsidRDefault="00733CB4" w:rsidP="004E1189">
      <w:pPr>
        <w:pStyle w:val="BodyText"/>
        <w:spacing w:line="276" w:lineRule="auto"/>
        <w:jc w:val="both"/>
        <w:rPr>
          <w:color w:val="auto"/>
        </w:rPr>
      </w:pPr>
      <w:r w:rsidRPr="00732AD4">
        <w:rPr>
          <w:color w:val="auto"/>
        </w:rPr>
        <w:t xml:space="preserve">The report </w:t>
      </w:r>
      <w:r w:rsidR="00064716" w:rsidRPr="00732AD4">
        <w:rPr>
          <w:color w:val="auto"/>
        </w:rPr>
        <w:t xml:space="preserve">has been </w:t>
      </w:r>
      <w:r w:rsidRPr="00732AD4">
        <w:rPr>
          <w:color w:val="auto"/>
        </w:rPr>
        <w:t>prepared for the Department of Industry, Innovation and Science on behalf of the COAG Land Access for Resources Working Group and forms part of a wider set of projects conducted by CSIRO on the social and economic dimensions of the resources sector.</w:t>
      </w:r>
    </w:p>
    <w:p w14:paraId="7DF1D918" w14:textId="1B41AD6F" w:rsidR="009446EB" w:rsidRPr="00732AD4" w:rsidRDefault="00606583" w:rsidP="004E1189">
      <w:pPr>
        <w:pStyle w:val="BodyText"/>
        <w:spacing w:line="276" w:lineRule="auto"/>
        <w:jc w:val="both"/>
      </w:pPr>
      <w:r w:rsidRPr="00732AD4">
        <w:rPr>
          <w:noProof/>
        </w:rPr>
        <mc:AlternateContent>
          <mc:Choice Requires="wps">
            <w:drawing>
              <wp:anchor distT="91440" distB="91440" distL="114300" distR="114300" simplePos="0" relativeHeight="251832832" behindDoc="0" locked="0" layoutInCell="1" allowOverlap="1" wp14:anchorId="534FF64F" wp14:editId="1A09CEA9">
                <wp:simplePos x="0" y="0"/>
                <wp:positionH relativeFrom="margin">
                  <wp:posOffset>-62230</wp:posOffset>
                </wp:positionH>
                <wp:positionV relativeFrom="paragraph">
                  <wp:posOffset>9134</wp:posOffset>
                </wp:positionV>
                <wp:extent cx="2724150" cy="1265555"/>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265555"/>
                        </a:xfrm>
                        <a:prstGeom prst="rect">
                          <a:avLst/>
                        </a:prstGeom>
                        <a:noFill/>
                        <a:ln w="9525">
                          <a:noFill/>
                          <a:miter lim="800000"/>
                          <a:headEnd/>
                          <a:tailEnd/>
                        </a:ln>
                      </wps:spPr>
                      <wps:txbx>
                        <w:txbxContent>
                          <w:p w14:paraId="5F4DD9CC" w14:textId="6E5B6418" w:rsidR="00B5448A" w:rsidRPr="00E64C6A" w:rsidRDefault="00B5448A" w:rsidP="00733CB4">
                            <w:pPr>
                              <w:pBdr>
                                <w:top w:val="single" w:sz="24" w:space="8" w:color="00A9CE" w:themeColor="accent1"/>
                                <w:bottom w:val="single" w:sz="24" w:space="8" w:color="00A9CE" w:themeColor="accent1"/>
                              </w:pBdr>
                              <w:spacing w:after="0"/>
                              <w:rPr>
                                <w:i/>
                                <w:iCs/>
                                <w:color w:val="00A9CE" w:themeColor="accent1"/>
                                <w:sz w:val="24"/>
                                <w:szCs w:val="24"/>
                              </w:rPr>
                            </w:pPr>
                            <w:r>
                              <w:rPr>
                                <w:i/>
                                <w:iCs/>
                                <w:color w:val="00A9CE" w:themeColor="accent1"/>
                                <w:sz w:val="24"/>
                                <w:szCs w:val="24"/>
                              </w:rPr>
                              <w:t>Signs of recovery in the mining sector exist for terms of trade and for mining employment since 2016. Employment is stronger in non-metropolitan regions.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4FF64F" id="_x0000_t202" coordsize="21600,21600" o:spt="202" path="m,l,21600r21600,l21600,xe">
                <v:stroke joinstyle="miter"/>
                <v:path gradientshapeok="t" o:connecttype="rect"/>
              </v:shapetype>
              <v:shape id="Text Box 2" o:spid="_x0000_s1046" type="#_x0000_t202" style="position:absolute;left:0;text-align:left;margin-left:-4.9pt;margin-top:.7pt;width:214.5pt;height:99.65pt;z-index:25183283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" filled="f" stroked="f">
                <v:textbox>
                  <w:txbxContent>
                    <w:p w14:paraId="5F4DD9CC" w14:textId="6E5B6418" w:rsidR="00B5448A" w:rsidRPr="00E64C6A" w:rsidRDefault="00B5448A" w:rsidP="00733CB4">
                      <w:pPr>
                        <w:pBdr>
                          <w:top w:val="single" w:sz="24" w:space="8" w:color="00A9CE" w:themeColor="accent1"/>
                          <w:bottom w:val="single" w:sz="24" w:space="8" w:color="00A9CE" w:themeColor="accent1"/>
                        </w:pBdr>
                        <w:spacing w:after="0"/>
                        <w:rPr>
                          <w:i/>
                          <w:iCs/>
                          <w:color w:val="00A9CE" w:themeColor="accent1"/>
                          <w:sz w:val="24"/>
                          <w:szCs w:val="24"/>
                        </w:rPr>
                      </w:pPr>
                      <w:r>
                        <w:rPr>
                          <w:i/>
                          <w:iCs/>
                          <w:color w:val="00A9CE" w:themeColor="accent1"/>
                          <w:sz w:val="24"/>
                          <w:szCs w:val="24"/>
                        </w:rPr>
                        <w:t>Signs of recovery in the mining sector exist for terms of trade and for mining employment since 2016. Employment is stronger in non-metropolitan regions.</w:t>
                      </w:r>
                    </w:p>
                  </w:txbxContent>
                </v:textbox>
                <w10:wrap type="square" anchorx="margin"/>
              </v:shape>
            </w:pict>
          </mc:Fallback>
        </mc:AlternateContent>
      </w:r>
      <w:r w:rsidR="00733CB4" w:rsidRPr="00732AD4">
        <w:t>T</w:t>
      </w:r>
      <w:r w:rsidR="00F20726">
        <w:t>he report is presented in t</w:t>
      </w:r>
      <w:r w:rsidR="00733CB4" w:rsidRPr="00732AD4">
        <w:t>wo parts, with the first part investigating changes in the mining sector’s development based on key indicators</w:t>
      </w:r>
      <w:r w:rsidR="00B65C8E" w:rsidRPr="00732AD4">
        <w:t xml:space="preserve"> including exports, employment and</w:t>
      </w:r>
      <w:r w:rsidR="00733CB4" w:rsidRPr="00732AD4">
        <w:t xml:space="preserve"> income </w:t>
      </w:r>
      <w:r w:rsidR="00D34AA7" w:rsidRPr="00732AD4">
        <w:t>inequality</w:t>
      </w:r>
      <w:r w:rsidR="009D221B" w:rsidRPr="00732AD4">
        <w:t>.</w:t>
      </w:r>
      <w:r w:rsidR="00D34AA7" w:rsidRPr="00732AD4">
        <w:t xml:space="preserve"> </w:t>
      </w:r>
    </w:p>
    <w:p w14:paraId="75AAD3AB" w14:textId="78B878ED" w:rsidR="00A631F3" w:rsidRPr="00732AD4" w:rsidRDefault="00C318A5" w:rsidP="004E1189">
      <w:pPr>
        <w:pStyle w:val="BodyText"/>
        <w:spacing w:line="276" w:lineRule="auto"/>
        <w:jc w:val="both"/>
      </w:pPr>
      <w:r>
        <w:t>At the national scale t</w:t>
      </w:r>
      <w:r w:rsidR="00F20726">
        <w:t xml:space="preserve">he </w:t>
      </w:r>
      <w:r w:rsidR="00F827C3" w:rsidRPr="00732AD4">
        <w:t xml:space="preserve">mining industry </w:t>
      </w:r>
      <w:r w:rsidR="00F20726">
        <w:t xml:space="preserve">continues to </w:t>
      </w:r>
      <w:r w:rsidR="00F827C3" w:rsidRPr="00732AD4">
        <w:t xml:space="preserve">make a significant contribution to the </w:t>
      </w:r>
      <w:r w:rsidR="00D170F9">
        <w:t>economy,</w:t>
      </w:r>
      <w:r w:rsidR="00F827C3" w:rsidRPr="006C7245">
        <w:t xml:space="preserve"> </w:t>
      </w:r>
      <w:r w:rsidR="006C7245" w:rsidRPr="006C7245">
        <w:t>7.4</w:t>
      </w:r>
      <w:r w:rsidR="00F827C3" w:rsidRPr="006C7245">
        <w:t xml:space="preserve">% </w:t>
      </w:r>
      <w:r w:rsidR="00177299">
        <w:t>to</w:t>
      </w:r>
      <w:r w:rsidR="00D170F9" w:rsidRPr="006C7245">
        <w:t xml:space="preserve"> GDP </w:t>
      </w:r>
      <w:r w:rsidR="00EB70D9" w:rsidRPr="006C7245">
        <w:t xml:space="preserve">in </w:t>
      </w:r>
      <w:r w:rsidR="006C7245" w:rsidRPr="006C7245">
        <w:t>2016-</w:t>
      </w:r>
      <w:r w:rsidR="00EB70D9" w:rsidRPr="006C7245">
        <w:t>17.</w:t>
      </w:r>
      <w:r w:rsidR="00EB70D9">
        <w:t xml:space="preserve"> This figure </w:t>
      </w:r>
      <w:r w:rsidR="00D170F9">
        <w:t>nudges</w:t>
      </w:r>
      <w:r w:rsidR="006C7245">
        <w:t xml:space="preserve"> above the </w:t>
      </w:r>
      <w:r w:rsidR="00F827C3" w:rsidRPr="00732AD4">
        <w:t xml:space="preserve">manufacturing sector and </w:t>
      </w:r>
      <w:r w:rsidR="006C7245">
        <w:t xml:space="preserve">is </w:t>
      </w:r>
      <w:r w:rsidR="00F827C3" w:rsidRPr="00732AD4">
        <w:t xml:space="preserve">more than twice that of agriculture in the same year. </w:t>
      </w:r>
      <w:r w:rsidR="00EB70D9">
        <w:t xml:space="preserve">Mining continues to be </w:t>
      </w:r>
      <w:r w:rsidR="00EB70D9" w:rsidRPr="007275AA">
        <w:t xml:space="preserve">Australia’s most valuable sector for </w:t>
      </w:r>
      <w:r w:rsidR="006C7245" w:rsidRPr="007275AA">
        <w:t xml:space="preserve">goods </w:t>
      </w:r>
      <w:r w:rsidR="00EB70D9" w:rsidRPr="007275AA">
        <w:t>exports</w:t>
      </w:r>
      <w:r w:rsidR="00EB70D9">
        <w:t xml:space="preserve"> and recent price increases </w:t>
      </w:r>
      <w:r w:rsidR="00F6377F" w:rsidRPr="00732AD4">
        <w:t xml:space="preserve">for </w:t>
      </w:r>
      <w:r w:rsidR="00240627" w:rsidRPr="00732AD4">
        <w:t>iron ore and coal</w:t>
      </w:r>
      <w:r w:rsidR="00EB70D9">
        <w:t xml:space="preserve"> have added additional value to the sector</w:t>
      </w:r>
      <w:r w:rsidR="00240627" w:rsidRPr="00732AD4">
        <w:t>.</w:t>
      </w:r>
      <w:r w:rsidR="00F827C3" w:rsidRPr="00732AD4">
        <w:t xml:space="preserve"> </w:t>
      </w:r>
      <w:r w:rsidR="00852CFE">
        <w:t>The</w:t>
      </w:r>
      <w:r>
        <w:t xml:space="preserve"> outlook for Australian resources reflects expectations for increasing </w:t>
      </w:r>
      <w:r w:rsidR="00F827C3" w:rsidRPr="00732AD4">
        <w:t xml:space="preserve">global demand </w:t>
      </w:r>
      <w:r w:rsidR="00BE619A">
        <w:t>at least until 2</w:t>
      </w:r>
      <w:r w:rsidR="00F827C3" w:rsidRPr="00732AD4">
        <w:t>019</w:t>
      </w:r>
      <w:r>
        <w:t>.</w:t>
      </w:r>
    </w:p>
    <w:p w14:paraId="0CF8A456" w14:textId="6751189E" w:rsidR="00B95CFD" w:rsidRDefault="00136189" w:rsidP="004E1189">
      <w:pPr>
        <w:pStyle w:val="BodyText"/>
        <w:spacing w:line="276" w:lineRule="auto"/>
        <w:jc w:val="both"/>
      </w:pPr>
      <w:r>
        <w:t xml:space="preserve">Nationally, </w:t>
      </w:r>
      <w:r w:rsidRPr="00732AD4">
        <w:t xml:space="preserve">employment in mining </w:t>
      </w:r>
      <w:r>
        <w:t xml:space="preserve">has grown to reach a similar level to </w:t>
      </w:r>
      <w:r w:rsidRPr="00732AD4">
        <w:t xml:space="preserve">agriculture </w:t>
      </w:r>
      <w:r>
        <w:t xml:space="preserve">at around </w:t>
      </w:r>
      <w:r w:rsidRPr="00732AD4">
        <w:t xml:space="preserve">2-3% </w:t>
      </w:r>
      <w:r>
        <w:t>of the Australian workforce</w:t>
      </w:r>
      <w:r w:rsidRPr="00732AD4">
        <w:t xml:space="preserve">. </w:t>
      </w:r>
      <w:r w:rsidR="00C318A5">
        <w:t xml:space="preserve">At the local scale, </w:t>
      </w:r>
      <w:r w:rsidR="00002EDB" w:rsidRPr="00732AD4">
        <w:t xml:space="preserve">the </w:t>
      </w:r>
      <w:r w:rsidR="00C318A5">
        <w:t xml:space="preserve">resources sector </w:t>
      </w:r>
      <w:r w:rsidR="00002EDB" w:rsidRPr="00732AD4">
        <w:t xml:space="preserve">is an important </w:t>
      </w:r>
      <w:r w:rsidR="00C318A5">
        <w:t>employer in regional areas</w:t>
      </w:r>
      <w:r w:rsidR="00002EDB" w:rsidRPr="00732AD4">
        <w:t xml:space="preserve">. </w:t>
      </w:r>
      <w:r w:rsidR="00C318A5">
        <w:t xml:space="preserve"> Around </w:t>
      </w:r>
      <w:r w:rsidR="00002EDB" w:rsidRPr="00732AD4">
        <w:t xml:space="preserve">60% of the </w:t>
      </w:r>
      <w:r w:rsidR="00C318A5">
        <w:t xml:space="preserve">mining </w:t>
      </w:r>
      <w:r w:rsidR="00002EDB" w:rsidRPr="00732AD4">
        <w:t xml:space="preserve">workforce is located </w:t>
      </w:r>
      <w:r>
        <w:t>outside of capital cities</w:t>
      </w:r>
      <w:r w:rsidR="004A16AA" w:rsidRPr="00732AD4">
        <w:t xml:space="preserve"> </w:t>
      </w:r>
      <w:r>
        <w:t>where</w:t>
      </w:r>
      <w:r w:rsidR="004A16AA" w:rsidRPr="00732AD4">
        <w:t xml:space="preserve"> m</w:t>
      </w:r>
      <w:r>
        <w:t xml:space="preserve">ining is the largest employer </w:t>
      </w:r>
      <w:r w:rsidR="00EC0561" w:rsidRPr="00732AD4">
        <w:t>in 23 Local Government Areas</w:t>
      </w:r>
      <w:r w:rsidR="001A2EE5">
        <w:t xml:space="preserve"> (LGAs)</w:t>
      </w:r>
      <w:r w:rsidR="00EC0561" w:rsidRPr="00732AD4">
        <w:t>.</w:t>
      </w:r>
      <w:r>
        <w:t xml:space="preserve"> </w:t>
      </w:r>
    </w:p>
    <w:p w14:paraId="08F31BB4" w14:textId="205FEBC5" w:rsidR="008B5D24" w:rsidRPr="007D5ACD" w:rsidRDefault="008B5D24" w:rsidP="008B5D24">
      <w:pPr>
        <w:pStyle w:val="BodyText"/>
        <w:jc w:val="both"/>
      </w:pPr>
      <w:r w:rsidRPr="002970DD">
        <w:t>Mining employment trends vary considerably across states and territories</w:t>
      </w:r>
      <w:r>
        <w:t xml:space="preserve">. </w:t>
      </w:r>
      <w:r w:rsidR="00136189">
        <w:t>Mining employees</w:t>
      </w:r>
      <w:r w:rsidRPr="002970DD">
        <w:t xml:space="preserve"> </w:t>
      </w:r>
      <w:r w:rsidR="00136189">
        <w:t xml:space="preserve">mostly live in regional areas for </w:t>
      </w:r>
      <w:r w:rsidRPr="002970DD">
        <w:t>New South Wales, Queensland and Tasmania</w:t>
      </w:r>
      <w:r w:rsidR="00136189">
        <w:t>. However</w:t>
      </w:r>
      <w:r w:rsidRPr="002970DD">
        <w:t xml:space="preserve">, in </w:t>
      </w:r>
      <w:r>
        <w:t xml:space="preserve">Victoria, South Australia and Western Australia </w:t>
      </w:r>
      <w:r w:rsidR="00136189">
        <w:t xml:space="preserve">most </w:t>
      </w:r>
      <w:r w:rsidRPr="002970DD">
        <w:t xml:space="preserve">mining </w:t>
      </w:r>
      <w:r w:rsidR="00526A75">
        <w:t>worker</w:t>
      </w:r>
      <w:r w:rsidRPr="002970DD">
        <w:t xml:space="preserve">s </w:t>
      </w:r>
      <w:r w:rsidR="00136189">
        <w:t>are</w:t>
      </w:r>
      <w:r w:rsidRPr="002970DD">
        <w:t xml:space="preserve"> located in </w:t>
      </w:r>
      <w:r w:rsidR="00136189">
        <w:t>capital cities including head-office staff and fly-in fly-out workforces</w:t>
      </w:r>
      <w:r w:rsidRPr="002970DD">
        <w:t xml:space="preserve">. </w:t>
      </w:r>
      <w:r w:rsidR="00136189">
        <w:t xml:space="preserve">The </w:t>
      </w:r>
      <w:r w:rsidR="00813821">
        <w:t xml:space="preserve">location and </w:t>
      </w:r>
      <w:r w:rsidR="00136189">
        <w:t xml:space="preserve">distribution of </w:t>
      </w:r>
      <w:r w:rsidR="0083361D">
        <w:t>the extractive industry workforce</w:t>
      </w:r>
      <w:r w:rsidR="00813821">
        <w:t xml:space="preserve"> can lead to different outcomes for indirect employment outside of the c</w:t>
      </w:r>
      <w:r w:rsidR="00B85F8E">
        <w:t>ities, where resident labour force</w:t>
      </w:r>
      <w:r w:rsidR="00813821">
        <w:t xml:space="preserve"> can contribute substantially to local jobs in other sectors. </w:t>
      </w:r>
    </w:p>
    <w:p w14:paraId="49F33F81" w14:textId="533C4F22" w:rsidR="00733CB4" w:rsidRDefault="00813821" w:rsidP="004E1189">
      <w:pPr>
        <w:pStyle w:val="BodyText"/>
        <w:spacing w:line="276" w:lineRule="auto"/>
        <w:jc w:val="both"/>
      </w:pPr>
      <w:r>
        <w:t xml:space="preserve">Income distribution is an important issue and the report presents key findings from </w:t>
      </w:r>
      <w:r w:rsidR="00016D31">
        <w:t xml:space="preserve">statistical </w:t>
      </w:r>
      <w:r>
        <w:t xml:space="preserve">analysis of </w:t>
      </w:r>
      <w:r w:rsidR="00472DAC">
        <w:t>the 2016 Australian C</w:t>
      </w:r>
      <w:r>
        <w:t xml:space="preserve">ensus data and how income distribution has changed over the preceding decade.  On average, change in income distribution was </w:t>
      </w:r>
      <w:r w:rsidR="00016D31">
        <w:t xml:space="preserve">similar for mining regions and non-mining regions outside of capital cities.  However, it is also important to consider differences for individual towns and regions. For example, income inequality increased in </w:t>
      </w:r>
      <w:r w:rsidR="004C140A">
        <w:t xml:space="preserve">some mining regions such as </w:t>
      </w:r>
      <w:r w:rsidR="00016D31">
        <w:t xml:space="preserve">Kalgoorlie and the Pilbara while </w:t>
      </w:r>
      <w:r w:rsidR="004C140A">
        <w:t xml:space="preserve">conversely </w:t>
      </w:r>
      <w:r w:rsidR="00016D31">
        <w:t xml:space="preserve">incomes became more even in </w:t>
      </w:r>
      <w:r w:rsidR="004C140A">
        <w:t xml:space="preserve">others such as </w:t>
      </w:r>
      <w:r w:rsidR="00016D31">
        <w:t>Central West WA.</w:t>
      </w:r>
    </w:p>
    <w:p w14:paraId="73FADC4C" w14:textId="1F73E24F" w:rsidR="00A44E03" w:rsidRDefault="00733CB4" w:rsidP="004E1189">
      <w:pPr>
        <w:pStyle w:val="BodyText"/>
        <w:spacing w:line="276" w:lineRule="auto"/>
        <w:jc w:val="both"/>
      </w:pPr>
      <w:r>
        <w:rPr>
          <w:noProof/>
        </w:rPr>
        <w:lastRenderedPageBreak/>
        <mc:AlternateContent>
          <mc:Choice Requires="wps">
            <w:drawing>
              <wp:anchor distT="91440" distB="91440" distL="114300" distR="114300" simplePos="0" relativeHeight="251831808" behindDoc="0" locked="0" layoutInCell="1" allowOverlap="1" wp14:anchorId="1C2C1873" wp14:editId="017C0DAD">
                <wp:simplePos x="0" y="0"/>
                <wp:positionH relativeFrom="margin">
                  <wp:posOffset>3455915</wp:posOffset>
                </wp:positionH>
                <wp:positionV relativeFrom="paragraph">
                  <wp:posOffset>721311</wp:posOffset>
                </wp:positionV>
                <wp:extent cx="2665730" cy="1247775"/>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730" cy="1247775"/>
                        </a:xfrm>
                        <a:prstGeom prst="rect">
                          <a:avLst/>
                        </a:prstGeom>
                        <a:noFill/>
                        <a:ln w="9525">
                          <a:noFill/>
                          <a:miter lim="800000"/>
                          <a:headEnd/>
                          <a:tailEnd/>
                        </a:ln>
                      </wps:spPr>
                      <wps:txbx>
                        <w:txbxContent>
                          <w:p w14:paraId="212BE078" w14:textId="1EEB24F6" w:rsidR="00B5448A" w:rsidRPr="00E64C6A" w:rsidRDefault="00B5448A" w:rsidP="00733CB4">
                            <w:pPr>
                              <w:pBdr>
                                <w:top w:val="single" w:sz="24" w:space="8" w:color="00A9CE" w:themeColor="accent1"/>
                                <w:bottom w:val="single" w:sz="24" w:space="8" w:color="00A9CE" w:themeColor="accent1"/>
                              </w:pBdr>
                              <w:spacing w:after="0"/>
                              <w:rPr>
                                <w:i/>
                                <w:iCs/>
                                <w:color w:val="00A9CE" w:themeColor="accent1"/>
                                <w:sz w:val="24"/>
                                <w:szCs w:val="24"/>
                              </w:rPr>
                            </w:pPr>
                            <w:r>
                              <w:rPr>
                                <w:i/>
                                <w:iCs/>
                                <w:color w:val="00A9CE" w:themeColor="accent1"/>
                                <w:sz w:val="24"/>
                                <w:szCs w:val="24"/>
                              </w:rPr>
                              <w:t xml:space="preserve">In </w:t>
                            </w:r>
                            <w:r w:rsidRPr="001029F5">
                              <w:rPr>
                                <w:i/>
                                <w:iCs/>
                                <w:color w:val="00A9CE" w:themeColor="accent1"/>
                                <w:sz w:val="24"/>
                                <w:szCs w:val="24"/>
                              </w:rPr>
                              <w:t>2014</w:t>
                            </w:r>
                            <w:r>
                              <w:rPr>
                                <w:i/>
                                <w:iCs/>
                                <w:color w:val="00A9CE" w:themeColor="accent1"/>
                                <w:sz w:val="24"/>
                                <w:szCs w:val="24"/>
                              </w:rPr>
                              <w:t>–</w:t>
                            </w:r>
                            <w:r w:rsidRPr="001029F5">
                              <w:rPr>
                                <w:i/>
                                <w:iCs/>
                                <w:color w:val="00A9CE" w:themeColor="accent1"/>
                                <w:sz w:val="24"/>
                                <w:szCs w:val="24"/>
                              </w:rPr>
                              <w:t xml:space="preserve">15 </w:t>
                            </w:r>
                            <w:r>
                              <w:rPr>
                                <w:i/>
                                <w:iCs/>
                                <w:color w:val="00A9CE" w:themeColor="accent1"/>
                                <w:sz w:val="24"/>
                                <w:szCs w:val="24"/>
                              </w:rPr>
                              <w:t xml:space="preserve">the mining sector </w:t>
                            </w:r>
                            <w:r w:rsidRPr="001029F5">
                              <w:rPr>
                                <w:i/>
                                <w:iCs/>
                                <w:color w:val="00A9CE" w:themeColor="accent1"/>
                                <w:sz w:val="24"/>
                                <w:szCs w:val="24"/>
                              </w:rPr>
                              <w:t xml:space="preserve">had the highest proportion of businesses which introduced </w:t>
                            </w:r>
                            <w:r>
                              <w:rPr>
                                <w:i/>
                                <w:iCs/>
                                <w:color w:val="00A9CE" w:themeColor="accent1"/>
                                <w:sz w:val="24"/>
                                <w:szCs w:val="24"/>
                              </w:rPr>
                              <w:t xml:space="preserve">globally </w:t>
                            </w:r>
                            <w:r w:rsidRPr="001029F5">
                              <w:rPr>
                                <w:i/>
                                <w:iCs/>
                                <w:color w:val="00A9CE" w:themeColor="accent1"/>
                                <w:sz w:val="24"/>
                                <w:szCs w:val="24"/>
                              </w:rPr>
                              <w:t xml:space="preserve">new or significantly improved </w:t>
                            </w:r>
                            <w:r w:rsidRPr="00733CB4">
                              <w:rPr>
                                <w:i/>
                                <w:iCs/>
                                <w:color w:val="00A9CE" w:themeColor="accent1"/>
                                <w:sz w:val="24"/>
                                <w:szCs w:val="24"/>
                              </w:rPr>
                              <w:t>goods or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C1873" id="_x0000_s1047" type="#_x0000_t202" style="position:absolute;left:0;text-align:left;margin-left:272.1pt;margin-top:56.8pt;width:209.9pt;height:98.25pt;z-index:25183180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" filled="f" stroked="f">
                <v:textbox>
                  <w:txbxContent>
                    <w:p w14:paraId="212BE078" w14:textId="1EEB24F6" w:rsidR="00B5448A" w:rsidRPr="00E64C6A" w:rsidRDefault="00B5448A" w:rsidP="00733CB4">
                      <w:pPr>
                        <w:pBdr>
                          <w:top w:val="single" w:sz="24" w:space="8" w:color="00A9CE" w:themeColor="accent1"/>
                          <w:bottom w:val="single" w:sz="24" w:space="8" w:color="00A9CE" w:themeColor="accent1"/>
                        </w:pBdr>
                        <w:spacing w:after="0"/>
                        <w:rPr>
                          <w:i/>
                          <w:iCs/>
                          <w:color w:val="00A9CE" w:themeColor="accent1"/>
                          <w:sz w:val="24"/>
                          <w:szCs w:val="24"/>
                        </w:rPr>
                      </w:pPr>
                      <w:r>
                        <w:rPr>
                          <w:i/>
                          <w:iCs/>
                          <w:color w:val="00A9CE" w:themeColor="accent1"/>
                          <w:sz w:val="24"/>
                          <w:szCs w:val="24"/>
                        </w:rPr>
                        <w:t xml:space="preserve">In </w:t>
                      </w:r>
                      <w:r w:rsidRPr="001029F5">
                        <w:rPr>
                          <w:i/>
                          <w:iCs/>
                          <w:color w:val="00A9CE" w:themeColor="accent1"/>
                          <w:sz w:val="24"/>
                          <w:szCs w:val="24"/>
                        </w:rPr>
                        <w:t>2014</w:t>
                      </w:r>
                      <w:r>
                        <w:rPr>
                          <w:i/>
                          <w:iCs/>
                          <w:color w:val="00A9CE" w:themeColor="accent1"/>
                          <w:sz w:val="24"/>
                          <w:szCs w:val="24"/>
                        </w:rPr>
                        <w:t>–</w:t>
                      </w:r>
                      <w:r w:rsidRPr="001029F5">
                        <w:rPr>
                          <w:i/>
                          <w:iCs/>
                          <w:color w:val="00A9CE" w:themeColor="accent1"/>
                          <w:sz w:val="24"/>
                          <w:szCs w:val="24"/>
                        </w:rPr>
                        <w:t xml:space="preserve">15 </w:t>
                      </w:r>
                      <w:r>
                        <w:rPr>
                          <w:i/>
                          <w:iCs/>
                          <w:color w:val="00A9CE" w:themeColor="accent1"/>
                          <w:sz w:val="24"/>
                          <w:szCs w:val="24"/>
                        </w:rPr>
                        <w:t xml:space="preserve">the mining sector </w:t>
                      </w:r>
                      <w:r w:rsidRPr="001029F5">
                        <w:rPr>
                          <w:i/>
                          <w:iCs/>
                          <w:color w:val="00A9CE" w:themeColor="accent1"/>
                          <w:sz w:val="24"/>
                          <w:szCs w:val="24"/>
                        </w:rPr>
                        <w:t xml:space="preserve">had the highest proportion of businesses which introduced </w:t>
                      </w:r>
                      <w:r>
                        <w:rPr>
                          <w:i/>
                          <w:iCs/>
                          <w:color w:val="00A9CE" w:themeColor="accent1"/>
                          <w:sz w:val="24"/>
                          <w:szCs w:val="24"/>
                        </w:rPr>
                        <w:t xml:space="preserve">globally </w:t>
                      </w:r>
                      <w:r w:rsidRPr="001029F5">
                        <w:rPr>
                          <w:i/>
                          <w:iCs/>
                          <w:color w:val="00A9CE" w:themeColor="accent1"/>
                          <w:sz w:val="24"/>
                          <w:szCs w:val="24"/>
                        </w:rPr>
                        <w:t xml:space="preserve">new or significantly improved </w:t>
                      </w:r>
                      <w:r w:rsidRPr="00733CB4">
                        <w:rPr>
                          <w:i/>
                          <w:iCs/>
                          <w:color w:val="00A9CE" w:themeColor="accent1"/>
                          <w:sz w:val="24"/>
                          <w:szCs w:val="24"/>
                        </w:rPr>
                        <w:t>goods or services.</w:t>
                      </w:r>
                    </w:p>
                  </w:txbxContent>
                </v:textbox>
                <w10:wrap type="square" anchorx="margin"/>
              </v:shape>
            </w:pict>
          </mc:Fallback>
        </mc:AlternateContent>
      </w:r>
      <w:r>
        <w:t>The second part of the report highlights way</w:t>
      </w:r>
      <w:r w:rsidR="002B65CF">
        <w:t>s</w:t>
      </w:r>
      <w:r>
        <w:t xml:space="preserve"> in which </w:t>
      </w:r>
      <w:r w:rsidRPr="00336C41">
        <w:t xml:space="preserve">the mining sector has contributed to innovation </w:t>
      </w:r>
      <w:r>
        <w:t>in the economy and how</w:t>
      </w:r>
      <w:r w:rsidR="005F4347">
        <w:t>,</w:t>
      </w:r>
      <w:r>
        <w:t xml:space="preserve"> in turn</w:t>
      </w:r>
      <w:r w:rsidR="005F4347">
        <w:t>,</w:t>
      </w:r>
      <w:r>
        <w:t xml:space="preserve"> innovation has affected the sector. Nationally, the mining sector has been a substantial contributor to research and development, particularly during the mining construction boom. </w:t>
      </w:r>
      <w:r w:rsidR="007E34D6">
        <w:rPr>
          <w:rFonts w:asciiTheme="minorHAnsi" w:eastAsia="Times New Roman" w:hAnsiTheme="minorHAnsi"/>
          <w:color w:val="auto"/>
          <w:szCs w:val="24"/>
          <w:lang w:eastAsia="en-US"/>
        </w:rPr>
        <w:t xml:space="preserve">Australian mining businesses are sources of innovation, but this innovation tends to </w:t>
      </w:r>
      <w:r w:rsidR="007E46A0">
        <w:rPr>
          <w:rFonts w:asciiTheme="minorHAnsi" w:eastAsia="Times New Roman" w:hAnsiTheme="minorHAnsi"/>
          <w:color w:val="auto"/>
          <w:szCs w:val="24"/>
          <w:lang w:eastAsia="en-US"/>
        </w:rPr>
        <w:t xml:space="preserve">be concentrated in a </w:t>
      </w:r>
      <w:r w:rsidR="007E34D6">
        <w:rPr>
          <w:rFonts w:asciiTheme="minorHAnsi" w:eastAsia="Times New Roman" w:hAnsiTheme="minorHAnsi"/>
          <w:color w:val="auto"/>
          <w:szCs w:val="24"/>
          <w:lang w:eastAsia="en-US"/>
        </w:rPr>
        <w:t>relatively small number of companies.</w:t>
      </w:r>
      <w:r w:rsidR="007E34D6">
        <w:t xml:space="preserve"> </w:t>
      </w:r>
      <w:r w:rsidR="00561B0C">
        <w:t>At state level</w:t>
      </w:r>
      <w:r>
        <w:t xml:space="preserve">, </w:t>
      </w:r>
      <w:r w:rsidR="007E34D6">
        <w:t>the mining sector</w:t>
      </w:r>
      <w:r>
        <w:t xml:space="preserve"> continues to be the largest contributor to research and development in Queensland and Western Australia. </w:t>
      </w:r>
    </w:p>
    <w:p w14:paraId="4F288A48" w14:textId="2148F007" w:rsidR="00480A05" w:rsidRDefault="00A44E03" w:rsidP="004E1189">
      <w:pPr>
        <w:pStyle w:val="BodyText"/>
        <w:spacing w:line="276" w:lineRule="auto"/>
        <w:jc w:val="both"/>
      </w:pPr>
      <w:r>
        <w:t xml:space="preserve">An outcome of innovation in the mining industry is the technological change which has the potential to transform the sector. </w:t>
      </w:r>
      <w:r w:rsidR="00733CB4">
        <w:t>In particular, automation can reduce demand for some types of employment such as machinery operators, while increasing demand for other types of employment such as remote ope</w:t>
      </w:r>
      <w:r w:rsidR="00480A05">
        <w:t>rators and maintenance staff.</w:t>
      </w:r>
      <w:r>
        <w:t xml:space="preserve"> </w:t>
      </w:r>
      <w:r w:rsidR="00C877DB">
        <w:t>T</w:t>
      </w:r>
      <w:r>
        <w:t xml:space="preserve">echnological innovation </w:t>
      </w:r>
      <w:r>
        <w:rPr>
          <w:rFonts w:asciiTheme="minorHAnsi" w:eastAsia="Times New Roman" w:hAnsiTheme="minorHAnsi"/>
          <w:color w:val="auto"/>
          <w:szCs w:val="24"/>
          <w:lang w:eastAsia="en-US"/>
        </w:rPr>
        <w:t xml:space="preserve">contributes to reduced operational costs in the sector and employment of a highly educated workforce. </w:t>
      </w:r>
      <w:r w:rsidR="00C877DB">
        <w:rPr>
          <w:rFonts w:asciiTheme="minorHAnsi" w:eastAsia="Times New Roman" w:hAnsiTheme="minorHAnsi"/>
          <w:color w:val="auto"/>
          <w:szCs w:val="24"/>
          <w:lang w:eastAsia="en-US"/>
        </w:rPr>
        <w:t xml:space="preserve">These changes in costs and workforce </w:t>
      </w:r>
      <w:r>
        <w:rPr>
          <w:rFonts w:asciiTheme="minorHAnsi" w:eastAsia="Times New Roman" w:hAnsiTheme="minorHAnsi"/>
          <w:color w:val="auto"/>
          <w:szCs w:val="24"/>
          <w:lang w:eastAsia="en-US"/>
        </w:rPr>
        <w:t xml:space="preserve">together have the potential to lift Australia’s competitiveness </w:t>
      </w:r>
      <w:r w:rsidR="004C140A">
        <w:rPr>
          <w:rFonts w:asciiTheme="minorHAnsi" w:eastAsia="Times New Roman" w:hAnsiTheme="minorHAnsi"/>
          <w:color w:val="auto"/>
          <w:szCs w:val="24"/>
          <w:lang w:eastAsia="en-US"/>
        </w:rPr>
        <w:t xml:space="preserve">in </w:t>
      </w:r>
      <w:r>
        <w:rPr>
          <w:rFonts w:asciiTheme="minorHAnsi" w:eastAsia="Times New Roman" w:hAnsiTheme="minorHAnsi"/>
          <w:color w:val="auto"/>
          <w:szCs w:val="24"/>
          <w:lang w:eastAsia="en-US"/>
        </w:rPr>
        <w:t>the global mining industry.</w:t>
      </w:r>
      <w:r w:rsidR="007E5D74">
        <w:rPr>
          <w:rFonts w:asciiTheme="minorHAnsi" w:eastAsia="Times New Roman" w:hAnsiTheme="minorHAnsi"/>
          <w:color w:val="auto"/>
          <w:szCs w:val="24"/>
          <w:lang w:eastAsia="en-US"/>
        </w:rPr>
        <w:t xml:space="preserve"> Moreover, i</w:t>
      </w:r>
      <w:r w:rsidR="007E5D74" w:rsidRPr="00194943">
        <w:rPr>
          <w:rFonts w:asciiTheme="minorHAnsi" w:eastAsia="Times New Roman" w:hAnsiTheme="minorHAnsi"/>
          <w:color w:val="auto"/>
          <w:szCs w:val="24"/>
          <w:lang w:eastAsia="en-US"/>
        </w:rPr>
        <w:t xml:space="preserve">nnovation in exploration, extraction, enterprise systems and safety processes can </w:t>
      </w:r>
      <w:r w:rsidR="007E5D74">
        <w:rPr>
          <w:rFonts w:asciiTheme="minorHAnsi" w:eastAsia="Times New Roman" w:hAnsiTheme="minorHAnsi"/>
          <w:color w:val="auto"/>
          <w:szCs w:val="24"/>
          <w:lang w:eastAsia="en-US"/>
        </w:rPr>
        <w:t xml:space="preserve">also </w:t>
      </w:r>
      <w:r w:rsidR="007E5D74" w:rsidRPr="00194943">
        <w:rPr>
          <w:rFonts w:asciiTheme="minorHAnsi" w:eastAsia="Times New Roman" w:hAnsiTheme="minorHAnsi"/>
          <w:color w:val="auto"/>
          <w:szCs w:val="24"/>
          <w:lang w:eastAsia="en-US"/>
        </w:rPr>
        <w:t>provide opportunities for new markets in the form of knowledge exports.</w:t>
      </w:r>
    </w:p>
    <w:p w14:paraId="0A842CAE" w14:textId="0DFCC770" w:rsidR="006213B5" w:rsidRDefault="00733CB4" w:rsidP="004E1189">
      <w:pPr>
        <w:pStyle w:val="BodyText"/>
        <w:spacing w:line="276" w:lineRule="auto"/>
        <w:jc w:val="both"/>
      </w:pPr>
      <w:r w:rsidRPr="00CD003A">
        <w:t xml:space="preserve">Overall, the report </w:t>
      </w:r>
      <w:r w:rsidR="00FC63C2">
        <w:t>notes</w:t>
      </w:r>
      <w:r w:rsidRPr="00CD003A">
        <w:t xml:space="preserve"> signs of recovery and innovation in an industry responding to cyclical effects and </w:t>
      </w:r>
      <w:r w:rsidR="00AC534F">
        <w:t xml:space="preserve">a </w:t>
      </w:r>
      <w:r w:rsidRPr="00CD003A">
        <w:t>changing global context.</w:t>
      </w:r>
      <w:r w:rsidR="00025880">
        <w:t xml:space="preserve"> </w:t>
      </w:r>
      <w:r w:rsidR="00025880" w:rsidRPr="002970DD">
        <w:t xml:space="preserve">The </w:t>
      </w:r>
      <w:r w:rsidR="002970DD" w:rsidRPr="002970DD">
        <w:t>key</w:t>
      </w:r>
      <w:r w:rsidR="00025880" w:rsidRPr="002970DD">
        <w:t xml:space="preserve"> message with regard to processes of innovation in mining is that Australian companies are well positioned to bring globally new or improved goods and services to the market. The sector is active in improving its productivity and maintaining its competitive edge. In doing so, the mining sector has been</w:t>
      </w:r>
      <w:r w:rsidR="002970DD" w:rsidRPr="002970DD">
        <w:t>,</w:t>
      </w:r>
      <w:r w:rsidR="00025880" w:rsidRPr="002970DD">
        <w:t xml:space="preserve"> and continues to be</w:t>
      </w:r>
      <w:r w:rsidR="002970DD" w:rsidRPr="002970DD">
        <w:t>,</w:t>
      </w:r>
      <w:r w:rsidR="00025880" w:rsidRPr="002970DD">
        <w:t xml:space="preserve"> </w:t>
      </w:r>
      <w:r w:rsidR="005F4347">
        <w:t>a</w:t>
      </w:r>
      <w:r w:rsidR="005F4347" w:rsidRPr="002970DD">
        <w:t xml:space="preserve"> </w:t>
      </w:r>
      <w:r w:rsidR="00025880" w:rsidRPr="0091742F">
        <w:t>source of considerable research and development in Australia.</w:t>
      </w:r>
    </w:p>
    <w:p w14:paraId="64702A15" w14:textId="1C6EE040" w:rsidR="006213B5" w:rsidRDefault="006213B5" w:rsidP="006213B5">
      <w:pPr>
        <w:pStyle w:val="Caption"/>
      </w:pPr>
      <w:bookmarkStart w:id="2" w:name="_Toc515031486"/>
      <w:r>
        <w:t xml:space="preserve">Table </w:t>
      </w:r>
      <w:r w:rsidR="00B5448A">
        <w:rPr>
          <w:noProof/>
        </w:rPr>
        <w:fldChar w:fldCharType="begin"/>
      </w:r>
      <w:r w:rsidR="00B5448A">
        <w:rPr>
          <w:noProof/>
        </w:rPr>
        <w:instrText xml:space="preserve"> SEQ Table \* ARABIC </w:instrText>
      </w:r>
      <w:r w:rsidR="00B5448A">
        <w:rPr>
          <w:noProof/>
        </w:rPr>
        <w:fldChar w:fldCharType="separate"/>
      </w:r>
      <w:r w:rsidR="0083361D">
        <w:rPr>
          <w:noProof/>
        </w:rPr>
        <w:t>1</w:t>
      </w:r>
      <w:r w:rsidR="00B5448A">
        <w:rPr>
          <w:noProof/>
        </w:rPr>
        <w:fldChar w:fldCharType="end"/>
      </w:r>
      <w:r w:rsidR="00F419EF">
        <w:t>. Mining ind</w:t>
      </w:r>
      <w:r w:rsidR="00472DAC">
        <w:t>ustry characteristics across</w:t>
      </w:r>
      <w:r w:rsidR="00F419EF">
        <w:t xml:space="preserve"> </w:t>
      </w:r>
      <w:r w:rsidR="009C3258">
        <w:t xml:space="preserve">the </w:t>
      </w:r>
      <w:r w:rsidR="00F419EF">
        <w:t>Australian states and territories.</w:t>
      </w:r>
      <w:bookmarkEnd w:id="2"/>
      <w:r w:rsidR="00F419EF">
        <w:t xml:space="preserve"> </w:t>
      </w:r>
    </w:p>
    <w:tbl>
      <w:tblPr>
        <w:tblStyle w:val="PlainTable1"/>
        <w:tblW w:w="5000" w:type="pct"/>
        <w:tblBorders>
          <w:top w:val="single" w:sz="4" w:space="0" w:color="007E9A" w:themeColor="accent1" w:themeShade="BF"/>
          <w:left w:val="single" w:sz="4" w:space="0" w:color="007E9A" w:themeColor="accent1" w:themeShade="BF"/>
          <w:bottom w:val="single" w:sz="4" w:space="0" w:color="007E9A" w:themeColor="accent1" w:themeShade="BF"/>
          <w:right w:val="single" w:sz="4" w:space="0" w:color="007E9A" w:themeColor="accent1" w:themeShade="BF"/>
          <w:insideH w:val="single" w:sz="4" w:space="0" w:color="007E9A" w:themeColor="accent1" w:themeShade="BF"/>
          <w:insideV w:val="single" w:sz="4" w:space="0" w:color="007E9A" w:themeColor="accent1" w:themeShade="BF"/>
        </w:tblBorders>
        <w:tblLayout w:type="fixed"/>
        <w:tblLook w:val="04A0" w:firstRow="1" w:lastRow="0" w:firstColumn="1" w:lastColumn="0" w:noHBand="0" w:noVBand="1"/>
        <w:tblCaption w:val="Table 1"/>
        <w:tblDescription w:val="This table lists information about four characteristics for each state and territory."/>
      </w:tblPr>
      <w:tblGrid>
        <w:gridCol w:w="2689"/>
        <w:gridCol w:w="867"/>
        <w:gridCol w:w="867"/>
        <w:gridCol w:w="868"/>
        <w:gridCol w:w="867"/>
        <w:gridCol w:w="867"/>
        <w:gridCol w:w="868"/>
        <w:gridCol w:w="867"/>
        <w:gridCol w:w="868"/>
      </w:tblGrid>
      <w:tr w:rsidR="00F419EF" w:rsidRPr="00D827C0" w14:paraId="56748902" w14:textId="77777777" w:rsidTr="000E3A0A">
        <w:trPr>
          <w:cnfStyle w:val="100000000000" w:firstRow="1" w:lastRow="0" w:firstColumn="0" w:lastColumn="0" w:oddVBand="0" w:evenVBand="0" w:oddHBand="0" w:evenHBand="0" w:firstRowFirstColumn="0" w:firstRowLastColumn="0" w:lastRowFirstColumn="0" w:lastRowLastColumn="0"/>
          <w:divId w:val="765732152"/>
          <w:trHeight w:val="250"/>
          <w:tblHeader/>
        </w:trPr>
        <w:tc>
          <w:tcPr>
            <w:cnfStyle w:val="001000000000" w:firstRow="0" w:lastRow="0" w:firstColumn="1" w:lastColumn="0" w:oddVBand="0" w:evenVBand="0" w:oddHBand="0" w:evenHBand="0" w:firstRowFirstColumn="0" w:firstRowLastColumn="0" w:lastRowFirstColumn="0" w:lastRowLastColumn="0"/>
            <w:tcW w:w="1396" w:type="pct"/>
            <w:noWrap/>
            <w:hideMark/>
          </w:tcPr>
          <w:p w14:paraId="787EA0BF" w14:textId="1CFC698A" w:rsidR="006213B5" w:rsidRPr="00D827C0" w:rsidRDefault="00B5448A" w:rsidP="000347E0">
            <w:pPr>
              <w:spacing w:after="0"/>
              <w:rPr>
                <w:rFonts w:asciiTheme="minorHAnsi" w:eastAsia="Times New Roman" w:hAnsiTheme="minorHAnsi" w:cstheme="minorHAnsi"/>
                <w:bCs w:val="0"/>
                <w:sz w:val="20"/>
                <w:szCs w:val="20"/>
                <w:lang w:eastAsia="ja-JP"/>
              </w:rPr>
            </w:pPr>
            <w:r>
              <w:rPr>
                <w:rFonts w:asciiTheme="minorHAnsi" w:eastAsia="Times New Roman" w:hAnsiTheme="minorHAnsi" w:cstheme="minorHAnsi"/>
                <w:bCs w:val="0"/>
                <w:sz w:val="20"/>
                <w:szCs w:val="20"/>
                <w:lang w:eastAsia="ja-JP"/>
              </w:rPr>
              <w:t>Characteristic</w:t>
            </w:r>
          </w:p>
        </w:tc>
        <w:tc>
          <w:tcPr>
            <w:tcW w:w="450" w:type="pct"/>
            <w:noWrap/>
            <w:vAlign w:val="center"/>
            <w:hideMark/>
          </w:tcPr>
          <w:p w14:paraId="2CE9B45A" w14:textId="0A6A8D21" w:rsidR="006213B5" w:rsidRPr="00D827C0" w:rsidRDefault="006213B5" w:rsidP="007D76C2">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20"/>
                <w:szCs w:val="20"/>
                <w:lang w:eastAsia="ja-JP"/>
              </w:rPr>
            </w:pPr>
            <w:r w:rsidRPr="00D827C0">
              <w:rPr>
                <w:rFonts w:asciiTheme="minorHAnsi" w:eastAsia="Times New Roman" w:hAnsiTheme="minorHAnsi" w:cstheme="minorHAnsi"/>
                <w:bCs w:val="0"/>
                <w:sz w:val="20"/>
                <w:szCs w:val="20"/>
                <w:lang w:eastAsia="ja-JP"/>
              </w:rPr>
              <w:t>WA</w:t>
            </w:r>
          </w:p>
        </w:tc>
        <w:tc>
          <w:tcPr>
            <w:tcW w:w="450" w:type="pct"/>
            <w:noWrap/>
            <w:vAlign w:val="center"/>
            <w:hideMark/>
          </w:tcPr>
          <w:p w14:paraId="1CB8A901" w14:textId="1A6285EC" w:rsidR="006213B5" w:rsidRPr="00D827C0" w:rsidRDefault="006213B5" w:rsidP="007D76C2">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20"/>
                <w:szCs w:val="20"/>
                <w:lang w:eastAsia="ja-JP"/>
              </w:rPr>
            </w:pPr>
            <w:r w:rsidRPr="00D827C0">
              <w:rPr>
                <w:rFonts w:asciiTheme="minorHAnsi" w:eastAsia="Times New Roman" w:hAnsiTheme="minorHAnsi" w:cstheme="minorHAnsi"/>
                <w:bCs w:val="0"/>
                <w:sz w:val="20"/>
                <w:szCs w:val="20"/>
                <w:lang w:eastAsia="ja-JP"/>
              </w:rPr>
              <w:t>QLD</w:t>
            </w:r>
          </w:p>
        </w:tc>
        <w:tc>
          <w:tcPr>
            <w:tcW w:w="451" w:type="pct"/>
            <w:noWrap/>
            <w:vAlign w:val="center"/>
            <w:hideMark/>
          </w:tcPr>
          <w:p w14:paraId="733849B3" w14:textId="4DB076E0" w:rsidR="006213B5" w:rsidRPr="00D827C0" w:rsidRDefault="006213B5" w:rsidP="007D76C2">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20"/>
                <w:szCs w:val="20"/>
                <w:lang w:eastAsia="ja-JP"/>
              </w:rPr>
            </w:pPr>
            <w:r w:rsidRPr="00D827C0">
              <w:rPr>
                <w:rFonts w:asciiTheme="minorHAnsi" w:eastAsia="Times New Roman" w:hAnsiTheme="minorHAnsi" w:cstheme="minorHAnsi"/>
                <w:bCs w:val="0"/>
                <w:sz w:val="20"/>
                <w:szCs w:val="20"/>
                <w:lang w:eastAsia="ja-JP"/>
              </w:rPr>
              <w:t>NSW</w:t>
            </w:r>
          </w:p>
        </w:tc>
        <w:tc>
          <w:tcPr>
            <w:tcW w:w="450" w:type="pct"/>
            <w:noWrap/>
            <w:vAlign w:val="center"/>
            <w:hideMark/>
          </w:tcPr>
          <w:p w14:paraId="51705D06" w14:textId="2DA16A1F" w:rsidR="006213B5" w:rsidRPr="00D827C0" w:rsidRDefault="006213B5" w:rsidP="007D76C2">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20"/>
                <w:szCs w:val="20"/>
                <w:lang w:eastAsia="ja-JP"/>
              </w:rPr>
            </w:pPr>
            <w:r w:rsidRPr="00D827C0">
              <w:rPr>
                <w:rFonts w:asciiTheme="minorHAnsi" w:eastAsia="Times New Roman" w:hAnsiTheme="minorHAnsi" w:cstheme="minorHAnsi"/>
                <w:bCs w:val="0"/>
                <w:sz w:val="20"/>
                <w:szCs w:val="20"/>
                <w:lang w:eastAsia="ja-JP"/>
              </w:rPr>
              <w:t>VIC</w:t>
            </w:r>
          </w:p>
        </w:tc>
        <w:tc>
          <w:tcPr>
            <w:tcW w:w="450" w:type="pct"/>
            <w:noWrap/>
            <w:vAlign w:val="center"/>
            <w:hideMark/>
          </w:tcPr>
          <w:p w14:paraId="5EAD98E7" w14:textId="1D3BA005" w:rsidR="006213B5" w:rsidRPr="00D827C0" w:rsidRDefault="006213B5" w:rsidP="007D76C2">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20"/>
                <w:szCs w:val="20"/>
                <w:lang w:eastAsia="ja-JP"/>
              </w:rPr>
            </w:pPr>
            <w:r w:rsidRPr="00D827C0">
              <w:rPr>
                <w:rFonts w:asciiTheme="minorHAnsi" w:eastAsia="Times New Roman" w:hAnsiTheme="minorHAnsi" w:cstheme="minorHAnsi"/>
                <w:bCs w:val="0"/>
                <w:sz w:val="20"/>
                <w:szCs w:val="20"/>
                <w:lang w:eastAsia="ja-JP"/>
              </w:rPr>
              <w:t>SA</w:t>
            </w:r>
          </w:p>
        </w:tc>
        <w:tc>
          <w:tcPr>
            <w:tcW w:w="451" w:type="pct"/>
            <w:noWrap/>
            <w:vAlign w:val="center"/>
            <w:hideMark/>
          </w:tcPr>
          <w:p w14:paraId="44CFBB12" w14:textId="463FBE74" w:rsidR="006213B5" w:rsidRPr="00D827C0" w:rsidRDefault="006213B5" w:rsidP="007D76C2">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20"/>
                <w:szCs w:val="20"/>
                <w:lang w:eastAsia="ja-JP"/>
              </w:rPr>
            </w:pPr>
            <w:r w:rsidRPr="00D827C0">
              <w:rPr>
                <w:rFonts w:asciiTheme="minorHAnsi" w:eastAsia="Times New Roman" w:hAnsiTheme="minorHAnsi" w:cstheme="minorHAnsi"/>
                <w:bCs w:val="0"/>
                <w:sz w:val="20"/>
                <w:szCs w:val="20"/>
                <w:lang w:eastAsia="ja-JP"/>
              </w:rPr>
              <w:t>NT</w:t>
            </w:r>
          </w:p>
        </w:tc>
        <w:tc>
          <w:tcPr>
            <w:tcW w:w="450" w:type="pct"/>
            <w:noWrap/>
            <w:vAlign w:val="center"/>
            <w:hideMark/>
          </w:tcPr>
          <w:p w14:paraId="7048839E" w14:textId="6BB506AE" w:rsidR="006213B5" w:rsidRPr="00D827C0" w:rsidRDefault="006213B5" w:rsidP="007D76C2">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20"/>
                <w:szCs w:val="20"/>
                <w:lang w:eastAsia="ja-JP"/>
              </w:rPr>
            </w:pPr>
            <w:r w:rsidRPr="00D827C0">
              <w:rPr>
                <w:rFonts w:asciiTheme="minorHAnsi" w:eastAsia="Times New Roman" w:hAnsiTheme="minorHAnsi" w:cstheme="minorHAnsi"/>
                <w:bCs w:val="0"/>
                <w:sz w:val="20"/>
                <w:szCs w:val="20"/>
                <w:lang w:eastAsia="ja-JP"/>
              </w:rPr>
              <w:t>TAS</w:t>
            </w:r>
          </w:p>
        </w:tc>
        <w:tc>
          <w:tcPr>
            <w:tcW w:w="451" w:type="pct"/>
            <w:noWrap/>
            <w:vAlign w:val="center"/>
            <w:hideMark/>
          </w:tcPr>
          <w:p w14:paraId="28EE3BB0" w14:textId="73EA25AF" w:rsidR="006213B5" w:rsidRPr="00D827C0" w:rsidRDefault="006213B5" w:rsidP="007D76C2">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20"/>
                <w:szCs w:val="20"/>
                <w:lang w:eastAsia="ja-JP"/>
              </w:rPr>
            </w:pPr>
            <w:r w:rsidRPr="00D827C0">
              <w:rPr>
                <w:rFonts w:asciiTheme="minorHAnsi" w:eastAsia="Times New Roman" w:hAnsiTheme="minorHAnsi" w:cstheme="minorHAnsi"/>
                <w:bCs w:val="0"/>
                <w:sz w:val="20"/>
                <w:szCs w:val="20"/>
                <w:lang w:eastAsia="ja-JP"/>
              </w:rPr>
              <w:t>ACT</w:t>
            </w:r>
          </w:p>
        </w:tc>
      </w:tr>
      <w:tr w:rsidR="00F419EF" w:rsidRPr="00D827C0" w14:paraId="6B703B21" w14:textId="77777777" w:rsidTr="007D76C2">
        <w:trPr>
          <w:cnfStyle w:val="000000100000" w:firstRow="0" w:lastRow="0" w:firstColumn="0" w:lastColumn="0" w:oddVBand="0" w:evenVBand="0" w:oddHBand="1" w:evenHBand="0" w:firstRowFirstColumn="0" w:firstRowLastColumn="0" w:lastRowFirstColumn="0" w:lastRowLastColumn="0"/>
          <w:divId w:val="765732152"/>
          <w:trHeight w:val="250"/>
        </w:trPr>
        <w:tc>
          <w:tcPr>
            <w:cnfStyle w:val="001000000000" w:firstRow="0" w:lastRow="0" w:firstColumn="1" w:lastColumn="0" w:oddVBand="0" w:evenVBand="0" w:oddHBand="0" w:evenHBand="0" w:firstRowFirstColumn="0" w:firstRowLastColumn="0" w:lastRowFirstColumn="0" w:lastRowLastColumn="0"/>
            <w:tcW w:w="1396" w:type="pct"/>
            <w:noWrap/>
            <w:hideMark/>
          </w:tcPr>
          <w:p w14:paraId="4FB8E2CC" w14:textId="77777777" w:rsidR="006213B5" w:rsidRPr="00D827C0" w:rsidRDefault="006213B5" w:rsidP="006213B5">
            <w:pPr>
              <w:spacing w:after="0"/>
              <w:rPr>
                <w:rFonts w:asciiTheme="minorHAnsi" w:eastAsia="Times New Roman" w:hAnsiTheme="minorHAnsi" w:cstheme="minorHAnsi"/>
                <w:b w:val="0"/>
                <w:sz w:val="20"/>
                <w:szCs w:val="20"/>
                <w:lang w:eastAsia="ja-JP"/>
              </w:rPr>
            </w:pPr>
            <w:r w:rsidRPr="00D827C0">
              <w:rPr>
                <w:rFonts w:asciiTheme="minorHAnsi" w:eastAsia="Times New Roman" w:hAnsiTheme="minorHAnsi" w:cstheme="minorHAnsi"/>
                <w:b w:val="0"/>
                <w:sz w:val="20"/>
                <w:szCs w:val="20"/>
                <w:lang w:eastAsia="ja-JP"/>
              </w:rPr>
              <w:t>Direct employment numbers, rounded to the nearest thousand (2018) (1)</w:t>
            </w:r>
          </w:p>
        </w:tc>
        <w:tc>
          <w:tcPr>
            <w:tcW w:w="450" w:type="pct"/>
            <w:noWrap/>
            <w:vAlign w:val="center"/>
            <w:hideMark/>
          </w:tcPr>
          <w:p w14:paraId="02E19A7C" w14:textId="46DA3C86"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95,000</w:t>
            </w:r>
          </w:p>
        </w:tc>
        <w:tc>
          <w:tcPr>
            <w:tcW w:w="450" w:type="pct"/>
            <w:noWrap/>
            <w:vAlign w:val="center"/>
            <w:hideMark/>
          </w:tcPr>
          <w:p w14:paraId="23F02984" w14:textId="5DEAC828"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65,000</w:t>
            </w:r>
          </w:p>
        </w:tc>
        <w:tc>
          <w:tcPr>
            <w:tcW w:w="451" w:type="pct"/>
            <w:noWrap/>
            <w:vAlign w:val="center"/>
            <w:hideMark/>
          </w:tcPr>
          <w:p w14:paraId="4F7575B6" w14:textId="0CBF979D"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40,000</w:t>
            </w:r>
          </w:p>
        </w:tc>
        <w:tc>
          <w:tcPr>
            <w:tcW w:w="450" w:type="pct"/>
            <w:noWrap/>
            <w:vAlign w:val="center"/>
            <w:hideMark/>
          </w:tcPr>
          <w:p w14:paraId="68319FE8" w14:textId="73D42B05"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11,000</w:t>
            </w:r>
          </w:p>
        </w:tc>
        <w:tc>
          <w:tcPr>
            <w:tcW w:w="450" w:type="pct"/>
            <w:noWrap/>
            <w:vAlign w:val="center"/>
            <w:hideMark/>
          </w:tcPr>
          <w:p w14:paraId="52D06A7C" w14:textId="2345DB8D"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8,000</w:t>
            </w:r>
          </w:p>
        </w:tc>
        <w:tc>
          <w:tcPr>
            <w:tcW w:w="451" w:type="pct"/>
            <w:noWrap/>
            <w:vAlign w:val="center"/>
            <w:hideMark/>
          </w:tcPr>
          <w:p w14:paraId="209203C5" w14:textId="25467DA4"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5,000</w:t>
            </w:r>
          </w:p>
        </w:tc>
        <w:tc>
          <w:tcPr>
            <w:tcW w:w="450" w:type="pct"/>
            <w:noWrap/>
            <w:vAlign w:val="center"/>
            <w:hideMark/>
          </w:tcPr>
          <w:p w14:paraId="1CA7658D" w14:textId="1537530F"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4,000</w:t>
            </w:r>
          </w:p>
        </w:tc>
        <w:tc>
          <w:tcPr>
            <w:tcW w:w="451" w:type="pct"/>
            <w:noWrap/>
            <w:vAlign w:val="center"/>
            <w:hideMark/>
          </w:tcPr>
          <w:p w14:paraId="5CEF828D" w14:textId="154FCA20"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115*</w:t>
            </w:r>
          </w:p>
        </w:tc>
      </w:tr>
      <w:tr w:rsidR="00F419EF" w:rsidRPr="00D827C0" w14:paraId="61262D90" w14:textId="77777777" w:rsidTr="007D76C2">
        <w:trPr>
          <w:divId w:val="765732152"/>
          <w:trHeight w:val="260"/>
        </w:trPr>
        <w:tc>
          <w:tcPr>
            <w:cnfStyle w:val="001000000000" w:firstRow="0" w:lastRow="0" w:firstColumn="1" w:lastColumn="0" w:oddVBand="0" w:evenVBand="0" w:oddHBand="0" w:evenHBand="0" w:firstRowFirstColumn="0" w:firstRowLastColumn="0" w:lastRowFirstColumn="0" w:lastRowLastColumn="0"/>
            <w:tcW w:w="1396" w:type="pct"/>
            <w:noWrap/>
            <w:hideMark/>
          </w:tcPr>
          <w:p w14:paraId="4B994E02" w14:textId="77777777" w:rsidR="006213B5" w:rsidRPr="00D827C0" w:rsidRDefault="006213B5" w:rsidP="006213B5">
            <w:pPr>
              <w:spacing w:after="0"/>
              <w:rPr>
                <w:rFonts w:asciiTheme="minorHAnsi" w:eastAsia="Times New Roman" w:hAnsiTheme="minorHAnsi" w:cstheme="minorHAnsi"/>
                <w:b w:val="0"/>
                <w:sz w:val="20"/>
                <w:szCs w:val="20"/>
                <w:lang w:eastAsia="ja-JP"/>
              </w:rPr>
            </w:pPr>
            <w:r w:rsidRPr="00D827C0">
              <w:rPr>
                <w:rFonts w:asciiTheme="minorHAnsi" w:eastAsia="Times New Roman" w:hAnsiTheme="minorHAnsi" w:cstheme="minorHAnsi"/>
                <w:b w:val="0"/>
                <w:sz w:val="20"/>
                <w:szCs w:val="20"/>
                <w:lang w:eastAsia="ja-JP"/>
              </w:rPr>
              <w:t>Percentage of mining employees living in regional areas (2016) (2)</w:t>
            </w:r>
          </w:p>
        </w:tc>
        <w:tc>
          <w:tcPr>
            <w:tcW w:w="450" w:type="pct"/>
            <w:noWrap/>
            <w:vAlign w:val="center"/>
            <w:hideMark/>
          </w:tcPr>
          <w:p w14:paraId="535287A7"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36%</w:t>
            </w:r>
          </w:p>
        </w:tc>
        <w:tc>
          <w:tcPr>
            <w:tcW w:w="450" w:type="pct"/>
            <w:noWrap/>
            <w:vAlign w:val="center"/>
            <w:hideMark/>
          </w:tcPr>
          <w:p w14:paraId="202B0536"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75%</w:t>
            </w:r>
          </w:p>
        </w:tc>
        <w:tc>
          <w:tcPr>
            <w:tcW w:w="451" w:type="pct"/>
            <w:noWrap/>
            <w:vAlign w:val="center"/>
            <w:hideMark/>
          </w:tcPr>
          <w:p w14:paraId="2D739F8B"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85%</w:t>
            </w:r>
          </w:p>
        </w:tc>
        <w:tc>
          <w:tcPr>
            <w:tcW w:w="450" w:type="pct"/>
            <w:noWrap/>
            <w:vAlign w:val="center"/>
            <w:hideMark/>
          </w:tcPr>
          <w:p w14:paraId="47BC5071"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51%</w:t>
            </w:r>
          </w:p>
        </w:tc>
        <w:tc>
          <w:tcPr>
            <w:tcW w:w="450" w:type="pct"/>
            <w:noWrap/>
            <w:vAlign w:val="center"/>
            <w:hideMark/>
          </w:tcPr>
          <w:p w14:paraId="1E66DAB1"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48%</w:t>
            </w:r>
          </w:p>
        </w:tc>
        <w:tc>
          <w:tcPr>
            <w:tcW w:w="451" w:type="pct"/>
            <w:noWrap/>
            <w:vAlign w:val="center"/>
            <w:hideMark/>
          </w:tcPr>
          <w:p w14:paraId="6AE07165"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40%</w:t>
            </w:r>
          </w:p>
        </w:tc>
        <w:tc>
          <w:tcPr>
            <w:tcW w:w="450" w:type="pct"/>
            <w:noWrap/>
            <w:vAlign w:val="center"/>
            <w:hideMark/>
          </w:tcPr>
          <w:p w14:paraId="3F6B1944"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87%</w:t>
            </w:r>
          </w:p>
        </w:tc>
        <w:tc>
          <w:tcPr>
            <w:tcW w:w="451" w:type="pct"/>
            <w:noWrap/>
            <w:vAlign w:val="center"/>
            <w:hideMark/>
          </w:tcPr>
          <w:p w14:paraId="0AB51D00" w14:textId="3109F269"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proofErr w:type="spellStart"/>
            <w:r w:rsidRPr="00D827C0">
              <w:rPr>
                <w:rFonts w:asciiTheme="minorHAnsi" w:eastAsia="Times New Roman" w:hAnsiTheme="minorHAnsi" w:cstheme="minorHAnsi"/>
                <w:sz w:val="20"/>
                <w:szCs w:val="20"/>
                <w:lang w:eastAsia="ja-JP"/>
              </w:rPr>
              <w:t>n.a</w:t>
            </w:r>
            <w:proofErr w:type="spellEnd"/>
            <w:r w:rsidRPr="00D827C0">
              <w:rPr>
                <w:rFonts w:asciiTheme="minorHAnsi" w:eastAsia="Times New Roman" w:hAnsiTheme="minorHAnsi" w:cstheme="minorHAnsi"/>
                <w:sz w:val="20"/>
                <w:szCs w:val="20"/>
                <w:lang w:eastAsia="ja-JP"/>
              </w:rPr>
              <w:t>.</w:t>
            </w:r>
          </w:p>
        </w:tc>
      </w:tr>
      <w:tr w:rsidR="00F419EF" w:rsidRPr="00D827C0" w14:paraId="263FB6A8" w14:textId="77777777" w:rsidTr="007D76C2">
        <w:trPr>
          <w:cnfStyle w:val="000000100000" w:firstRow="0" w:lastRow="0" w:firstColumn="0" w:lastColumn="0" w:oddVBand="0" w:evenVBand="0" w:oddHBand="1" w:evenHBand="0" w:firstRowFirstColumn="0" w:firstRowLastColumn="0" w:lastRowFirstColumn="0" w:lastRowLastColumn="0"/>
          <w:divId w:val="765732152"/>
          <w:trHeight w:val="250"/>
        </w:trPr>
        <w:tc>
          <w:tcPr>
            <w:cnfStyle w:val="001000000000" w:firstRow="0" w:lastRow="0" w:firstColumn="1" w:lastColumn="0" w:oddVBand="0" w:evenVBand="0" w:oddHBand="0" w:evenHBand="0" w:firstRowFirstColumn="0" w:firstRowLastColumn="0" w:lastRowFirstColumn="0" w:lastRowLastColumn="0"/>
            <w:tcW w:w="1396" w:type="pct"/>
            <w:noWrap/>
            <w:hideMark/>
          </w:tcPr>
          <w:p w14:paraId="10AEDFBB" w14:textId="2201CFDA" w:rsidR="006213B5" w:rsidRPr="00D827C0" w:rsidRDefault="006213B5" w:rsidP="00472DAC">
            <w:pPr>
              <w:spacing w:after="0"/>
              <w:rPr>
                <w:rFonts w:asciiTheme="minorHAnsi" w:eastAsia="Times New Roman" w:hAnsiTheme="minorHAnsi" w:cstheme="minorHAnsi"/>
                <w:b w:val="0"/>
                <w:sz w:val="20"/>
                <w:szCs w:val="20"/>
                <w:lang w:eastAsia="ja-JP"/>
              </w:rPr>
            </w:pPr>
            <w:r w:rsidRPr="00D827C0">
              <w:rPr>
                <w:rFonts w:asciiTheme="minorHAnsi" w:eastAsia="Times New Roman" w:hAnsiTheme="minorHAnsi" w:cstheme="minorHAnsi"/>
                <w:b w:val="0"/>
                <w:sz w:val="20"/>
                <w:szCs w:val="20"/>
                <w:lang w:eastAsia="ja-JP"/>
              </w:rPr>
              <w:t xml:space="preserve">Mining </w:t>
            </w:r>
            <w:r w:rsidR="00472DAC">
              <w:rPr>
                <w:rFonts w:asciiTheme="minorHAnsi" w:eastAsia="Times New Roman" w:hAnsiTheme="minorHAnsi" w:cstheme="minorHAnsi"/>
                <w:b w:val="0"/>
                <w:sz w:val="20"/>
                <w:szCs w:val="20"/>
                <w:lang w:eastAsia="ja-JP"/>
              </w:rPr>
              <w:t>businesses</w:t>
            </w:r>
            <w:r w:rsidRPr="00D827C0">
              <w:rPr>
                <w:rFonts w:asciiTheme="minorHAnsi" w:eastAsia="Times New Roman" w:hAnsiTheme="minorHAnsi" w:cstheme="minorHAnsi"/>
                <w:b w:val="0"/>
                <w:sz w:val="20"/>
                <w:szCs w:val="20"/>
                <w:lang w:eastAsia="ja-JP"/>
              </w:rPr>
              <w:t xml:space="preserve"> R&amp;D expenditure proportion of state R&amp;D expenditure (FY 2015-16) (3)</w:t>
            </w:r>
          </w:p>
        </w:tc>
        <w:tc>
          <w:tcPr>
            <w:tcW w:w="450" w:type="pct"/>
            <w:noWrap/>
            <w:vAlign w:val="center"/>
            <w:hideMark/>
          </w:tcPr>
          <w:p w14:paraId="1FC9CA6C" w14:textId="77777777"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49%</w:t>
            </w:r>
          </w:p>
        </w:tc>
        <w:tc>
          <w:tcPr>
            <w:tcW w:w="450" w:type="pct"/>
            <w:noWrap/>
            <w:vAlign w:val="center"/>
            <w:hideMark/>
          </w:tcPr>
          <w:p w14:paraId="1B6761A3" w14:textId="77777777"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26%</w:t>
            </w:r>
          </w:p>
        </w:tc>
        <w:tc>
          <w:tcPr>
            <w:tcW w:w="451" w:type="pct"/>
            <w:noWrap/>
            <w:vAlign w:val="center"/>
            <w:hideMark/>
          </w:tcPr>
          <w:p w14:paraId="681959DE" w14:textId="77777777"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2%</w:t>
            </w:r>
          </w:p>
        </w:tc>
        <w:tc>
          <w:tcPr>
            <w:tcW w:w="450" w:type="pct"/>
            <w:noWrap/>
            <w:vAlign w:val="center"/>
            <w:hideMark/>
          </w:tcPr>
          <w:p w14:paraId="2F998792" w14:textId="77777777"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1%</w:t>
            </w:r>
          </w:p>
        </w:tc>
        <w:tc>
          <w:tcPr>
            <w:tcW w:w="450" w:type="pct"/>
            <w:noWrap/>
            <w:vAlign w:val="center"/>
            <w:hideMark/>
          </w:tcPr>
          <w:p w14:paraId="2FF2B16D" w14:textId="77777777"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16%</w:t>
            </w:r>
          </w:p>
        </w:tc>
        <w:tc>
          <w:tcPr>
            <w:tcW w:w="451" w:type="pct"/>
            <w:noWrap/>
            <w:vAlign w:val="center"/>
            <w:hideMark/>
          </w:tcPr>
          <w:p w14:paraId="0C8D5DB8" w14:textId="77777777"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17%</w:t>
            </w:r>
          </w:p>
        </w:tc>
        <w:tc>
          <w:tcPr>
            <w:tcW w:w="450" w:type="pct"/>
            <w:noWrap/>
            <w:vAlign w:val="center"/>
            <w:hideMark/>
          </w:tcPr>
          <w:p w14:paraId="26511B63" w14:textId="77777777"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8%</w:t>
            </w:r>
          </w:p>
        </w:tc>
        <w:tc>
          <w:tcPr>
            <w:tcW w:w="451" w:type="pct"/>
            <w:noWrap/>
            <w:vAlign w:val="center"/>
            <w:hideMark/>
          </w:tcPr>
          <w:p w14:paraId="109459A5" w14:textId="77777777" w:rsidR="006213B5" w:rsidRPr="00D827C0" w:rsidRDefault="006213B5" w:rsidP="007D76C2">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0%</w:t>
            </w:r>
          </w:p>
        </w:tc>
      </w:tr>
      <w:tr w:rsidR="00F419EF" w:rsidRPr="00D827C0" w14:paraId="2970B8D9" w14:textId="77777777" w:rsidTr="007D76C2">
        <w:trPr>
          <w:divId w:val="765732152"/>
          <w:trHeight w:val="250"/>
        </w:trPr>
        <w:tc>
          <w:tcPr>
            <w:cnfStyle w:val="001000000000" w:firstRow="0" w:lastRow="0" w:firstColumn="1" w:lastColumn="0" w:oddVBand="0" w:evenVBand="0" w:oddHBand="0" w:evenHBand="0" w:firstRowFirstColumn="0" w:firstRowLastColumn="0" w:lastRowFirstColumn="0" w:lastRowLastColumn="0"/>
            <w:tcW w:w="1396" w:type="pct"/>
            <w:noWrap/>
            <w:hideMark/>
          </w:tcPr>
          <w:p w14:paraId="754F08D8" w14:textId="1AF8770B" w:rsidR="006213B5" w:rsidRPr="00D827C0" w:rsidRDefault="0044580C" w:rsidP="0044580C">
            <w:pPr>
              <w:spacing w:after="0"/>
              <w:rPr>
                <w:rFonts w:asciiTheme="minorHAnsi" w:eastAsia="Times New Roman" w:hAnsiTheme="minorHAnsi" w:cstheme="minorHAnsi"/>
                <w:b w:val="0"/>
                <w:sz w:val="20"/>
                <w:szCs w:val="20"/>
                <w:lang w:eastAsia="ja-JP"/>
              </w:rPr>
            </w:pPr>
            <w:r>
              <w:rPr>
                <w:rFonts w:asciiTheme="minorHAnsi" w:eastAsia="Times New Roman" w:hAnsiTheme="minorHAnsi" w:cstheme="minorHAnsi"/>
                <w:b w:val="0"/>
                <w:sz w:val="20"/>
                <w:szCs w:val="20"/>
                <w:lang w:eastAsia="ja-JP"/>
              </w:rPr>
              <w:t>Income distribution in m</w:t>
            </w:r>
            <w:r w:rsidR="006213B5" w:rsidRPr="00D827C0">
              <w:rPr>
                <w:rFonts w:asciiTheme="minorHAnsi" w:eastAsia="Times New Roman" w:hAnsiTheme="minorHAnsi" w:cstheme="minorHAnsi"/>
                <w:b w:val="0"/>
                <w:sz w:val="20"/>
                <w:szCs w:val="20"/>
                <w:lang w:eastAsia="ja-JP"/>
              </w:rPr>
              <w:t xml:space="preserve">ining regions </w:t>
            </w:r>
            <w:r>
              <w:rPr>
                <w:rFonts w:asciiTheme="minorHAnsi" w:eastAsia="Times New Roman" w:hAnsiTheme="minorHAnsi" w:cstheme="minorHAnsi"/>
                <w:b w:val="0"/>
                <w:sz w:val="20"/>
                <w:szCs w:val="20"/>
                <w:lang w:eastAsia="ja-JP"/>
              </w:rPr>
              <w:t>compared to state average</w:t>
            </w:r>
            <w:r w:rsidR="006213B5" w:rsidRPr="00D827C0">
              <w:rPr>
                <w:rFonts w:asciiTheme="minorHAnsi" w:eastAsia="Times New Roman" w:hAnsiTheme="minorHAnsi" w:cstheme="minorHAnsi"/>
                <w:b w:val="0"/>
                <w:sz w:val="20"/>
                <w:szCs w:val="20"/>
                <w:lang w:eastAsia="ja-JP"/>
              </w:rPr>
              <w:t xml:space="preserve"> (2016) (4)</w:t>
            </w:r>
          </w:p>
        </w:tc>
        <w:tc>
          <w:tcPr>
            <w:tcW w:w="450" w:type="pct"/>
            <w:noWrap/>
            <w:vAlign w:val="center"/>
            <w:hideMark/>
          </w:tcPr>
          <w:p w14:paraId="7413410C"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more even</w:t>
            </w:r>
          </w:p>
        </w:tc>
        <w:tc>
          <w:tcPr>
            <w:tcW w:w="450" w:type="pct"/>
            <w:noWrap/>
            <w:vAlign w:val="center"/>
            <w:hideMark/>
          </w:tcPr>
          <w:p w14:paraId="21B36FDC"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more even</w:t>
            </w:r>
          </w:p>
        </w:tc>
        <w:tc>
          <w:tcPr>
            <w:tcW w:w="451" w:type="pct"/>
            <w:noWrap/>
            <w:vAlign w:val="center"/>
            <w:hideMark/>
          </w:tcPr>
          <w:p w14:paraId="7BD70031"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similar</w:t>
            </w:r>
          </w:p>
        </w:tc>
        <w:tc>
          <w:tcPr>
            <w:tcW w:w="450" w:type="pct"/>
            <w:noWrap/>
            <w:vAlign w:val="center"/>
            <w:hideMark/>
          </w:tcPr>
          <w:p w14:paraId="022F5DA0"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proofErr w:type="spellStart"/>
            <w:r w:rsidRPr="00D827C0">
              <w:rPr>
                <w:rFonts w:asciiTheme="minorHAnsi" w:eastAsia="Times New Roman" w:hAnsiTheme="minorHAnsi" w:cstheme="minorHAnsi"/>
                <w:sz w:val="20"/>
                <w:szCs w:val="20"/>
                <w:lang w:eastAsia="ja-JP"/>
              </w:rPr>
              <w:t>n.a</w:t>
            </w:r>
            <w:proofErr w:type="spellEnd"/>
            <w:r w:rsidRPr="00D827C0">
              <w:rPr>
                <w:rFonts w:asciiTheme="minorHAnsi" w:eastAsia="Times New Roman" w:hAnsiTheme="minorHAnsi" w:cstheme="minorHAnsi"/>
                <w:sz w:val="20"/>
                <w:szCs w:val="20"/>
                <w:lang w:eastAsia="ja-JP"/>
              </w:rPr>
              <w:t>.</w:t>
            </w:r>
          </w:p>
        </w:tc>
        <w:tc>
          <w:tcPr>
            <w:tcW w:w="450" w:type="pct"/>
            <w:noWrap/>
            <w:vAlign w:val="center"/>
            <w:hideMark/>
          </w:tcPr>
          <w:p w14:paraId="6E27867C"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more even</w:t>
            </w:r>
          </w:p>
        </w:tc>
        <w:tc>
          <w:tcPr>
            <w:tcW w:w="451" w:type="pct"/>
            <w:noWrap/>
            <w:vAlign w:val="center"/>
            <w:hideMark/>
          </w:tcPr>
          <w:p w14:paraId="7D5F2833"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less even</w:t>
            </w:r>
          </w:p>
        </w:tc>
        <w:tc>
          <w:tcPr>
            <w:tcW w:w="450" w:type="pct"/>
            <w:noWrap/>
            <w:vAlign w:val="center"/>
            <w:hideMark/>
          </w:tcPr>
          <w:p w14:paraId="469625B0"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r w:rsidRPr="00D827C0">
              <w:rPr>
                <w:rFonts w:asciiTheme="minorHAnsi" w:eastAsia="Times New Roman" w:hAnsiTheme="minorHAnsi" w:cstheme="minorHAnsi"/>
                <w:sz w:val="20"/>
                <w:szCs w:val="20"/>
                <w:lang w:eastAsia="ja-JP"/>
              </w:rPr>
              <w:t>less even</w:t>
            </w:r>
          </w:p>
        </w:tc>
        <w:tc>
          <w:tcPr>
            <w:tcW w:w="451" w:type="pct"/>
            <w:noWrap/>
            <w:vAlign w:val="center"/>
            <w:hideMark/>
          </w:tcPr>
          <w:p w14:paraId="09309FD7" w14:textId="77777777" w:rsidR="006213B5" w:rsidRPr="00D827C0" w:rsidRDefault="006213B5" w:rsidP="007D76C2">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ja-JP"/>
              </w:rPr>
            </w:pPr>
            <w:proofErr w:type="spellStart"/>
            <w:r w:rsidRPr="00D827C0">
              <w:rPr>
                <w:rFonts w:asciiTheme="minorHAnsi" w:eastAsia="Times New Roman" w:hAnsiTheme="minorHAnsi" w:cstheme="minorHAnsi"/>
                <w:sz w:val="20"/>
                <w:szCs w:val="20"/>
                <w:lang w:eastAsia="ja-JP"/>
              </w:rPr>
              <w:t>n.a</w:t>
            </w:r>
            <w:proofErr w:type="spellEnd"/>
            <w:r w:rsidRPr="00D827C0">
              <w:rPr>
                <w:rFonts w:asciiTheme="minorHAnsi" w:eastAsia="Times New Roman" w:hAnsiTheme="minorHAnsi" w:cstheme="minorHAnsi"/>
                <w:sz w:val="20"/>
                <w:szCs w:val="20"/>
                <w:lang w:eastAsia="ja-JP"/>
              </w:rPr>
              <w:t>.</w:t>
            </w:r>
          </w:p>
        </w:tc>
      </w:tr>
    </w:tbl>
    <w:p w14:paraId="0BB2D5B9" w14:textId="6DE872F3" w:rsidR="006213B5" w:rsidRPr="000347E0" w:rsidRDefault="000347E0" w:rsidP="004E1189">
      <w:pPr>
        <w:pStyle w:val="BodyText"/>
        <w:spacing w:line="276" w:lineRule="auto"/>
        <w:jc w:val="both"/>
        <w:rPr>
          <w:sz w:val="16"/>
          <w:szCs w:val="20"/>
        </w:rPr>
      </w:pPr>
      <w:r>
        <w:rPr>
          <w:sz w:val="16"/>
          <w:szCs w:val="20"/>
        </w:rPr>
        <w:t xml:space="preserve">(1) </w:t>
      </w:r>
      <w:r w:rsidR="003A3154">
        <w:rPr>
          <w:sz w:val="16"/>
          <w:szCs w:val="20"/>
        </w:rPr>
        <w:t xml:space="preserve">* ACT data is from the Australian Census of 2016. </w:t>
      </w:r>
      <w:r w:rsidR="00472DAC">
        <w:rPr>
          <w:sz w:val="16"/>
          <w:szCs w:val="20"/>
        </w:rPr>
        <w:t>Other d</w:t>
      </w:r>
      <w:r>
        <w:rPr>
          <w:sz w:val="16"/>
          <w:szCs w:val="20"/>
        </w:rPr>
        <w:t>ata s</w:t>
      </w:r>
      <w:r w:rsidRPr="000347E0">
        <w:rPr>
          <w:sz w:val="16"/>
          <w:szCs w:val="20"/>
        </w:rPr>
        <w:t xml:space="preserve">ource: </w:t>
      </w:r>
      <w:r>
        <w:rPr>
          <w:sz w:val="16"/>
          <w:szCs w:val="20"/>
        </w:rPr>
        <w:fldChar w:fldCharType="begin"/>
      </w:r>
      <w:r w:rsidR="00472DAC">
        <w:rPr>
          <w:sz w:val="16"/>
          <w:szCs w:val="20"/>
        </w:rPr>
        <w:instrText xml:space="preserve"> ADDIN EN.CITE &lt;EndNote&gt;&lt;Cite AuthorYear="1"&gt;&lt;Author&gt;Australian Bureau of Statistics&lt;/Author&gt;&lt;Year&gt;2018&lt;/Year&gt;&lt;RecNum&gt;3597&lt;/RecNum&gt;&lt;DisplayText&gt;Australian Bureau of Statistics (2018b)&lt;/DisplayText&gt;&lt;record&gt;&lt;rec-number&gt;3597&lt;/rec-number&gt;&lt;foreign-keys&gt;&lt;key app="EN" db-id="vzav25azvd0fxjextfzvax229ff0apaprtda" timestamp="1526858792"&gt;3597&lt;/key&gt;&lt;/foreign-keys&gt;&lt;ref-type name="Dataset"&gt;59&lt;/ref-type&gt;&lt;contributors&gt;&lt;authors&gt;&lt;author&gt;Australian Bureau of Statistics,&lt;/author&gt;&lt;/authors&gt;&lt;secondary-authors&gt;&lt;author&gt;Australian Bureau of Statistics,&lt;/author&gt;&lt;/secondary-authors&gt;&lt;/contributors&gt;&lt;titles&gt;&lt;title&gt;6291.0.55.003 Labour Force, Australia, Detailed, Quarterly&lt;/title&gt;&lt;/titles&gt;&lt;edition&gt;March 2018&lt;/edition&gt;&lt;dates&gt;&lt;year&gt;2018&lt;/year&gt;&lt;/dates&gt;&lt;pub-location&gt;Canberra&lt;/pub-location&gt;&lt;publisher&gt;Australian Bureau of Statistics&lt;/publisher&gt;&lt;urls&gt;&lt;related-urls&gt;&lt;url&gt;http://www.abs.gov.au/AUSSTATS/abs@.nsf/DetailsPage/6291.0.55.003Aug%202017?OpenDocument&lt;/url&gt;&lt;/related-urls&gt;&lt;/urls&gt;&lt;access-date&gt;21.09.2017&lt;/access-date&gt;&lt;/record&gt;&lt;/Cite&gt;&lt;/EndNote&gt;</w:instrText>
      </w:r>
      <w:r>
        <w:rPr>
          <w:sz w:val="16"/>
          <w:szCs w:val="20"/>
        </w:rPr>
        <w:fldChar w:fldCharType="separate"/>
      </w:r>
      <w:r w:rsidR="00472DAC">
        <w:rPr>
          <w:noProof/>
          <w:sz w:val="16"/>
          <w:szCs w:val="20"/>
        </w:rPr>
        <w:t>Australian Bureau of Statistics (2018b)</w:t>
      </w:r>
      <w:r>
        <w:rPr>
          <w:sz w:val="16"/>
          <w:szCs w:val="20"/>
        </w:rPr>
        <w:fldChar w:fldCharType="end"/>
      </w:r>
      <w:r w:rsidR="00472DAC">
        <w:rPr>
          <w:sz w:val="16"/>
          <w:szCs w:val="20"/>
        </w:rPr>
        <w:t xml:space="preserve"> (2) </w:t>
      </w:r>
      <w:r w:rsidRPr="000347E0">
        <w:rPr>
          <w:sz w:val="16"/>
          <w:szCs w:val="20"/>
        </w:rPr>
        <w:t>Regional areas are areas outside of the Greater Capital City Statistical Area. Due to the boundary structure, the Australian Capital Territory regional employment cannot be estimated.</w:t>
      </w:r>
      <w:r w:rsidR="00472DAC">
        <w:rPr>
          <w:sz w:val="16"/>
          <w:szCs w:val="20"/>
        </w:rPr>
        <w:t xml:space="preserve"> Data s</w:t>
      </w:r>
      <w:r w:rsidR="00472DAC" w:rsidRPr="000347E0">
        <w:rPr>
          <w:sz w:val="16"/>
          <w:szCs w:val="20"/>
        </w:rPr>
        <w:t xml:space="preserve">ource: </w:t>
      </w:r>
      <w:r w:rsidR="00472DAC">
        <w:rPr>
          <w:sz w:val="16"/>
          <w:szCs w:val="20"/>
        </w:rPr>
        <w:fldChar w:fldCharType="begin"/>
      </w:r>
      <w:r w:rsidR="00472DAC">
        <w:rPr>
          <w:sz w:val="16"/>
          <w:szCs w:val="20"/>
        </w:rPr>
        <w:instrText xml:space="preserve"> ADDIN EN.CITE &lt;EndNote&gt;&lt;Cite AuthorYear="1"&gt;&lt;Author&gt;Australian Bureau of Statistics&lt;/Author&gt;&lt;Year&gt;2017&lt;/Year&gt;&lt;RecNum&gt;3598&lt;/RecNum&gt;&lt;DisplayText&gt;Australian Bureau of Statistics (2017c)&lt;/DisplayText&gt;&lt;record&gt;&lt;rec-number&gt;3598&lt;/rec-number&gt;&lt;foreign-keys&gt;&lt;key app="EN" db-id="vzav25azvd0fxjextfzvax229ff0apaprtda" timestamp="1526858974"&gt;3598&lt;/key&gt;&lt;/foreign-keys&gt;&lt;ref-type name="Dataset"&gt;59&lt;/ref-type&gt;&lt;contributors&gt;&lt;authors&gt;&lt;author&gt;Australian Bureau of Statistics,&lt;/author&gt;&lt;/authors&gt;&lt;secondary-authors&gt;&lt;author&gt;Australian Bureau of Statistics,&lt;/author&gt;&lt;/secondary-authors&gt;&lt;/contributors&gt;&lt;titles&gt;&lt;title&gt;Australian Census 2016: DataPacks&lt;/title&gt;&lt;/titles&gt;&lt;dates&gt;&lt;year&gt;2017&lt;/year&gt;&lt;/dates&gt;&lt;pub-location&gt;Canberra&lt;/pub-location&gt;&lt;urls&gt;&lt;related-urls&gt;&lt;url&gt;https://datapacks.censusdata.abs.gov.au/datapacks/&lt;/url&gt;&lt;/related-urls&gt;&lt;/urls&gt;&lt;/record&gt;&lt;/Cite&gt;&lt;/EndNote&gt;</w:instrText>
      </w:r>
      <w:r w:rsidR="00472DAC">
        <w:rPr>
          <w:sz w:val="16"/>
          <w:szCs w:val="20"/>
        </w:rPr>
        <w:fldChar w:fldCharType="separate"/>
      </w:r>
      <w:r w:rsidR="00472DAC">
        <w:rPr>
          <w:noProof/>
          <w:sz w:val="16"/>
          <w:szCs w:val="20"/>
        </w:rPr>
        <w:t>Australian Bureau of Statistics (2017c)</w:t>
      </w:r>
      <w:r w:rsidR="00472DAC">
        <w:rPr>
          <w:sz w:val="16"/>
          <w:szCs w:val="20"/>
        </w:rPr>
        <w:fldChar w:fldCharType="end"/>
      </w:r>
      <w:r w:rsidR="00472DAC" w:rsidRPr="000347E0">
        <w:rPr>
          <w:sz w:val="16"/>
          <w:szCs w:val="20"/>
        </w:rPr>
        <w:t>.</w:t>
      </w:r>
      <w:r w:rsidRPr="000347E0">
        <w:rPr>
          <w:sz w:val="16"/>
          <w:szCs w:val="20"/>
        </w:rPr>
        <w:t xml:space="preserve"> (3)</w:t>
      </w:r>
      <w:r w:rsidR="00D827C0">
        <w:rPr>
          <w:sz w:val="16"/>
          <w:szCs w:val="20"/>
        </w:rPr>
        <w:t xml:space="preserve"> Data source: </w:t>
      </w:r>
      <w:r w:rsidR="002B5C96">
        <w:rPr>
          <w:sz w:val="16"/>
          <w:szCs w:val="20"/>
        </w:rPr>
        <w:fldChar w:fldCharType="begin"/>
      </w:r>
      <w:r w:rsidR="00472DAC">
        <w:rPr>
          <w:sz w:val="16"/>
          <w:szCs w:val="20"/>
        </w:rPr>
        <w:instrText xml:space="preserve"> ADDIN EN.CITE &lt;EndNote&gt;&lt;Cite AuthorYear="1"&gt;&lt;Author&gt;Australian Bureau of Statistics&lt;/Author&gt;&lt;Year&gt;2017&lt;/Year&gt;&lt;RecNum&gt;2937&lt;/RecNum&gt;&lt;DisplayText&gt;Australian Bureau of Statistics (2017e)&lt;/DisplayText&gt;&lt;record&gt;&lt;rec-number&gt;2937&lt;/rec-number&gt;&lt;foreign-keys&gt;&lt;key app="EN" db-id="vzav25azvd0fxjextfzvax229ff0apaprtda" timestamp="1503017432"&gt;2937&lt;/key&gt;&lt;/foreign-keys&gt;&lt;ref-type name="Dataset"&gt;59&lt;/ref-type&gt;&lt;contributors&gt;&lt;authors&gt;&lt;author&gt;Australian Bureau of Statistics,&lt;/author&gt;&lt;/authors&gt;&lt;/contributors&gt;&lt;titles&gt;&lt;title&gt;Research and Experimental Development, Businesses, Australia, cat. no. 8104.0&lt;/title&gt;&lt;/titles&gt;&lt;edition&gt;15.09.2015&lt;/edition&gt;&lt;dates&gt;&lt;year&gt;2017&lt;/year&gt;&lt;pub-dates&gt;&lt;date&gt;20.08.2017&lt;/date&gt;&lt;/pub-dates&gt;&lt;/dates&gt;&lt;pub-location&gt;Canberra&lt;/pub-location&gt;&lt;urls&gt;&lt;related-urls&gt;&lt;url&gt;http://www.abs.gov.au&lt;/url&gt;&lt;/related-urls&gt;&lt;/urls&gt;&lt;/record&gt;&lt;/Cite&gt;&lt;/EndNote&gt;</w:instrText>
      </w:r>
      <w:r w:rsidR="002B5C96">
        <w:rPr>
          <w:sz w:val="16"/>
          <w:szCs w:val="20"/>
        </w:rPr>
        <w:fldChar w:fldCharType="separate"/>
      </w:r>
      <w:r w:rsidR="00472DAC">
        <w:rPr>
          <w:noProof/>
          <w:sz w:val="16"/>
          <w:szCs w:val="20"/>
        </w:rPr>
        <w:t>Australian Bureau of Statistics (2017e)</w:t>
      </w:r>
      <w:r w:rsidR="002B5C96">
        <w:rPr>
          <w:sz w:val="16"/>
          <w:szCs w:val="20"/>
        </w:rPr>
        <w:fldChar w:fldCharType="end"/>
      </w:r>
      <w:r w:rsidR="00D827C0">
        <w:rPr>
          <w:sz w:val="16"/>
          <w:szCs w:val="20"/>
        </w:rPr>
        <w:t xml:space="preserve">; (4) </w:t>
      </w:r>
      <w:r w:rsidR="008D4AD1" w:rsidRPr="000347E0">
        <w:rPr>
          <w:sz w:val="16"/>
          <w:szCs w:val="20"/>
        </w:rPr>
        <w:t xml:space="preserve">Compared to average state income distribution coefficient calculated at Local Government Area level. </w:t>
      </w:r>
      <w:r w:rsidRPr="000347E0">
        <w:rPr>
          <w:sz w:val="16"/>
          <w:szCs w:val="20"/>
        </w:rPr>
        <w:t>Mining regions are Local Government Are</w:t>
      </w:r>
      <w:r w:rsidR="00DC138C">
        <w:rPr>
          <w:sz w:val="16"/>
          <w:szCs w:val="20"/>
        </w:rPr>
        <w:t xml:space="preserve">as where the industry is a top five </w:t>
      </w:r>
      <w:r w:rsidRPr="000347E0">
        <w:rPr>
          <w:sz w:val="16"/>
          <w:szCs w:val="20"/>
        </w:rPr>
        <w:t>employer. 'More even' means the income is more equally distributed than the state average. 'Similar' was attributed for an absolute difference smaller than + / - 0.01. Not available (</w:t>
      </w:r>
      <w:proofErr w:type="spellStart"/>
      <w:r w:rsidRPr="000347E0">
        <w:rPr>
          <w:sz w:val="16"/>
          <w:szCs w:val="20"/>
        </w:rPr>
        <w:t>n.a</w:t>
      </w:r>
      <w:proofErr w:type="spellEnd"/>
      <w:r w:rsidRPr="000347E0">
        <w:rPr>
          <w:sz w:val="16"/>
          <w:szCs w:val="20"/>
        </w:rPr>
        <w:t>.) means the state does not have LGAs wh</w:t>
      </w:r>
      <w:r w:rsidR="00472DAC">
        <w:rPr>
          <w:sz w:val="16"/>
          <w:szCs w:val="20"/>
        </w:rPr>
        <w:t xml:space="preserve">ere Mining is a top 5 employer </w:t>
      </w:r>
      <w:r w:rsidRPr="000347E0">
        <w:rPr>
          <w:sz w:val="16"/>
          <w:szCs w:val="20"/>
        </w:rPr>
        <w:t xml:space="preserve">based on </w:t>
      </w:r>
      <w:r w:rsidR="00472DAC">
        <w:rPr>
          <w:sz w:val="16"/>
          <w:szCs w:val="20"/>
        </w:rPr>
        <w:t>2016</w:t>
      </w:r>
      <w:r w:rsidRPr="000347E0">
        <w:rPr>
          <w:sz w:val="16"/>
          <w:szCs w:val="20"/>
        </w:rPr>
        <w:t xml:space="preserve"> Australian Cens</w:t>
      </w:r>
      <w:r w:rsidR="00472DAC">
        <w:rPr>
          <w:sz w:val="16"/>
          <w:szCs w:val="20"/>
        </w:rPr>
        <w:t>us data</w:t>
      </w:r>
      <w:r w:rsidRPr="000347E0">
        <w:rPr>
          <w:sz w:val="16"/>
          <w:szCs w:val="20"/>
        </w:rPr>
        <w:t>.</w:t>
      </w:r>
      <w:r w:rsidR="008D4AD1" w:rsidRPr="008D4AD1">
        <w:rPr>
          <w:sz w:val="16"/>
          <w:szCs w:val="20"/>
        </w:rPr>
        <w:t xml:space="preserve"> </w:t>
      </w:r>
      <w:r w:rsidR="008D4AD1">
        <w:rPr>
          <w:sz w:val="16"/>
          <w:szCs w:val="20"/>
        </w:rPr>
        <w:t>Data s</w:t>
      </w:r>
      <w:r w:rsidR="008D4AD1" w:rsidRPr="000347E0">
        <w:rPr>
          <w:sz w:val="16"/>
          <w:szCs w:val="20"/>
        </w:rPr>
        <w:t>ource:</w:t>
      </w:r>
      <w:r w:rsidR="008D4AD1" w:rsidRPr="00D827C0">
        <w:rPr>
          <w:sz w:val="16"/>
          <w:szCs w:val="20"/>
        </w:rPr>
        <w:t xml:space="preserve"> </w:t>
      </w:r>
      <w:r w:rsidR="008D4AD1">
        <w:rPr>
          <w:sz w:val="16"/>
          <w:szCs w:val="20"/>
        </w:rPr>
        <w:fldChar w:fldCharType="begin"/>
      </w:r>
      <w:r w:rsidR="00472DAC">
        <w:rPr>
          <w:sz w:val="16"/>
          <w:szCs w:val="20"/>
        </w:rPr>
        <w:instrText xml:space="preserve"> ADDIN EN.CITE &lt;EndNote&gt;&lt;Cite AuthorYear="1"&gt;&lt;Author&gt;Australian Bureau of Statistics&lt;/Author&gt;&lt;Year&gt;2017&lt;/Year&gt;&lt;RecNum&gt;3598&lt;/RecNum&gt;&lt;DisplayText&gt;Australian Bureau of Statistics (2017c)&lt;/DisplayText&gt;&lt;record&gt;&lt;rec-number&gt;3598&lt;/rec-number&gt;&lt;foreign-keys&gt;&lt;key app="EN" db-id="vzav25azvd0fxjextfzvax229ff0apaprtda" timestamp="1526858974"&gt;3598&lt;/key&gt;&lt;/foreign-keys&gt;&lt;ref-type name="Dataset"&gt;59&lt;/ref-type&gt;&lt;contributors&gt;&lt;authors&gt;&lt;author&gt;Australian Bureau of Statistics,&lt;/author&gt;&lt;/authors&gt;&lt;secondary-authors&gt;&lt;author&gt;Australian Bureau of Statistics,&lt;/author&gt;&lt;/secondary-authors&gt;&lt;/contributors&gt;&lt;titles&gt;&lt;title&gt;Australian Census 2016: DataPacks&lt;/title&gt;&lt;/titles&gt;&lt;dates&gt;&lt;year&gt;2017&lt;/year&gt;&lt;/dates&gt;&lt;pub-location&gt;Canberra&lt;/pub-location&gt;&lt;urls&gt;&lt;related-urls&gt;&lt;url&gt;https://datapacks.censusdata.abs.gov.au/datapacks/&lt;/url&gt;&lt;/related-urls&gt;&lt;/urls&gt;&lt;/record&gt;&lt;/Cite&gt;&lt;/EndNote&gt;</w:instrText>
      </w:r>
      <w:r w:rsidR="008D4AD1">
        <w:rPr>
          <w:sz w:val="16"/>
          <w:szCs w:val="20"/>
        </w:rPr>
        <w:fldChar w:fldCharType="separate"/>
      </w:r>
      <w:r w:rsidR="00472DAC">
        <w:rPr>
          <w:noProof/>
          <w:sz w:val="16"/>
          <w:szCs w:val="20"/>
        </w:rPr>
        <w:t>Australian Bureau of Statistics (2017c)</w:t>
      </w:r>
      <w:r w:rsidR="008D4AD1">
        <w:rPr>
          <w:sz w:val="16"/>
          <w:szCs w:val="20"/>
        </w:rPr>
        <w:fldChar w:fldCharType="end"/>
      </w:r>
      <w:r w:rsidR="008D4AD1" w:rsidRPr="000347E0">
        <w:rPr>
          <w:sz w:val="16"/>
          <w:szCs w:val="20"/>
        </w:rPr>
        <w:t>; author's calculations.</w:t>
      </w:r>
    </w:p>
    <w:p w14:paraId="073062D5" w14:textId="77777777" w:rsidR="005A7DBC" w:rsidRDefault="005A7DBC" w:rsidP="00DC2413">
      <w:pPr>
        <w:pStyle w:val="BodyText"/>
      </w:pPr>
    </w:p>
    <w:p w14:paraId="75FA5921" w14:textId="0359CD3E" w:rsidR="00810FF0" w:rsidRDefault="00AA2EDE" w:rsidP="00496756">
      <w:pPr>
        <w:pStyle w:val="BodyText"/>
        <w:jc w:val="both"/>
      </w:pPr>
      <w:r>
        <w:lastRenderedPageBreak/>
        <w:t xml:space="preserve">The </w:t>
      </w:r>
      <w:r w:rsidR="00E13ABF" w:rsidRPr="006829D3">
        <w:rPr>
          <w:b/>
        </w:rPr>
        <w:t>Western Australia</w:t>
      </w:r>
      <w:r w:rsidRPr="006829D3">
        <w:rPr>
          <w:b/>
        </w:rPr>
        <w:t>n</w:t>
      </w:r>
      <w:r w:rsidR="00810FF0">
        <w:t xml:space="preserve"> (WA)</w:t>
      </w:r>
      <w:r>
        <w:t xml:space="preserve"> mining industry </w:t>
      </w:r>
      <w:r w:rsidR="00E13ABF">
        <w:t xml:space="preserve">has the highest number of </w:t>
      </w:r>
      <w:r>
        <w:t>employees compared to other states</w:t>
      </w:r>
      <w:r w:rsidR="00ED3524">
        <w:t xml:space="preserve">, accounting for more than </w:t>
      </w:r>
      <w:r w:rsidR="00ED1E32">
        <w:t>7</w:t>
      </w:r>
      <w:r w:rsidR="00ED3524">
        <w:t>% of</w:t>
      </w:r>
      <w:r>
        <w:t xml:space="preserve"> total </w:t>
      </w:r>
      <w:r w:rsidR="00177299">
        <w:t xml:space="preserve">state </w:t>
      </w:r>
      <w:r w:rsidR="00042D4F">
        <w:t>employment</w:t>
      </w:r>
      <w:r>
        <w:t xml:space="preserve">. </w:t>
      </w:r>
      <w:r w:rsidR="00F247A3">
        <w:t xml:space="preserve">Employment numbers reduced slightly from a peak in 2013 and have remained steady from 2014 to 2017. </w:t>
      </w:r>
      <w:r w:rsidR="00D22EE6">
        <w:t>While total employment numbers are not fluctuating much, t</w:t>
      </w:r>
      <w:r w:rsidR="00ED1E32">
        <w:t xml:space="preserve">he industry has an increasingly urbanising workforce: from 64% in 2016 to about 75% in 2018. While WA always had a higher proportion of FIFO/DIDO workers, </w:t>
      </w:r>
      <w:r w:rsidR="001E6432">
        <w:t xml:space="preserve">growth of </w:t>
      </w:r>
      <w:r w:rsidR="005F3960">
        <w:t>remotely managed</w:t>
      </w:r>
      <w:r w:rsidR="00ED1E32">
        <w:t xml:space="preserve"> operations through the use of d</w:t>
      </w:r>
      <w:r w:rsidR="00D22EE6">
        <w:t>riverless trucks</w:t>
      </w:r>
      <w:r w:rsidR="00954D28">
        <w:t>, drills</w:t>
      </w:r>
      <w:r w:rsidR="00D22EE6">
        <w:t xml:space="preserve"> and </w:t>
      </w:r>
      <w:r w:rsidR="001E6432">
        <w:t xml:space="preserve">other </w:t>
      </w:r>
      <w:r w:rsidR="00ED1E32">
        <w:t>technology</w:t>
      </w:r>
      <w:r w:rsidR="001E6432">
        <w:t xml:space="preserve"> underlie </w:t>
      </w:r>
      <w:r w:rsidR="00ED1E32">
        <w:t>these rapid changes</w:t>
      </w:r>
      <w:r w:rsidR="001E6432">
        <w:t xml:space="preserve"> (e.g. </w:t>
      </w:r>
      <w:r w:rsidR="001E6432">
        <w:rPr>
          <w:rFonts w:asciiTheme="minorHAnsi" w:eastAsia="Times New Roman" w:hAnsiTheme="minorHAnsi"/>
          <w:color w:val="auto"/>
          <w:szCs w:val="24"/>
          <w:lang w:eastAsia="en-US"/>
        </w:rPr>
        <w:t>Rio Tinto’s Perth Operations Centre</w:t>
      </w:r>
      <w:r w:rsidR="001E6432">
        <w:t>)</w:t>
      </w:r>
      <w:r w:rsidR="00ED1E32">
        <w:t>.</w:t>
      </w:r>
      <w:r w:rsidR="00D22EE6">
        <w:t xml:space="preserve"> </w:t>
      </w:r>
      <w:r>
        <w:t>The im</w:t>
      </w:r>
      <w:r w:rsidR="009C3258">
        <w:t>portance of this sector to the S</w:t>
      </w:r>
      <w:r>
        <w:t xml:space="preserve">tate is reflected in the research and development (R&amp;D) expenditure numbers which </w:t>
      </w:r>
      <w:r w:rsidR="009C3258">
        <w:t>account for almost half of the S</w:t>
      </w:r>
      <w:r>
        <w:t>tate’s business R&amp;D expenditure.</w:t>
      </w:r>
      <w:r w:rsidR="00690D1E">
        <w:t xml:space="preserve"> WA </w:t>
      </w:r>
      <w:r w:rsidR="00177299">
        <w:t xml:space="preserve">mining </w:t>
      </w:r>
      <w:r w:rsidR="00690D1E">
        <w:t xml:space="preserve">businesses </w:t>
      </w:r>
      <w:r w:rsidR="00010001">
        <w:t xml:space="preserve">spend the most in the nation and their expenditure is </w:t>
      </w:r>
      <w:r w:rsidR="00690D1E">
        <w:t xml:space="preserve">more than </w:t>
      </w:r>
      <w:r w:rsidR="00010001">
        <w:t>double the amount in QLD in the same year of 2015-16.</w:t>
      </w:r>
      <w:r w:rsidR="00690D1E">
        <w:t xml:space="preserve"> </w:t>
      </w:r>
      <w:r>
        <w:t xml:space="preserve"> </w:t>
      </w:r>
      <w:r w:rsidR="002B6EC9">
        <w:t>While more of the mining workforce is located in the capital city area</w:t>
      </w:r>
      <w:r w:rsidR="00E76D99">
        <w:t xml:space="preserve"> (64% in 2016)</w:t>
      </w:r>
      <w:r w:rsidR="002B6EC9">
        <w:t>, the income</w:t>
      </w:r>
      <w:r w:rsidR="005B0EEC">
        <w:t xml:space="preserve"> in WA’s regions where mining is a to</w:t>
      </w:r>
      <w:r w:rsidR="00E83FE0">
        <w:t>p five</w:t>
      </w:r>
      <w:r w:rsidR="005B0EEC">
        <w:t xml:space="preserve"> employer</w:t>
      </w:r>
      <w:r w:rsidR="002B6EC9">
        <w:t xml:space="preserve"> </w:t>
      </w:r>
      <w:r w:rsidR="005B0EEC">
        <w:t xml:space="preserve">is distributed more evenly than </w:t>
      </w:r>
      <w:r w:rsidR="009C3258">
        <w:t>in the rest of the S</w:t>
      </w:r>
      <w:r w:rsidR="00BF2438">
        <w:t>tate.</w:t>
      </w:r>
      <w:r w:rsidR="00571859">
        <w:t xml:space="preserve"> </w:t>
      </w:r>
      <w:r w:rsidR="00E83FE0">
        <w:t>The Pilba</w:t>
      </w:r>
      <w:r w:rsidR="00101EC1">
        <w:t>ra and Kalgoorlie-Boulder regions have each boasted a lower level of income inequality than the non-mining regions both in 2006 and 2016.</w:t>
      </w:r>
    </w:p>
    <w:p w14:paraId="3FAB2522" w14:textId="4617EBFC" w:rsidR="00B750F3" w:rsidRDefault="00810FF0" w:rsidP="00496756">
      <w:pPr>
        <w:pStyle w:val="BodyText"/>
        <w:jc w:val="both"/>
      </w:pPr>
      <w:r w:rsidRPr="006829D3">
        <w:rPr>
          <w:b/>
        </w:rPr>
        <w:t xml:space="preserve">Queensland </w:t>
      </w:r>
      <w:r>
        <w:t>(QLD)</w:t>
      </w:r>
      <w:r w:rsidR="006829D3">
        <w:t xml:space="preserve">. In terms of cyclical </w:t>
      </w:r>
      <w:r w:rsidR="00F47A02">
        <w:t>a</w:t>
      </w:r>
      <w:r w:rsidR="00F247A3">
        <w:t>ffects,</w:t>
      </w:r>
      <w:r>
        <w:t xml:space="preserve"> </w:t>
      </w:r>
      <w:r w:rsidR="00F247A3">
        <w:t xml:space="preserve">Queensland </w:t>
      </w:r>
      <w:r w:rsidR="002717AE">
        <w:t>had a</w:t>
      </w:r>
      <w:r w:rsidR="00F247A3">
        <w:t xml:space="preserve"> simil</w:t>
      </w:r>
      <w:r w:rsidR="00F47A02">
        <w:t xml:space="preserve">ar </w:t>
      </w:r>
      <w:r w:rsidR="002717AE">
        <w:t xml:space="preserve">trajectory </w:t>
      </w:r>
      <w:r w:rsidR="00F47A02">
        <w:t xml:space="preserve">to Western Australia </w:t>
      </w:r>
      <w:r w:rsidR="002717AE">
        <w:t>reaching an employment peak in 2013. It then suffered a drop</w:t>
      </w:r>
      <w:r w:rsidR="00F247A3">
        <w:t xml:space="preserve"> from </w:t>
      </w:r>
      <w:r w:rsidR="002717AE">
        <w:t xml:space="preserve">a topmost level of </w:t>
      </w:r>
      <w:r w:rsidR="00F47A02">
        <w:t xml:space="preserve">3.5% </w:t>
      </w:r>
      <w:r w:rsidR="009C3258">
        <w:t>mining employment out of S</w:t>
      </w:r>
      <w:r w:rsidR="002717AE">
        <w:t xml:space="preserve">tate totals </w:t>
      </w:r>
      <w:r w:rsidR="00F47A02">
        <w:t>to a low of 2.2% in 2016. Continued increase in employment from 2016 has added mor</w:t>
      </w:r>
      <w:r w:rsidR="00D708A6">
        <w:t>e than 6,000 jobs, with the ratio of the indus</w:t>
      </w:r>
      <w:r w:rsidR="009C3258">
        <w:t>try from S</w:t>
      </w:r>
      <w:r w:rsidR="002717AE">
        <w:t>tate total employment</w:t>
      </w:r>
      <w:r w:rsidR="00D708A6">
        <w:t xml:space="preserve"> rebounding close to 2.6%</w:t>
      </w:r>
      <w:r w:rsidR="00F247A3">
        <w:t>. However, in terms of the loc</w:t>
      </w:r>
      <w:r w:rsidR="002717AE">
        <w:t>ation of mining employees QLD</w:t>
      </w:r>
      <w:r w:rsidR="00F247A3">
        <w:t xml:space="preserve"> is quite different to </w:t>
      </w:r>
      <w:r>
        <w:t>WA</w:t>
      </w:r>
      <w:r w:rsidR="0044219D">
        <w:t>.</w:t>
      </w:r>
      <w:r w:rsidR="002717AE">
        <w:t xml:space="preserve"> More of QLD’s </w:t>
      </w:r>
      <w:r>
        <w:t xml:space="preserve">workforce </w:t>
      </w:r>
      <w:r w:rsidR="0044219D">
        <w:t>lives</w:t>
      </w:r>
      <w:r>
        <w:t xml:space="preserve"> in rural and regional areas</w:t>
      </w:r>
      <w:r w:rsidR="00F247A3">
        <w:t>, with</w:t>
      </w:r>
      <w:r>
        <w:t xml:space="preserve"> </w:t>
      </w:r>
      <w:r w:rsidR="00F247A3">
        <w:t>t</w:t>
      </w:r>
      <w:r>
        <w:t xml:space="preserve">hree quarters of workers </w:t>
      </w:r>
      <w:r w:rsidR="002717AE">
        <w:t xml:space="preserve">in the mining sector being based </w:t>
      </w:r>
      <w:r>
        <w:t>outside the capital city</w:t>
      </w:r>
      <w:r w:rsidR="00A77C85">
        <w:t xml:space="preserve"> of</w:t>
      </w:r>
      <w:r>
        <w:t xml:space="preserve"> Brisbane. T</w:t>
      </w:r>
      <w:r w:rsidR="00A77C85">
        <w:t>his distribution of the labour force</w:t>
      </w:r>
      <w:r>
        <w:t xml:space="preserve"> represent</w:t>
      </w:r>
      <w:r w:rsidR="00A77C85">
        <w:t>s</w:t>
      </w:r>
      <w:r>
        <w:t xml:space="preserve"> the potential for </w:t>
      </w:r>
      <w:r w:rsidR="002717AE">
        <w:t>more rural and re</w:t>
      </w:r>
      <w:r w:rsidR="0044219D">
        <w:t xml:space="preserve">gional </w:t>
      </w:r>
      <w:proofErr w:type="spellStart"/>
      <w:r>
        <w:t>spillover</w:t>
      </w:r>
      <w:proofErr w:type="spellEnd"/>
      <w:r>
        <w:t xml:space="preserve"> </w:t>
      </w:r>
      <w:r w:rsidR="00A77C85">
        <w:t xml:space="preserve">effects in the form of jobs and income </w:t>
      </w:r>
      <w:r w:rsidR="002717AE">
        <w:t>to</w:t>
      </w:r>
      <w:r w:rsidR="00A77C85">
        <w:t xml:space="preserve"> other </w:t>
      </w:r>
      <w:r>
        <w:t>sectors</w:t>
      </w:r>
      <w:r w:rsidR="00A77C85">
        <w:t xml:space="preserve"> (e.g. services, manufacturing)</w:t>
      </w:r>
      <w:r>
        <w:t xml:space="preserve"> </w:t>
      </w:r>
      <w:r w:rsidR="002717AE">
        <w:t>to occur when mining industry employment grows</w:t>
      </w:r>
      <w:r w:rsidRPr="0083515E">
        <w:t>.</w:t>
      </w:r>
      <w:r w:rsidR="009974F9">
        <w:t xml:space="preserve"> </w:t>
      </w:r>
      <w:r w:rsidR="00A04570">
        <w:t>Mining businesses in QLD</w:t>
      </w:r>
      <w:r w:rsidR="009974F9">
        <w:t xml:space="preserve"> </w:t>
      </w:r>
      <w:r w:rsidR="00A04570">
        <w:t>are t</w:t>
      </w:r>
      <w:r w:rsidR="009C3258">
        <w:t>he top R&amp;D spender in the S</w:t>
      </w:r>
      <w:r w:rsidR="009974F9">
        <w:t xml:space="preserve">tate, </w:t>
      </w:r>
      <w:r w:rsidR="002717AE">
        <w:t xml:space="preserve">with </w:t>
      </w:r>
      <w:r w:rsidR="009974F9">
        <w:t>the amou</w:t>
      </w:r>
      <w:r w:rsidR="002717AE">
        <w:t xml:space="preserve">nt totalling </w:t>
      </w:r>
      <w:r w:rsidR="009974F9">
        <w:t>a quarter of the funds invested in 2015-16.</w:t>
      </w:r>
      <w:r w:rsidR="00502FEE">
        <w:t xml:space="preserve"> Also,</w:t>
      </w:r>
      <w:r w:rsidR="000907F1">
        <w:t xml:space="preserve"> in QLD </w:t>
      </w:r>
      <w:r w:rsidR="00502FEE">
        <w:t>like in WA, income is more evenly distributed across all income brackets</w:t>
      </w:r>
      <w:r w:rsidR="000907F1">
        <w:t xml:space="preserve"> in mining region</w:t>
      </w:r>
      <w:r w:rsidR="002717AE">
        <w:t>s</w:t>
      </w:r>
      <w:r w:rsidR="000907F1">
        <w:t xml:space="preserve">, </w:t>
      </w:r>
      <w:r w:rsidR="0044219D">
        <w:t>including</w:t>
      </w:r>
      <w:r w:rsidR="00502FEE">
        <w:t xml:space="preserve"> the Surat, Bowen and Galilee Basin areas</w:t>
      </w:r>
      <w:r w:rsidR="000907F1">
        <w:t>,</w:t>
      </w:r>
      <w:r w:rsidR="00502FEE">
        <w:t xml:space="preserve"> than on average for non-mining local government areas.</w:t>
      </w:r>
    </w:p>
    <w:p w14:paraId="69931315" w14:textId="0646F150" w:rsidR="00A300C7" w:rsidRDefault="008D4AD1" w:rsidP="00496756">
      <w:pPr>
        <w:pStyle w:val="BodyText"/>
        <w:jc w:val="both"/>
      </w:pPr>
      <w:r w:rsidRPr="006829D3">
        <w:rPr>
          <w:b/>
        </w:rPr>
        <w:t>New South Wales</w:t>
      </w:r>
      <w:r>
        <w:t xml:space="preserve"> (NSW)</w:t>
      </w:r>
      <w:r w:rsidR="0044219D">
        <w:t>. In terms of total numbers, NSW</w:t>
      </w:r>
      <w:r>
        <w:t xml:space="preserve"> has less than half of the </w:t>
      </w:r>
      <w:r w:rsidR="0044219D">
        <w:t xml:space="preserve">mining </w:t>
      </w:r>
      <w:r>
        <w:t xml:space="preserve">workers </w:t>
      </w:r>
      <w:r w:rsidR="0044219D">
        <w:t xml:space="preserve">than </w:t>
      </w:r>
      <w:r>
        <w:t>WA</w:t>
      </w:r>
      <w:r w:rsidR="0044219D">
        <w:t xml:space="preserve">. In terms of cyclical affects, NSW experienced </w:t>
      </w:r>
      <w:r w:rsidR="00F22552">
        <w:t xml:space="preserve">a sharp drop in employment from 2013 to 2014 and then experienced </w:t>
      </w:r>
      <w:r w:rsidR="0044219D">
        <w:t xml:space="preserve">a </w:t>
      </w:r>
      <w:r w:rsidR="00F22552">
        <w:t>gradual recovery. At the beginning of 2018, more than 5,000 jobs have were added to the sector from 2014 average levels</w:t>
      </w:r>
      <w:r w:rsidR="0044219D">
        <w:t xml:space="preserve">. Another important aspect of the NSW mining industry is that it has </w:t>
      </w:r>
      <w:r w:rsidR="00F22552">
        <w:t>a high</w:t>
      </w:r>
      <w:r>
        <w:t xml:space="preserve"> proportion of mining employees who live outside of </w:t>
      </w:r>
      <w:r w:rsidR="0044219D">
        <w:t xml:space="preserve">the </w:t>
      </w:r>
      <w:r>
        <w:t>capital</w:t>
      </w:r>
      <w:r w:rsidR="0044219D">
        <w:t>, Sydney</w:t>
      </w:r>
      <w:r w:rsidR="00F22552">
        <w:t xml:space="preserve"> (85%)</w:t>
      </w:r>
      <w:r>
        <w:t xml:space="preserve">. </w:t>
      </w:r>
      <w:r w:rsidR="00496756">
        <w:t xml:space="preserve">A large proportion of these workers </w:t>
      </w:r>
      <w:r>
        <w:t>live and work around the Hunter Valley region</w:t>
      </w:r>
      <w:r w:rsidR="00496756">
        <w:t xml:space="preserve"> where i</w:t>
      </w:r>
      <w:r w:rsidR="000F489A">
        <w:t xml:space="preserve">ncome inequality </w:t>
      </w:r>
      <w:r w:rsidR="00496756">
        <w:t>appears low. Income distribution is considerably more even in the Hunter mining region than in other</w:t>
      </w:r>
      <w:r w:rsidR="000F489A">
        <w:t xml:space="preserve"> areas</w:t>
      </w:r>
      <w:r w:rsidR="00496756">
        <w:t>,</w:t>
      </w:r>
      <w:r w:rsidR="000F489A">
        <w:t xml:space="preserve"> such as </w:t>
      </w:r>
      <w:r w:rsidR="00496756">
        <w:t xml:space="preserve">the </w:t>
      </w:r>
      <w:r w:rsidR="000F489A">
        <w:t xml:space="preserve">Sydney </w:t>
      </w:r>
      <w:r w:rsidR="00496756">
        <w:t>city region which displays a higher than average income disparity</w:t>
      </w:r>
      <w:r w:rsidR="009F7A0C">
        <w:t xml:space="preserve">. </w:t>
      </w:r>
      <w:r w:rsidR="00B314BB">
        <w:t xml:space="preserve">A diverse economy </w:t>
      </w:r>
      <w:r w:rsidR="00496756">
        <w:t xml:space="preserve">in the </w:t>
      </w:r>
      <w:r w:rsidR="009C3258">
        <w:t>S</w:t>
      </w:r>
      <w:r w:rsidR="00496756">
        <w:t xml:space="preserve">tate </w:t>
      </w:r>
      <w:r w:rsidR="00B314BB">
        <w:t>means that out of the total $6.4 million R&amp;D expenditure</w:t>
      </w:r>
      <w:r w:rsidR="00690D1E">
        <w:t xml:space="preserve"> in 2015-16</w:t>
      </w:r>
      <w:r w:rsidR="00B314BB">
        <w:t>, only about 2% originates from businesses in the mi</w:t>
      </w:r>
      <w:r w:rsidR="00A300C7">
        <w:t>ning sector</w:t>
      </w:r>
      <w:r w:rsidR="00B314BB">
        <w:t>.</w:t>
      </w:r>
    </w:p>
    <w:p w14:paraId="49557613" w14:textId="080A00BE" w:rsidR="00925187" w:rsidRDefault="0069681E" w:rsidP="00496756">
      <w:pPr>
        <w:pStyle w:val="BodyText"/>
        <w:jc w:val="both"/>
      </w:pPr>
      <w:r w:rsidRPr="00D931EF">
        <w:rPr>
          <w:b/>
        </w:rPr>
        <w:t>Victoria</w:t>
      </w:r>
      <w:r w:rsidR="00954D28">
        <w:rPr>
          <w:b/>
        </w:rPr>
        <w:t xml:space="preserve"> </w:t>
      </w:r>
      <w:r>
        <w:t>(VIC)</w:t>
      </w:r>
      <w:r w:rsidR="000D3E11">
        <w:t xml:space="preserve"> </w:t>
      </w:r>
      <w:r w:rsidR="00954D28">
        <w:t xml:space="preserve">is home to around 11,000 mining workers, a quarter of the total in NSW. In this </w:t>
      </w:r>
      <w:r w:rsidR="009C3258">
        <w:t>S</w:t>
      </w:r>
      <w:r w:rsidR="00954D28">
        <w:t>tate as in others, employment ebbed from 2013 to 2015 from a level of more than 14,000 to less than 9,000. Employment in the mining indust</w:t>
      </w:r>
      <w:r w:rsidR="009C3258">
        <w:t>ry is traditionally low in the State and the 2016</w:t>
      </w:r>
      <w:r w:rsidR="00954D28">
        <w:t xml:space="preserve"> Australian Census </w:t>
      </w:r>
      <w:r w:rsidR="009C3258">
        <w:t xml:space="preserve">data </w:t>
      </w:r>
      <w:r w:rsidR="00954D28">
        <w:t xml:space="preserve">confirmed this. Victoria did not have a Local Government Area where mining is a top five employer. In this context, it is not surprising that mining R&amp;D expenditure is 1% of the total. Yet, at a difference to WA, QLD and NSW, the mining </w:t>
      </w:r>
      <w:r w:rsidR="00BF0AA4">
        <w:t>workforce</w:t>
      </w:r>
      <w:r w:rsidR="00954D28">
        <w:t xml:space="preserve"> urban-rural split is not as polarised. </w:t>
      </w:r>
      <w:r w:rsidR="00954D28">
        <w:lastRenderedPageBreak/>
        <w:t>In 2016, the number of people working in the Melbourne metropolitan area was</w:t>
      </w:r>
      <w:r w:rsidR="00BF0AA4">
        <w:t xml:space="preserve"> </w:t>
      </w:r>
      <w:r w:rsidR="00954D28">
        <w:t>similar to the number working outside of it</w:t>
      </w:r>
      <w:r w:rsidR="00BF0AA4">
        <w:t xml:space="preserve">. </w:t>
      </w:r>
      <w:r w:rsidR="00475D73">
        <w:t>This distribution may be changing as e</w:t>
      </w:r>
      <w:r w:rsidR="00954D28">
        <w:t>mployment figures</w:t>
      </w:r>
      <w:r w:rsidR="001C3CA3">
        <w:t xml:space="preserve"> at the beginning of 2018</w:t>
      </w:r>
      <w:r w:rsidR="00954D28">
        <w:t xml:space="preserve"> show </w:t>
      </w:r>
      <w:r w:rsidR="001C3CA3">
        <w:t xml:space="preserve">an increase to </w:t>
      </w:r>
      <w:r w:rsidR="00954D28">
        <w:t xml:space="preserve">64% of the </w:t>
      </w:r>
      <w:r w:rsidR="00177299">
        <w:t xml:space="preserve">mining </w:t>
      </w:r>
      <w:r w:rsidR="00954D28">
        <w:t>workers being based in regional areas.</w:t>
      </w:r>
      <w:r w:rsidR="00621F1F">
        <w:t xml:space="preserve"> </w:t>
      </w:r>
    </w:p>
    <w:p w14:paraId="660EC342" w14:textId="33EB580F" w:rsidR="00502FEE" w:rsidRDefault="00925187" w:rsidP="00496756">
      <w:pPr>
        <w:pStyle w:val="BodyText"/>
        <w:jc w:val="both"/>
      </w:pPr>
      <w:r w:rsidRPr="00FE25C2">
        <w:rPr>
          <w:b/>
        </w:rPr>
        <w:t>S</w:t>
      </w:r>
      <w:r w:rsidR="00717362">
        <w:rPr>
          <w:b/>
        </w:rPr>
        <w:t>outh Australia</w:t>
      </w:r>
      <w:r w:rsidR="002C4116">
        <w:rPr>
          <w:b/>
        </w:rPr>
        <w:t>’s</w:t>
      </w:r>
      <w:r>
        <w:t xml:space="preserve"> (SA) </w:t>
      </w:r>
      <w:r w:rsidR="00717362">
        <w:t xml:space="preserve">employment numbers </w:t>
      </w:r>
      <w:r w:rsidR="006D0DB3">
        <w:t>oscillated</w:t>
      </w:r>
      <w:r w:rsidR="00717362">
        <w:t xml:space="preserve"> more</w:t>
      </w:r>
      <w:r w:rsidR="009C3258">
        <w:t xml:space="preserve"> than other states</w:t>
      </w:r>
      <w:r w:rsidR="00717362">
        <w:t xml:space="preserve"> </w:t>
      </w:r>
      <w:r w:rsidR="006D0DB3">
        <w:t xml:space="preserve">over the 2013 – 2018 period. From more than 15,000 on average through </w:t>
      </w:r>
      <w:r w:rsidR="009C3258">
        <w:t>2014</w:t>
      </w:r>
      <w:r w:rsidR="006D0DB3">
        <w:t xml:space="preserve"> to less than half of that figure in 2016 and to closer to 8,000 in the beginning of 2018. </w:t>
      </w:r>
      <w:r w:rsidR="002C4116">
        <w:t>These</w:t>
      </w:r>
      <w:r w:rsidR="0089425C">
        <w:t xml:space="preserve"> cyclical</w:t>
      </w:r>
      <w:r w:rsidR="002C4116">
        <w:t xml:space="preserve"> fluctuations show how for a smaller industry, any changes can have a higher relative employment impact.</w:t>
      </w:r>
      <w:r w:rsidR="00D61214">
        <w:t xml:space="preserve"> Not just employment numbers, but the distribution of the </w:t>
      </w:r>
      <w:r>
        <w:t xml:space="preserve">mining </w:t>
      </w:r>
      <w:r w:rsidR="009C3258">
        <w:t xml:space="preserve">sector labour force </w:t>
      </w:r>
      <w:r w:rsidR="00D61214">
        <w:t xml:space="preserve">can fluctuate from quarter to quarter, although the annual average tends to hang around 40% regional workers. </w:t>
      </w:r>
      <w:r w:rsidR="00717B96">
        <w:t xml:space="preserve">Mining R&amp;D </w:t>
      </w:r>
      <w:r w:rsidR="001F6AC0">
        <w:t xml:space="preserve">expenditure </w:t>
      </w:r>
      <w:r w:rsidR="00717B96">
        <w:t xml:space="preserve">levels are on par with the professional and scientific services and for the most recent year they were half those of manufacturing. </w:t>
      </w:r>
      <w:r w:rsidR="00A10C6C">
        <w:t xml:space="preserve">Nonetheless, the dollar amount for 2015-16 </w:t>
      </w:r>
      <w:r w:rsidR="00D61214">
        <w:t xml:space="preserve">R&amp;D </w:t>
      </w:r>
      <w:r w:rsidR="00A10C6C">
        <w:t>is close in value to that of NSW and double the value of VIC.</w:t>
      </w:r>
    </w:p>
    <w:p w14:paraId="7889A439" w14:textId="4A516357" w:rsidR="00913701" w:rsidRDefault="00913701" w:rsidP="00496756">
      <w:pPr>
        <w:pStyle w:val="BodyText"/>
        <w:jc w:val="both"/>
      </w:pPr>
      <w:r>
        <w:t xml:space="preserve">For the </w:t>
      </w:r>
      <w:r w:rsidRPr="00FE25C2">
        <w:rPr>
          <w:b/>
        </w:rPr>
        <w:t>Northern Territory</w:t>
      </w:r>
      <w:r w:rsidR="00E616E9">
        <w:t xml:space="preserve"> (NT)</w:t>
      </w:r>
      <w:r>
        <w:t xml:space="preserve"> the mining industry continue</w:t>
      </w:r>
      <w:r w:rsidR="00784C53">
        <w:t xml:space="preserve">s to play a significant </w:t>
      </w:r>
      <w:r>
        <w:t>role in</w:t>
      </w:r>
      <w:r w:rsidR="009C3258">
        <w:t xml:space="preserve"> the S</w:t>
      </w:r>
      <w:r w:rsidR="00784C53">
        <w:t xml:space="preserve">tate through its workforce and R&amp;D expenditure. </w:t>
      </w:r>
      <w:r w:rsidR="00FE25C2">
        <w:t xml:space="preserve">The cyclical </w:t>
      </w:r>
      <w:r w:rsidR="0089425C">
        <w:t>variation</w:t>
      </w:r>
      <w:r w:rsidR="00F247A3">
        <w:t xml:space="preserve"> of employment has been </w:t>
      </w:r>
      <w:r w:rsidR="0089425C">
        <w:t xml:space="preserve">less </w:t>
      </w:r>
      <w:r w:rsidR="00F247A3">
        <w:t>pro</w:t>
      </w:r>
      <w:r w:rsidR="00FE25C2">
        <w:t>noun</w:t>
      </w:r>
      <w:r w:rsidR="00F247A3">
        <w:t xml:space="preserve">ced in </w:t>
      </w:r>
      <w:r w:rsidR="0089425C">
        <w:t xml:space="preserve">the </w:t>
      </w:r>
      <w:r w:rsidR="00F247A3">
        <w:t>Northern Ter</w:t>
      </w:r>
      <w:r w:rsidR="009C3258">
        <w:t xml:space="preserve">ritory compared to other states. In fact, </w:t>
      </w:r>
      <w:r w:rsidR="0089425C">
        <w:t xml:space="preserve">marginal </w:t>
      </w:r>
      <w:r w:rsidR="004907E1">
        <w:t xml:space="preserve">increases </w:t>
      </w:r>
      <w:r w:rsidR="0089425C">
        <w:t>were observed since 2013</w:t>
      </w:r>
      <w:r w:rsidR="004907E1">
        <w:t>, with a slight drop in 2016, but with</w:t>
      </w:r>
      <w:r w:rsidR="0089425C">
        <w:t xml:space="preserve"> no major drop</w:t>
      </w:r>
      <w:r w:rsidR="004907E1">
        <w:t xml:space="preserve"> in the workforce. </w:t>
      </w:r>
      <w:r w:rsidR="00784C53">
        <w:t xml:space="preserve">Although the size of the workforce is similar to that in TAS, in percentage terms this represents around 4% of the </w:t>
      </w:r>
      <w:r w:rsidR="008A0640">
        <w:t>S</w:t>
      </w:r>
      <w:r w:rsidR="00784C53">
        <w:t xml:space="preserve">tate population, double the ratio in TAS. </w:t>
      </w:r>
      <w:r w:rsidR="004907E1">
        <w:t xml:space="preserve">In absolute figures, the mining </w:t>
      </w:r>
      <w:r>
        <w:t xml:space="preserve">R&amp;D expenditure </w:t>
      </w:r>
      <w:r w:rsidR="004907E1">
        <w:t xml:space="preserve">in the state in 2015-16 may be small compared to other states, but </w:t>
      </w:r>
      <w:r w:rsidR="00784C53">
        <w:t xml:space="preserve">is still the second highest in </w:t>
      </w:r>
      <w:r w:rsidR="008A0640">
        <w:t>NT</w:t>
      </w:r>
      <w:r w:rsidR="004907E1">
        <w:t xml:space="preserve"> at 17%</w:t>
      </w:r>
      <w:r>
        <w:t>.</w:t>
      </w:r>
      <w:r w:rsidR="008A0640">
        <w:t xml:space="preserve"> Previously, </w:t>
      </w:r>
      <w:r w:rsidR="004907E1">
        <w:t xml:space="preserve">mining </w:t>
      </w:r>
      <w:r w:rsidR="008A0640">
        <w:t>business</w:t>
      </w:r>
      <w:r w:rsidR="004907E1">
        <w:t xml:space="preserve"> R&amp;D expenditure (until 2013-14) represented 75% of the total.</w:t>
      </w:r>
    </w:p>
    <w:p w14:paraId="42BDAD00" w14:textId="7E0DE50E" w:rsidR="00810FF0" w:rsidRDefault="0069681E" w:rsidP="003A3154">
      <w:pPr>
        <w:pStyle w:val="BodyText"/>
        <w:jc w:val="both"/>
      </w:pPr>
      <w:r w:rsidRPr="00FE25C2">
        <w:rPr>
          <w:b/>
        </w:rPr>
        <w:t>Tasmania</w:t>
      </w:r>
      <w:r w:rsidR="00E73A48">
        <w:t xml:space="preserve"> (TAS)</w:t>
      </w:r>
      <w:r>
        <w:t xml:space="preserve"> has seen a do</w:t>
      </w:r>
      <w:r w:rsidR="009C3258">
        <w:t>ubling of the workforce in the S</w:t>
      </w:r>
      <w:r>
        <w:t>tate since 2015: from 2,000 to more than 4,</w:t>
      </w:r>
      <w:r w:rsidR="00913701">
        <w:t>0</w:t>
      </w:r>
      <w:r>
        <w:t xml:space="preserve">00 workers. </w:t>
      </w:r>
      <w:r w:rsidR="00F82880">
        <w:t>In terms of c</w:t>
      </w:r>
      <w:r w:rsidR="00FF1D2C">
        <w:t xml:space="preserve">yclical changes in the industry, states like QLD also had a strong recovery in their employment numbers, but only TAS figures reached previous peak employment levels (attained in 2012-2013). </w:t>
      </w:r>
      <w:r w:rsidR="00E73A48">
        <w:t xml:space="preserve">Most of this increase is located in regional areas, which are home to about 85% of mining employees. </w:t>
      </w:r>
      <w:r w:rsidR="00FF1D2C">
        <w:t>This growth in the sector has</w:t>
      </w:r>
      <w:r w:rsidR="003A3154">
        <w:t xml:space="preserve"> the potential to bring flow on effects in the future, such as for the industry’s share of R&amp;D investment to </w:t>
      </w:r>
      <w:r w:rsidR="00393540">
        <w:t>increase</w:t>
      </w:r>
      <w:r w:rsidR="003A3154">
        <w:t xml:space="preserve">. </w:t>
      </w:r>
    </w:p>
    <w:p w14:paraId="31FEA46E" w14:textId="77777777" w:rsidR="00AE0D97" w:rsidRPr="00880DCB" w:rsidRDefault="00AE0D97" w:rsidP="00711ED2">
      <w:pPr>
        <w:pStyle w:val="Heading1"/>
        <w:numPr>
          <w:ilvl w:val="0"/>
          <w:numId w:val="0"/>
        </w:numPr>
        <w:rPr>
          <w:rFonts w:eastAsia="Calibri" w:cs="Times New Roman"/>
          <w:b w:val="0"/>
          <w:bCs w:val="0"/>
          <w:color w:val="000000"/>
          <w:sz w:val="22"/>
          <w:szCs w:val="22"/>
        </w:rPr>
        <w:sectPr w:rsidR="00AE0D97" w:rsidRPr="00880DCB" w:rsidSect="00AE0D97">
          <w:footerReference w:type="even" r:id="rId12"/>
          <w:footerReference w:type="default" r:id="rId13"/>
          <w:pgSz w:w="11906" w:h="16838" w:code="9"/>
          <w:pgMar w:top="1134" w:right="1134" w:bottom="1134" w:left="1134" w:header="510" w:footer="624" w:gutter="0"/>
          <w:pgNumType w:fmt="lowerRoman" w:start="1"/>
          <w:cols w:space="284"/>
          <w:docGrid w:linePitch="360"/>
        </w:sectPr>
      </w:pPr>
    </w:p>
    <w:bookmarkStart w:id="3" w:name="_Toc515031451" w:displacedByCustomXml="next"/>
    <w:bookmarkStart w:id="4" w:name="_Toc316902172" w:displacedByCustomXml="next"/>
    <w:sdt>
      <w:sdtPr>
        <w:rPr>
          <w:rStyle w:val="PartNumber"/>
          <w:b w:val="0"/>
          <w:sz w:val="24"/>
        </w:rPr>
        <w:id w:val="74704818"/>
        <w:docPartObj>
          <w:docPartGallery w:val="Cover Pages"/>
        </w:docPartObj>
      </w:sdtPr>
      <w:sdtEndPr>
        <w:rPr>
          <w:rStyle w:val="DefaultParagraphFont"/>
          <w:color w:val="000000"/>
        </w:rPr>
      </w:sdtEndPr>
      <w:sdtContent>
        <w:p w14:paraId="10F6E409" w14:textId="54340F85" w:rsidR="00AE0D97" w:rsidRDefault="00AE0D97" w:rsidP="004E5109">
          <w:pPr>
            <w:pStyle w:val="PartTitle"/>
          </w:pPr>
          <w:r w:rsidRPr="00D1044D">
            <w:rPr>
              <w:rStyle w:val="PartNumber"/>
            </w:rPr>
            <w:t>Part</w:t>
          </w:r>
          <w:r>
            <w:rPr>
              <w:rStyle w:val="PartNumber"/>
            </w:rPr>
            <w:t xml:space="preserve"> I</w:t>
          </w:r>
          <w:r>
            <w:rPr>
              <w:rStyle w:val="PartNumber"/>
            </w:rPr>
            <w:tab/>
          </w:r>
          <w:r w:rsidR="002F116D">
            <w:t>Mining sector activity</w:t>
          </w:r>
          <w:bookmarkEnd w:id="4"/>
          <w:bookmarkEnd w:id="3"/>
        </w:p>
        <w:p w14:paraId="63AAD4FD" w14:textId="17749362" w:rsidR="00AE0D97" w:rsidRDefault="004C2BB2" w:rsidP="004E5109">
          <w:pPr>
            <w:pStyle w:val="BodyText"/>
          </w:pPr>
        </w:p>
      </w:sdtContent>
    </w:sdt>
    <w:p w14:paraId="2BB9E2A6" w14:textId="135EA996" w:rsidR="00AE0D97" w:rsidRDefault="00AE0D97" w:rsidP="00D5513A">
      <w:pPr>
        <w:pStyle w:val="BodyText"/>
        <w:rPr>
          <w:rFonts w:eastAsiaTheme="majorEastAsia" w:cstheme="majorBidi"/>
          <w:b/>
          <w:bCs/>
          <w:color w:val="00A9CE" w:themeColor="accent1"/>
          <w:sz w:val="44"/>
          <w:szCs w:val="28"/>
        </w:rPr>
      </w:pPr>
      <w:r>
        <w:br w:type="page"/>
      </w:r>
    </w:p>
    <w:p w14:paraId="7A9F8CE3" w14:textId="6FC5B9F9" w:rsidR="00C63066" w:rsidRDefault="00711ED2" w:rsidP="00C63066">
      <w:pPr>
        <w:pStyle w:val="Heading1"/>
      </w:pPr>
      <w:bookmarkStart w:id="5" w:name="_Toc515031452"/>
      <w:r>
        <w:lastRenderedPageBreak/>
        <w:t>The m</w:t>
      </w:r>
      <w:r w:rsidR="00C63066" w:rsidRPr="00C63066">
        <w:t>ining investment boom and changes in the mining sector</w:t>
      </w:r>
      <w:bookmarkEnd w:id="5"/>
    </w:p>
    <w:p w14:paraId="068D5DB3" w14:textId="1CC608C4" w:rsidR="00C63066" w:rsidRDefault="0020553D" w:rsidP="00E64C6A">
      <w:pPr>
        <w:pStyle w:val="BodyText"/>
        <w:jc w:val="both"/>
      </w:pPr>
      <w:r>
        <w:t xml:space="preserve">Recent </w:t>
      </w:r>
      <w:r w:rsidRPr="0020553D">
        <w:t>s</w:t>
      </w:r>
      <w:r w:rsidR="00711ED2" w:rsidRPr="0020553D">
        <w:t xml:space="preserve">igns of recovery emphasise the cyclical nature of the resources sector. </w:t>
      </w:r>
      <w:r w:rsidR="00F06E19">
        <w:t xml:space="preserve">Mining </w:t>
      </w:r>
      <w:r w:rsidRPr="0020553D">
        <w:t xml:space="preserve">investment </w:t>
      </w:r>
      <w:r w:rsidR="00F06E19">
        <w:t xml:space="preserve">has experienced a growth over the last </w:t>
      </w:r>
      <w:r w:rsidR="001B7F3E">
        <w:t>decade against a</w:t>
      </w:r>
      <w:r w:rsidR="001B7F3E" w:rsidRPr="0020553D">
        <w:t xml:space="preserve"> background of rising commodity prices</w:t>
      </w:r>
      <w:r w:rsidR="00360695">
        <w:t xml:space="preserve">. This growth </w:t>
      </w:r>
      <w:r w:rsidR="00DD6140" w:rsidRPr="00F93979">
        <w:t>originated in favourable terms of trade starting from around the year 2000 and peaked in 2011</w:t>
      </w:r>
      <w:r w:rsidR="003A189D" w:rsidRPr="00F93979">
        <w:t xml:space="preserve"> </w:t>
      </w:r>
      <w:r w:rsidR="00DD6140" w:rsidRPr="00F93979">
        <w:t>(Figure</w:t>
      </w:r>
      <w:r w:rsidR="00DD6140">
        <w:t xml:space="preserve"> 1)</w:t>
      </w:r>
      <w:r w:rsidR="003C0B7B">
        <w:rPr>
          <w:rStyle w:val="FootnoteReference"/>
        </w:rPr>
        <w:footnoteReference w:id="2"/>
      </w:r>
      <w:r w:rsidR="00360695">
        <w:t xml:space="preserve">, resulting </w:t>
      </w:r>
      <w:r w:rsidR="00326F3A">
        <w:t xml:space="preserve">in </w:t>
      </w:r>
      <w:r w:rsidRPr="0020553D">
        <w:t>an increase in capacity levels, relatively low unemployment with steady opportunities for the construction sector</w:t>
      </w:r>
      <w:r w:rsidR="001B7F3E">
        <w:t>,</w:t>
      </w:r>
      <w:r w:rsidRPr="0020553D">
        <w:t xml:space="preserve"> and other positive </w:t>
      </w:r>
      <w:proofErr w:type="spellStart"/>
      <w:r w:rsidRPr="0020553D">
        <w:t>spillovers</w:t>
      </w:r>
      <w:proofErr w:type="spellEnd"/>
      <w:r w:rsidRPr="0020553D">
        <w:t xml:space="preserve"> in the economy</w:t>
      </w:r>
      <w:r>
        <w:t>.</w:t>
      </w:r>
      <w:r w:rsidR="007D6535">
        <w:t xml:space="preserve"> </w:t>
      </w:r>
      <w:r w:rsidR="00C63066">
        <w:t>As operational phase</w:t>
      </w:r>
      <w:r w:rsidR="009E4AF9">
        <w:t>s</w:t>
      </w:r>
      <w:r w:rsidR="00C63066">
        <w:t xml:space="preserve"> take over from construction and investment phase</w:t>
      </w:r>
      <w:r w:rsidR="009E4AF9">
        <w:t>s</w:t>
      </w:r>
      <w:r w:rsidR="00C63066">
        <w:t xml:space="preserve">, there are a series of challenges to contend with and opportunities to seize. One of the fundamental questions pertains to understanding how </w:t>
      </w:r>
      <w:r w:rsidR="009E4AF9">
        <w:t>such</w:t>
      </w:r>
      <w:r w:rsidR="00C63066">
        <w:t xml:space="preserve"> phase </w:t>
      </w:r>
      <w:r w:rsidR="009E4AF9">
        <w:t>transitions</w:t>
      </w:r>
      <w:r w:rsidR="00C63066">
        <w:t xml:space="preserve"> </w:t>
      </w:r>
      <w:r w:rsidR="003A1168">
        <w:t>in</w:t>
      </w:r>
      <w:r w:rsidR="00C63066">
        <w:t xml:space="preserve"> mining industry </w:t>
      </w:r>
      <w:r w:rsidR="003A1168">
        <w:t xml:space="preserve">cycles </w:t>
      </w:r>
      <w:r w:rsidR="00360695">
        <w:t xml:space="preserve">play out within </w:t>
      </w:r>
      <w:r w:rsidR="00876CF7">
        <w:t>the</w:t>
      </w:r>
      <w:r w:rsidR="00B37CF6">
        <w:t xml:space="preserve"> broader Australian economy and </w:t>
      </w:r>
      <w:r w:rsidR="00360695">
        <w:t xml:space="preserve">lead to </w:t>
      </w:r>
      <w:r w:rsidR="00B37CF6">
        <w:t xml:space="preserve">changes at the local </w:t>
      </w:r>
      <w:r w:rsidR="00360695">
        <w:t>scale</w:t>
      </w:r>
      <w:r w:rsidR="00C63066">
        <w:t xml:space="preserve">. </w:t>
      </w:r>
    </w:p>
    <w:p w14:paraId="33EA1516" w14:textId="4953DB4F" w:rsidR="00ED5F28" w:rsidRDefault="00CF025D" w:rsidP="00ED5F28">
      <w:pPr>
        <w:pStyle w:val="BodyText"/>
        <w:jc w:val="both"/>
      </w:pPr>
      <w:r>
        <w:t>A</w:t>
      </w:r>
      <w:r w:rsidR="00360695" w:rsidRPr="00E81C9F">
        <w:t>t</w:t>
      </w:r>
      <w:r>
        <w:t xml:space="preserve"> the</w:t>
      </w:r>
      <w:r w:rsidR="00360695" w:rsidRPr="00E81C9F">
        <w:t xml:space="preserve"> national scale, the </w:t>
      </w:r>
      <w:r w:rsidR="009545A5" w:rsidRPr="00E81C9F">
        <w:t xml:space="preserve">value of </w:t>
      </w:r>
      <w:r w:rsidR="00360695" w:rsidRPr="00E81C9F">
        <w:t xml:space="preserve">mining </w:t>
      </w:r>
      <w:r w:rsidR="009545A5" w:rsidRPr="00E81C9F">
        <w:t>exports</w:t>
      </w:r>
      <w:r w:rsidR="004255C1" w:rsidRPr="00E81C9F">
        <w:t xml:space="preserve"> increased</w:t>
      </w:r>
      <w:r w:rsidR="00360695" w:rsidRPr="00E81C9F">
        <w:t xml:space="preserve"> in 2016–17</w:t>
      </w:r>
      <w:r w:rsidR="00ED5F28" w:rsidRPr="00E81C9F">
        <w:t>. A price appreciation in</w:t>
      </w:r>
      <w:r w:rsidR="00ED5F28">
        <w:t xml:space="preserve"> coal and iron ore has led to sustained improvement in the terms of trade for the economy</w:t>
      </w:r>
      <w:r w:rsidR="00ED5F28" w:rsidRPr="008B2F58">
        <w:t xml:space="preserve"> </w:t>
      </w:r>
      <w:r w:rsidR="007275AA">
        <w:t>after</w:t>
      </w:r>
      <w:r w:rsidR="00ED5F28">
        <w:t xml:space="preserve"> March 2016. This </w:t>
      </w:r>
      <w:r w:rsidR="00CB5A61">
        <w:t>halted</w:t>
      </w:r>
      <w:r w:rsidR="00ED5F28">
        <w:t xml:space="preserve"> the downward trend from peak values in September 2011 (Figure 1). The higher the index, the more revenue is received for exports relative </w:t>
      </w:r>
      <w:r w:rsidR="00CB5A61">
        <w:t xml:space="preserve">to </w:t>
      </w:r>
      <w:r w:rsidR="00ED5F28">
        <w:t xml:space="preserve">the cost of imports, thus adding more revenue to the economy. </w:t>
      </w:r>
      <w:r w:rsidR="00ED5F28" w:rsidRPr="00DC69CD">
        <w:t xml:space="preserve">This </w:t>
      </w:r>
      <w:r w:rsidR="00ED5F28">
        <w:t xml:space="preserve">resulted in </w:t>
      </w:r>
      <w:r w:rsidR="00ED5F28" w:rsidRPr="00DC69CD">
        <w:t xml:space="preserve">an increase in mining investment which in turn led to growth </w:t>
      </w:r>
      <w:r w:rsidR="00CB5A61">
        <w:t>in</w:t>
      </w:r>
      <w:r w:rsidR="00CB5A61" w:rsidRPr="00DC69CD">
        <w:t xml:space="preserve"> </w:t>
      </w:r>
      <w:r w:rsidR="00ED5F28" w:rsidRPr="00DC69CD">
        <w:t>resources exports</w:t>
      </w:r>
      <w:r w:rsidR="00ED5F28">
        <w:t>.</w:t>
      </w:r>
    </w:p>
    <w:p w14:paraId="09209BBE" w14:textId="01555006" w:rsidR="00E64C6A" w:rsidRDefault="007D6535" w:rsidP="00E64C6A">
      <w:pPr>
        <w:pStyle w:val="BodyText"/>
        <w:jc w:val="both"/>
      </w:pPr>
      <w:r>
        <w:t>In 2017, mining exports continue</w:t>
      </w:r>
      <w:r w:rsidR="00CB5A61">
        <w:t>d</w:t>
      </w:r>
      <w:r w:rsidR="000A512F">
        <w:t xml:space="preserve"> to represent </w:t>
      </w:r>
      <w:r w:rsidR="007275AA">
        <w:t xml:space="preserve">the </w:t>
      </w:r>
      <w:r w:rsidR="007275AA" w:rsidRPr="007275AA">
        <w:t>most valuable sector for goods exports</w:t>
      </w:r>
      <w:r w:rsidR="00C63066">
        <w:t xml:space="preserve">, </w:t>
      </w:r>
      <w:r w:rsidR="007275AA">
        <w:t>with values above 50% since 2005</w:t>
      </w:r>
      <w:r w:rsidR="002A2F00">
        <w:t xml:space="preserve"> (</w:t>
      </w:r>
      <w:r w:rsidR="00546E17">
        <w:t>F</w:t>
      </w:r>
      <w:r w:rsidR="002A2F00">
        <w:t xml:space="preserve">igure </w:t>
      </w:r>
      <w:r w:rsidR="003A189D">
        <w:t>2</w:t>
      </w:r>
      <w:r w:rsidR="002A2F00">
        <w:t>)</w:t>
      </w:r>
      <w:r w:rsidR="00C63066">
        <w:t xml:space="preserve">. The demand for Australian mineral exports is </w:t>
      </w:r>
      <w:r w:rsidR="00C63066" w:rsidRPr="009930FE">
        <w:t>forecast to continue to be strong overall in the years leading to 2021</w:t>
      </w:r>
      <w:r w:rsidR="00EA5DB3" w:rsidRPr="009930FE">
        <w:t>–</w:t>
      </w:r>
      <w:r w:rsidR="00C63066" w:rsidRPr="009930FE">
        <w:t>22 with a net compound ann</w:t>
      </w:r>
      <w:r w:rsidR="00C63066" w:rsidRPr="002601CD">
        <w:t>ual growth rate</w:t>
      </w:r>
      <w:r w:rsidR="00C63066">
        <w:t xml:space="preserve"> of 8.5% across 12 resources</w:t>
      </w:r>
      <w:r w:rsidR="00696683">
        <w:t xml:space="preserve"> </w:t>
      </w:r>
      <w:r w:rsidR="00C63066">
        <w:fldChar w:fldCharType="begin"/>
      </w:r>
      <w:r w:rsidR="0013514C">
        <w:instrText xml:space="preserve"> ADDIN EN.CITE &lt;EndNote&gt;&lt;Cite&gt;&lt;Author&gt;Office of the Chief Economist&lt;/Author&gt;&lt;Year&gt;2017&lt;/Year&gt;&lt;RecNum&gt;3097&lt;/RecNum&gt;&lt;DisplayText&gt;(Office of the Chief Economist, 2017a)&lt;/DisplayText&gt;&lt;record&gt;&lt;rec-number&gt;3097&lt;/rec-number&gt;&lt;foreign-keys&gt;&lt;key app="EN" db-id="vzav25azvd0fxjextfzvax229ff0apaprtda" timestamp="1507035929"&gt;3097&lt;/key&gt;&lt;/foreign-keys&gt;&lt;ref-type name="Dataset"&gt;59&lt;/ref-type&gt;&lt;contributors&gt;&lt;authors&gt;&lt;author&gt;Office of the Chief Economist,&lt;/author&gt;&lt;/authors&gt;&lt;/contributors&gt;&lt;titles&gt;&lt;title&gt;Resources and energy quarterly&lt;/title&gt;&lt;/titles&gt;&lt;edition&gt;March 2017&lt;/edition&gt;&lt;dates&gt;&lt;year&gt;2017&lt;/year&gt;&lt;/dates&gt;&lt;pub-location&gt;Canberra, Australia&lt;/pub-location&gt;&lt;urls&gt;&lt;related-urls&gt;&lt;url&gt;https://industry.gov.au/Office-of-the-Chief-Economist/Publications/Pages/Resources-and-energy-quarterly.aspx#&lt;/url&gt;&lt;/related-urls&gt;&lt;/urls&gt;&lt;/record&gt;&lt;/Cite&gt;&lt;/EndNote&gt;</w:instrText>
      </w:r>
      <w:r w:rsidR="00C63066">
        <w:fldChar w:fldCharType="separate"/>
      </w:r>
      <w:r w:rsidR="0013514C">
        <w:rPr>
          <w:noProof/>
        </w:rPr>
        <w:t>(Office of the Chief Economist, 2017a)</w:t>
      </w:r>
      <w:r w:rsidR="00C63066">
        <w:fldChar w:fldCharType="end"/>
      </w:r>
      <w:r w:rsidR="00C63066">
        <w:t>.</w:t>
      </w:r>
      <w:r w:rsidR="003C0B7B">
        <w:rPr>
          <w:rStyle w:val="FootnoteReference"/>
        </w:rPr>
        <w:footnoteReference w:id="3"/>
      </w:r>
      <w:r w:rsidR="003C0B7B">
        <w:t xml:space="preserve"> </w:t>
      </w:r>
      <w:r w:rsidR="009930FE">
        <w:t>Still, t</w:t>
      </w:r>
      <w:r w:rsidR="00C211AB">
        <w:t>he value of t</w:t>
      </w:r>
      <w:r w:rsidR="000A512F">
        <w:t xml:space="preserve">hese exports is forecast to drop </w:t>
      </w:r>
      <w:r w:rsidR="00C211AB">
        <w:t xml:space="preserve">over the next five years </w:t>
      </w:r>
      <w:r w:rsidR="00C211AB">
        <w:fldChar w:fldCharType="begin"/>
      </w:r>
      <w:r w:rsidR="00C211AB">
        <w:instrText xml:space="preserve"> ADDIN EN.CITE &lt;EndNote&gt;&lt;Cite&gt;&lt;Author&gt;Reserve Bank of Australia&lt;/Author&gt;&lt;Year&gt;2017&lt;/Year&gt;&lt;RecNum&gt;3142&lt;/RecNum&gt;&lt;DisplayText&gt;(Reserve Bank of Australia, 2017)&lt;/DisplayText&gt;&lt;record&gt;&lt;rec-number&gt;3142&lt;/rec-number&gt;&lt;foreign-keys&gt;&lt;key app="EN" db-id="vzav25azvd0fxjextfzvax229ff0apaprtda" timestamp="1508917000"&gt;3142&lt;/key&gt;&lt;/foreign-keys&gt;&lt;ref-type name="Report"&gt;27&lt;/ref-type&gt;&lt;contributors&gt;&lt;authors&gt;&lt;author&gt;Reserve Bank of Australia,&lt;/author&gt;&lt;/authors&gt;&lt;/contributors&gt;&lt;titles&gt;&lt;title&gt;Monetary Policy and Current Economic Conditions&lt;/title&gt;&lt;/titles&gt;&lt;dates&gt;&lt;year&gt;2017&lt;/year&gt;&lt;/dates&gt;&lt;urls&gt;&lt;related-urls&gt;&lt;url&gt;http://www.rba.gov.au/education/teacher-student-guide/&lt;/url&gt;&lt;/related-urls&gt;&lt;pdf-urls&gt;&lt;url&gt;file://C:\Users\por083\Documents\EndNote\20170808-LP-Lib.Data\PDF\monetary-policy-and-current-economic-conditions.pdf&lt;/url&gt;&lt;/pdf-urls&gt;&lt;/urls&gt;&lt;research-notes&gt; The presentation summarises monetary policy formation and recent economic trends in Australia.&amp;#xD;&amp;#xD;Cash rate updated to 3 October 2017, other data updated to 3 August 2017&lt;/research-notes&gt;&lt;/record&gt;&lt;/Cite&gt;&lt;/EndNote&gt;</w:instrText>
      </w:r>
      <w:r w:rsidR="00C211AB">
        <w:fldChar w:fldCharType="separate"/>
      </w:r>
      <w:r w:rsidR="00C211AB">
        <w:rPr>
          <w:noProof/>
        </w:rPr>
        <w:t>(Reserve Bank of Australia, 2017)</w:t>
      </w:r>
      <w:r w:rsidR="00C211AB">
        <w:fldChar w:fldCharType="end"/>
      </w:r>
      <w:r w:rsidR="00102A37">
        <w:t xml:space="preserve">. </w:t>
      </w:r>
      <w:r w:rsidR="009930FE">
        <w:t xml:space="preserve">The </w:t>
      </w:r>
      <w:r w:rsidR="00C63066">
        <w:t xml:space="preserve">unexpected increase in </w:t>
      </w:r>
      <w:r w:rsidR="000A512F">
        <w:t xml:space="preserve">the </w:t>
      </w:r>
      <w:r w:rsidR="00C63066">
        <w:t>price for iron ore</w:t>
      </w:r>
      <w:r w:rsidR="00C211AB">
        <w:t xml:space="preserve"> and coal (</w:t>
      </w:r>
      <w:r w:rsidR="00C63066">
        <w:t>me</w:t>
      </w:r>
      <w:r>
        <w:t>tallurgical and thermal</w:t>
      </w:r>
      <w:r w:rsidR="00C211AB">
        <w:t>)</w:t>
      </w:r>
      <w:r>
        <w:t xml:space="preserve"> le</w:t>
      </w:r>
      <w:r w:rsidR="00C63066">
        <w:t xml:space="preserve">d to an upward revision in </w:t>
      </w:r>
      <w:r w:rsidR="00B300F6">
        <w:t>expected</w:t>
      </w:r>
      <w:r w:rsidR="00E407AF">
        <w:t xml:space="preserve"> </w:t>
      </w:r>
      <w:r w:rsidR="00C63066">
        <w:t>export earnings for 2017</w:t>
      </w:r>
      <w:r w:rsidR="00EA5DB3">
        <w:t>–</w:t>
      </w:r>
      <w:r w:rsidR="00C63066" w:rsidRPr="003C0B7B">
        <w:t>18</w:t>
      </w:r>
      <w:r w:rsidR="00C211AB" w:rsidRPr="003C0B7B">
        <w:t>.</w:t>
      </w:r>
      <w:r w:rsidR="00C63066" w:rsidRPr="003C0B7B">
        <w:t xml:space="preserve"> </w:t>
      </w:r>
      <w:r w:rsidR="003C0B7B" w:rsidRPr="003C0B7B">
        <w:t xml:space="preserve">While the Reserve Bank of Australia does not expect this to be a continuing trend, structural changes in the world economy, particularly with regard to China, make forecasts quite uncertain </w:t>
      </w:r>
      <w:r w:rsidR="003C0B7B" w:rsidRPr="00E81C9F">
        <w:fldChar w:fldCharType="begin"/>
      </w:r>
      <w:r w:rsidR="003C0B7B" w:rsidRPr="00E81C9F">
        <w:instrText xml:space="preserve"> ADDIN EN.CITE &lt;EndNote&gt;&lt;Cite&gt;&lt;Author&gt;Heath&lt;/Author&gt;&lt;Year&gt;2015&lt;/Year&gt;&lt;RecNum&gt;3141&lt;/RecNum&gt;&lt;DisplayText&gt;(Heath, 2015; Reserve Bank of Australia, 2017)&lt;/DisplayText&gt;&lt;record&gt;&lt;rec-number&gt;3141&lt;/rec-number&gt;&lt;foreign-keys&gt;&lt;key app="EN" db-id="vzav25azvd0fxjextfzvax229ff0apaprtda" timestamp="1508916831"&gt;3141&lt;/key&gt;&lt;/foreign-keys&gt;&lt;ref-type name="Press Release"&gt;63&lt;/ref-type&gt;&lt;contributors&gt;&lt;authors&gt;&lt;author&gt;Heath, Alexandra&lt;/author&gt;&lt;/authors&gt;&lt;/contributors&gt;&lt;titles&gt;&lt;title&gt;The Terms of Trade: Outlook and Implications &lt;/title&gt;&lt;/titles&gt;&lt;dates&gt;&lt;year&gt;2015&lt;/year&gt;&lt;/dates&gt;&lt;pub-location&gt;Canberra&lt;/pub-location&gt;&lt;publisher&gt;Reserve Bank of Australia&lt;/publisher&gt;&lt;urls&gt;&lt;related-urls&gt;&lt;url&gt;www.rba.gov.au/speeches/2015/sp-so-2015-11-20.html&lt;/url&gt;&lt;/related-urls&gt;&lt;pdf-urls&gt;&lt;url&gt;file://C:\Users\por083\Documents\EndNote\20170808-LP-Lib.Data\PDF\Heath-2015-Terms of Trade_ Outlook and Implications _ Speeches _ RBA.pdf&lt;/url&gt;&lt;/pdf-urls&gt;&lt;/urls&gt;&lt;/record&gt;&lt;/Cite&gt;&lt;Cite&gt;&lt;Author&gt;Australia&lt;/Author&gt;&lt;Year&gt;2017&lt;/Year&gt;&lt;RecNum&gt;3142&lt;/RecNum&gt;&lt;record&gt;&lt;rec-number&gt;3142&lt;/rec-number&gt;&lt;foreign-keys&gt;&lt;key app="EN" db-id="vzav25azvd0fxjextfzvax229ff0apaprtda" timestamp="1508917000"&gt;3142&lt;/key&gt;&lt;/foreign-keys&gt;&lt;ref-type name="Report"&gt;27&lt;/ref-type&gt;&lt;contributors&gt;&lt;authors&gt;&lt;author&gt;Reserve Bank of Australia,&lt;/author&gt;&lt;/authors&gt;&lt;/contributors&gt;&lt;titles&gt;&lt;title&gt;Monetary Policy and Current Economic Conditions&lt;/title&gt;&lt;/titles&gt;&lt;dates&gt;&lt;year&gt;2017&lt;/year&gt;&lt;/dates&gt;&lt;urls&gt;&lt;related-urls&gt;&lt;url&gt;http://www.rba.gov.au/education/teacher-student-guide/&lt;/url&gt;&lt;/related-urls&gt;&lt;pdf-urls&gt;&lt;url&gt;file://C:\Users\por083\Documents\EndNote\20170808-LP-Lib.Data\PDF\monetary-policy-and-current-economic-conditions.pdf&lt;/url&gt;&lt;/pdf-urls&gt;&lt;/urls&gt;&lt;research-notes&gt; The presentation summarises monetary policy formation and recent economic trends in Australia.&amp;#xD;&amp;#xD;Cash rate updated to 3 October 2017, other data updated to 3 August 2017&lt;/research-notes&gt;&lt;/record&gt;&lt;/Cite&gt;&lt;/EndNote&gt;</w:instrText>
      </w:r>
      <w:r w:rsidR="003C0B7B" w:rsidRPr="00E81C9F">
        <w:fldChar w:fldCharType="separate"/>
      </w:r>
      <w:r w:rsidR="003C0B7B" w:rsidRPr="00E81C9F">
        <w:rPr>
          <w:noProof/>
        </w:rPr>
        <w:t>(Heath, 2015; Reserve Bank of Australia, 2017)</w:t>
      </w:r>
      <w:r w:rsidR="003C0B7B" w:rsidRPr="00E81C9F">
        <w:fldChar w:fldCharType="end"/>
      </w:r>
      <w:r w:rsidR="003C0B7B" w:rsidRPr="00E81C9F">
        <w:t>.</w:t>
      </w:r>
      <w:r w:rsidR="00E64C6A" w:rsidRPr="00E81C9F">
        <w:rPr>
          <w:rStyle w:val="FootnoteReference"/>
        </w:rPr>
        <w:footnoteReference w:id="4"/>
      </w:r>
      <w:r w:rsidR="00E64C6A" w:rsidRPr="00E81C9F">
        <w:t xml:space="preserve"> </w:t>
      </w:r>
      <w:r w:rsidR="00E81C9F" w:rsidRPr="00E81C9F">
        <w:t>Overall</w:t>
      </w:r>
      <w:r w:rsidR="00E81C9F">
        <w:t>,</w:t>
      </w:r>
      <w:r w:rsidR="00E81C9F" w:rsidRPr="00E81C9F">
        <w:t xml:space="preserve"> g</w:t>
      </w:r>
      <w:r w:rsidR="00E64C6A" w:rsidRPr="00E81C9F">
        <w:t>lobal demand for Australian resources is for</w:t>
      </w:r>
      <w:r w:rsidR="00DE1CE0" w:rsidRPr="00E81C9F">
        <w:t xml:space="preserve">ecast to increase over </w:t>
      </w:r>
      <w:r w:rsidR="00BA7A12">
        <w:t xml:space="preserve">at least until </w:t>
      </w:r>
      <w:r w:rsidR="00DE1CE0" w:rsidRPr="00E81C9F">
        <w:t>20</w:t>
      </w:r>
      <w:r w:rsidR="00E64C6A" w:rsidRPr="00E81C9F">
        <w:t>19</w:t>
      </w:r>
      <w:r w:rsidR="00E81C9F" w:rsidRPr="00E81C9F">
        <w:t xml:space="preserve"> </w:t>
      </w:r>
      <w:r w:rsidR="0090356E" w:rsidRPr="00E81C9F">
        <w:t xml:space="preserve">propped up by an increasing </w:t>
      </w:r>
      <w:r w:rsidR="00E64C6A" w:rsidRPr="00E81C9F">
        <w:t>global demand for gas</w:t>
      </w:r>
      <w:r w:rsidR="00233977" w:rsidRPr="00E81C9F">
        <w:t xml:space="preserve"> </w:t>
      </w:r>
      <w:r w:rsidR="00E64C6A" w:rsidRPr="00E81C9F">
        <w:fldChar w:fldCharType="begin"/>
      </w:r>
      <w:r w:rsidR="008A7440" w:rsidRPr="00E81C9F">
        <w:instrText xml:space="preserve"> ADDIN EN.CITE &lt;EndNote&gt;&lt;Cite&gt;&lt;Author&gt;Office of the Chief Economist&lt;/Author&gt;&lt;Year&gt;2017&lt;/Year&gt;&lt;RecNum&gt;2903&lt;/RecNum&gt;&lt;DisplayText&gt;(Office of the Chief Economist, 2017b)&lt;/DisplayText&gt;&lt;record&gt;&lt;rec-number&gt;2903&lt;/rec-number&gt;&lt;foreign-keys&gt;&lt;key app="EN" db-id="vzav25azvd0fxjextfzvax229ff0apaprtda" timestamp="1502078832"&gt;2903&lt;/key&gt;&lt;/foreign-keys&gt;&lt;ref-type name="Report"&gt;27&lt;/ref-type&gt;&lt;contributors&gt;&lt;authors&gt;&lt;author&gt;Office of the Chief Economist,&lt;/author&gt;&lt;/authors&gt;&lt;secondary-authors&gt;&lt;author&gt;Thurtell, David&lt;/author&gt;&lt;/secondary-authors&gt;&lt;/contributors&gt;&lt;titles&gt;&lt;title&gt;Resources and Energy Quarterly: June 2017&lt;/title&gt;&lt;/titles&gt;&lt;dates&gt;&lt;year&gt;2017&lt;/year&gt;&lt;/dates&gt;&lt;urls&gt;&lt;related-urls&gt;&lt;url&gt;https://www.industry.gov.au/Office-of-the-Chief-Economist/Publications/ResourcesandEnergyQuarterlyJune2017/index.html&lt;/url&gt;&lt;/related-urls&gt;&lt;/urls&gt;&lt;/record&gt;&lt;/Cite&gt;&lt;/EndNote&gt;</w:instrText>
      </w:r>
      <w:r w:rsidR="00E64C6A" w:rsidRPr="00E81C9F">
        <w:fldChar w:fldCharType="separate"/>
      </w:r>
      <w:r w:rsidR="0013514C" w:rsidRPr="00E81C9F">
        <w:rPr>
          <w:noProof/>
        </w:rPr>
        <w:t>(Office of the Chief Economist, 2017b)</w:t>
      </w:r>
      <w:r w:rsidR="00E64C6A" w:rsidRPr="00E81C9F">
        <w:fldChar w:fldCharType="end"/>
      </w:r>
      <w:r w:rsidR="00E64C6A" w:rsidRPr="00E81C9F">
        <w:t>.</w:t>
      </w:r>
    </w:p>
    <w:p w14:paraId="5C9A13A6" w14:textId="77777777" w:rsidR="003A189D" w:rsidRDefault="003A189D" w:rsidP="00E64C6A">
      <w:pPr>
        <w:pStyle w:val="BodyText"/>
        <w:jc w:val="both"/>
      </w:pPr>
    </w:p>
    <w:p w14:paraId="39FE55F5" w14:textId="07A6288C" w:rsidR="003A189D" w:rsidRDefault="00870FB2" w:rsidP="003A189D">
      <w:pPr>
        <w:pStyle w:val="BodyText"/>
        <w:keepNext/>
      </w:pPr>
      <w:r w:rsidRPr="00870FB2">
        <w:rPr>
          <w:noProof/>
        </w:rPr>
        <w:lastRenderedPageBreak/>
        <w:drawing>
          <wp:inline distT="0" distB="0" distL="0" distR="0" wp14:anchorId="645EE107" wp14:editId="2B39B547">
            <wp:extent cx="6119495" cy="2520315"/>
            <wp:effectExtent l="0" t="0" r="0" b="0"/>
            <wp:docPr id="17" name="Picture 17" descr="This graph shows trends from March 1990 to September 2017. It highlights a high point in June 2011 and recent low point in March 2016." title="Figure 1. Terms of trade, goods, quarterly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9495" cy="2520315"/>
                    </a:xfrm>
                    <a:prstGeom prst="rect">
                      <a:avLst/>
                    </a:prstGeom>
                    <a:noFill/>
                    <a:ln>
                      <a:noFill/>
                    </a:ln>
                  </pic:spPr>
                </pic:pic>
              </a:graphicData>
            </a:graphic>
          </wp:inline>
        </w:drawing>
      </w:r>
    </w:p>
    <w:p w14:paraId="6D345BF6" w14:textId="77777777" w:rsidR="003A189D" w:rsidRDefault="003A189D" w:rsidP="003A189D">
      <w:pPr>
        <w:pStyle w:val="Caption"/>
      </w:pPr>
      <w:bookmarkStart w:id="6" w:name="_Toc515031464"/>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1</w:t>
      </w:r>
      <w:r w:rsidR="00B5448A">
        <w:rPr>
          <w:noProof/>
        </w:rPr>
        <w:fldChar w:fldCharType="end"/>
      </w:r>
      <w:r>
        <w:t>. Terms of trade, goods, quarterly trend</w:t>
      </w:r>
      <w:bookmarkEnd w:id="6"/>
    </w:p>
    <w:p w14:paraId="5BD4960E" w14:textId="2695DC36" w:rsidR="00E64C6A" w:rsidRPr="00C63066" w:rsidRDefault="008846BC" w:rsidP="00E506CC">
      <w:pPr>
        <w:pStyle w:val="FootnoteText"/>
      </w:pPr>
      <w:r>
        <w:t>Data s</w:t>
      </w:r>
      <w:r w:rsidR="003A189D">
        <w:t xml:space="preserve">ource: </w:t>
      </w:r>
      <w:r w:rsidR="003A189D">
        <w:fldChar w:fldCharType="begin"/>
      </w:r>
      <w:r w:rsidR="00472DAC">
        <w:instrText xml:space="preserve"> ADDIN EN.CITE &lt;EndNote&gt;&lt;Cite AuthorYear="1"&gt;&lt;Author&gt;Australian Bureau of Statistics&lt;/Author&gt;&lt;Year&gt;2018&lt;/Year&gt;&lt;RecNum&gt;3094&lt;/RecNum&gt;&lt;DisplayText&gt;Australian Bureau of Statistics (2018a)&lt;/DisplayText&gt;&lt;record&gt;&lt;rec-number&gt;3094&lt;/rec-number&gt;&lt;foreign-keys&gt;&lt;key app="EN" db-id="vzav25azvd0fxjextfzvax229ff0apaprtda" timestamp="1506650013"&gt;3094&lt;/key&gt;&lt;/foreign-keys&gt;&lt;ref-type name="Dataset"&gt;59&lt;/ref-type&gt;&lt;contributors&gt;&lt;authors&gt;&lt;author&gt;Australian Bureau of Statistics,&lt;/author&gt;&lt;/authors&gt;&lt;secondary-authors&gt;&lt;author&gt;Australian Bureau of Statistics,&lt;/author&gt;&lt;/secondary-authors&gt;&lt;/contributors&gt;&lt;titles&gt;&lt;title&gt;5302.0 - Balance of Payments and International Investment Position, Australia, March 2018&lt;/title&gt;&lt;/titles&gt;&lt;edition&gt;March 2018&lt;/edition&gt;&lt;dates&gt;&lt;year&gt;2018&lt;/year&gt;&lt;/dates&gt;&lt;pub-location&gt;Canberra&lt;/pub-location&gt;&lt;publisher&gt;Australian Bureau of Statistics&lt;/publisher&gt;&lt;urls&gt;&lt;related-urls&gt;&lt;url&gt;http://www.abs.gov.au/AUSSTATS/abs@.nsf/Latestproducts/5302.0Main%20Features4Jun%202017?opendocument&amp;amp;tabname=Summary&amp;amp;prodno=5302.0&amp;amp;issue=Jun%202017&amp;amp;num=&amp;amp;view=&lt;/url&gt;&lt;/related-urls&gt;&lt;/urls&gt;&lt;access-date&gt;03.05.2018&lt;/access-date&gt;&lt;/record&gt;&lt;/Cite&gt;&lt;/EndNote&gt;</w:instrText>
      </w:r>
      <w:r w:rsidR="003A189D">
        <w:fldChar w:fldCharType="separate"/>
      </w:r>
      <w:r w:rsidR="00472DAC">
        <w:rPr>
          <w:noProof/>
        </w:rPr>
        <w:t>Australian Bureau of Statistics (2018a)</w:t>
      </w:r>
      <w:r w:rsidR="003A189D">
        <w:fldChar w:fldCharType="end"/>
      </w:r>
    </w:p>
    <w:p w14:paraId="5163CB4D" w14:textId="5A72BAD6" w:rsidR="00C63066" w:rsidRDefault="00121D86" w:rsidP="00C63066">
      <w:pPr>
        <w:pStyle w:val="BodyText"/>
        <w:keepNext/>
      </w:pPr>
      <w:r w:rsidRPr="00121D86">
        <w:rPr>
          <w:noProof/>
        </w:rPr>
        <w:drawing>
          <wp:inline distT="0" distB="0" distL="0" distR="0" wp14:anchorId="636B175C" wp14:editId="30832861">
            <wp:extent cx="6119495" cy="2573020"/>
            <wp:effectExtent l="0" t="0" r="0" b="0"/>
            <wp:docPr id="60" name="Picture 60" descr="This graph shows the percentage of total goods exports from 1984 to 2018. It specifies metals and minerals exports value (% of total goods value)." title="Figure 2. Extractive industries share of the value of total goods ex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9495" cy="2573020"/>
                    </a:xfrm>
                    <a:prstGeom prst="rect">
                      <a:avLst/>
                    </a:prstGeom>
                    <a:noFill/>
                    <a:ln>
                      <a:noFill/>
                    </a:ln>
                  </pic:spPr>
                </pic:pic>
              </a:graphicData>
            </a:graphic>
          </wp:inline>
        </w:drawing>
      </w:r>
    </w:p>
    <w:p w14:paraId="7C7B37F0" w14:textId="01BFE78D" w:rsidR="00C63066" w:rsidRDefault="00C63066" w:rsidP="00C63066">
      <w:pPr>
        <w:pStyle w:val="CaptionNote"/>
      </w:pPr>
      <w:bookmarkStart w:id="7" w:name="_Toc515031465"/>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2</w:t>
      </w:r>
      <w:r w:rsidR="00B5448A">
        <w:rPr>
          <w:noProof/>
        </w:rPr>
        <w:fldChar w:fldCharType="end"/>
      </w:r>
      <w:r w:rsidR="009930FE">
        <w:t xml:space="preserve">. Extractive industries </w:t>
      </w:r>
      <w:r>
        <w:t xml:space="preserve">share of </w:t>
      </w:r>
      <w:r w:rsidR="009930FE">
        <w:t xml:space="preserve">the value of total goods </w:t>
      </w:r>
      <w:r>
        <w:t>ex</w:t>
      </w:r>
      <w:r w:rsidR="00E506CC">
        <w:t>port</w:t>
      </w:r>
      <w:r w:rsidR="009930FE">
        <w:t>ed</w:t>
      </w:r>
      <w:bookmarkEnd w:id="7"/>
    </w:p>
    <w:p w14:paraId="1E1DF2C4" w14:textId="58644D69" w:rsidR="00C63066" w:rsidRDefault="00C63066" w:rsidP="00DE1CE0">
      <w:pPr>
        <w:pStyle w:val="FootnoteText"/>
      </w:pPr>
      <w:r w:rsidRPr="0069227B">
        <w:t xml:space="preserve">Note: </w:t>
      </w:r>
      <w:r>
        <w:t xml:space="preserve">extractive industries exports </w:t>
      </w:r>
      <w:r w:rsidRPr="0069227B">
        <w:t>includes metal ores and minerals</w:t>
      </w:r>
      <w:r w:rsidR="00870333">
        <w:t>;</w:t>
      </w:r>
      <w:r w:rsidRPr="0069227B">
        <w:t xml:space="preserve"> coal, coke and briquettes; other mineral fuels and metals (excl. non-monetary gold).</w:t>
      </w:r>
      <w:r w:rsidR="008846BC">
        <w:t xml:space="preserve"> Data source</w:t>
      </w:r>
      <w:r w:rsidR="008846BC" w:rsidRPr="0069227B">
        <w:t xml:space="preserve">: </w:t>
      </w:r>
      <w:r w:rsidR="008846BC" w:rsidRPr="0069227B">
        <w:fldChar w:fldCharType="begin"/>
      </w:r>
      <w:r w:rsidR="00472DAC">
        <w:instrText xml:space="preserve"> ADDIN EN.CITE &lt;EndNote&gt;&lt;Cite AuthorYear="1"&gt;&lt;Author&gt;Australian Bureau of Statistics&lt;/Author&gt;&lt;Year&gt;2018&lt;/Year&gt;&lt;RecNum&gt;3094&lt;/RecNum&gt;&lt;DisplayText&gt;Australian Bureau of Statistics (2018a)&lt;/DisplayText&gt;&lt;record&gt;&lt;rec-number&gt;3094&lt;/rec-number&gt;&lt;foreign-keys&gt;&lt;key app="EN" db-id="vzav25azvd0fxjextfzvax229ff0apaprtda" timestamp="1506650013"&gt;3094&lt;/key&gt;&lt;/foreign-keys&gt;&lt;ref-type name="Dataset"&gt;59&lt;/ref-type&gt;&lt;contributors&gt;&lt;authors&gt;&lt;author&gt;Australian Bureau of Statistics,&lt;/author&gt;&lt;/authors&gt;&lt;secondary-authors&gt;&lt;author&gt;Australian Bureau of Statistics,&lt;/author&gt;&lt;/secondary-authors&gt;&lt;/contributors&gt;&lt;titles&gt;&lt;title&gt;5302.0 - Balance of Payments and International Investment Position, Australia, March 2018&lt;/title&gt;&lt;/titles&gt;&lt;edition&gt;March 2018&lt;/edition&gt;&lt;dates&gt;&lt;year&gt;2018&lt;/year&gt;&lt;/dates&gt;&lt;pub-location&gt;Canberra&lt;/pub-location&gt;&lt;publisher&gt;Australian Bureau of Statistics&lt;/publisher&gt;&lt;urls&gt;&lt;related-urls&gt;&lt;url&gt;http://www.abs.gov.au/AUSSTATS/abs@.nsf/Latestproducts/5302.0Main%20Features4Jun%202017?opendocument&amp;amp;tabname=Summary&amp;amp;prodno=5302.0&amp;amp;issue=Jun%202017&amp;amp;num=&amp;amp;view=&lt;/url&gt;&lt;/related-urls&gt;&lt;/urls&gt;&lt;access-date&gt;03.05.2018&lt;/access-date&gt;&lt;/record&gt;&lt;/Cite&gt;&lt;/EndNote&gt;</w:instrText>
      </w:r>
      <w:r w:rsidR="008846BC" w:rsidRPr="0069227B">
        <w:fldChar w:fldCharType="separate"/>
      </w:r>
      <w:r w:rsidR="00472DAC">
        <w:rPr>
          <w:noProof/>
        </w:rPr>
        <w:t>Australian Bureau of Statistics (2018a)</w:t>
      </w:r>
      <w:r w:rsidR="008846BC" w:rsidRPr="0069227B">
        <w:fldChar w:fldCharType="end"/>
      </w:r>
    </w:p>
    <w:p w14:paraId="0B47C2D9" w14:textId="40EBB33F" w:rsidR="00C63066" w:rsidRDefault="00B37CF6" w:rsidP="00A1210C">
      <w:pPr>
        <w:pStyle w:val="BodyText"/>
        <w:jc w:val="both"/>
      </w:pPr>
      <w:r>
        <w:rPr>
          <w:noProof/>
        </w:rPr>
        <mc:AlternateContent>
          <mc:Choice Requires="wps">
            <w:drawing>
              <wp:anchor distT="91440" distB="91440" distL="114300" distR="114300" simplePos="0" relativeHeight="251811328" behindDoc="0" locked="0" layoutInCell="1" allowOverlap="1" wp14:anchorId="0442275B" wp14:editId="4C3038AF">
                <wp:simplePos x="0" y="0"/>
                <wp:positionH relativeFrom="margin">
                  <wp:posOffset>5080</wp:posOffset>
                </wp:positionH>
                <wp:positionV relativeFrom="paragraph">
                  <wp:posOffset>843915</wp:posOffset>
                </wp:positionV>
                <wp:extent cx="3303905" cy="1017905"/>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1017905"/>
                        </a:xfrm>
                        <a:prstGeom prst="rect">
                          <a:avLst/>
                        </a:prstGeom>
                        <a:noFill/>
                        <a:ln w="9525">
                          <a:noFill/>
                          <a:miter lim="800000"/>
                          <a:headEnd/>
                          <a:tailEnd/>
                        </a:ln>
                      </wps:spPr>
                      <wps:txbx>
                        <w:txbxContent>
                          <w:p w14:paraId="4D6F2F0A" w14:textId="76BD9788" w:rsidR="00B5448A" w:rsidRPr="00E64C6A" w:rsidRDefault="00B5448A" w:rsidP="001A67A2">
                            <w:pPr>
                              <w:pBdr>
                                <w:top w:val="single" w:sz="24" w:space="8" w:color="00A9CE" w:themeColor="accent1"/>
                                <w:bottom w:val="single" w:sz="24" w:space="8" w:color="00A9CE" w:themeColor="accent1"/>
                              </w:pBdr>
                              <w:spacing w:after="0"/>
                              <w:rPr>
                                <w:i/>
                                <w:iCs/>
                                <w:color w:val="00A9CE" w:themeColor="accent1"/>
                                <w:sz w:val="24"/>
                                <w:szCs w:val="24"/>
                              </w:rPr>
                            </w:pPr>
                            <w:r w:rsidRPr="00F525C2">
                              <w:rPr>
                                <w:i/>
                                <w:iCs/>
                                <w:color w:val="00A9CE" w:themeColor="accent1"/>
                                <w:sz w:val="24"/>
                                <w:szCs w:val="24"/>
                              </w:rPr>
                              <w:t xml:space="preserve">The gross value added </w:t>
                            </w:r>
                            <w:r>
                              <w:rPr>
                                <w:i/>
                                <w:iCs/>
                                <w:color w:val="00A9CE" w:themeColor="accent1"/>
                                <w:sz w:val="24"/>
                                <w:szCs w:val="24"/>
                              </w:rPr>
                              <w:t>from</w:t>
                            </w:r>
                            <w:r w:rsidRPr="00F525C2">
                              <w:rPr>
                                <w:i/>
                                <w:iCs/>
                                <w:color w:val="00A9CE" w:themeColor="accent1"/>
                                <w:sz w:val="24"/>
                                <w:szCs w:val="24"/>
                              </w:rPr>
                              <w:t xml:space="preserve"> mining </w:t>
                            </w:r>
                            <w:r>
                              <w:rPr>
                                <w:i/>
                                <w:iCs/>
                                <w:color w:val="00A9CE" w:themeColor="accent1"/>
                                <w:sz w:val="24"/>
                                <w:szCs w:val="24"/>
                              </w:rPr>
                              <w:t xml:space="preserve">to GDP in </w:t>
                            </w:r>
                            <w:r w:rsidRPr="00F525C2">
                              <w:rPr>
                                <w:i/>
                                <w:iCs/>
                                <w:color w:val="00A9CE" w:themeColor="accent1"/>
                                <w:sz w:val="24"/>
                                <w:szCs w:val="24"/>
                              </w:rPr>
                              <w:t>201</w:t>
                            </w:r>
                            <w:r>
                              <w:rPr>
                                <w:i/>
                                <w:iCs/>
                                <w:color w:val="00A9CE" w:themeColor="accent1"/>
                                <w:sz w:val="24"/>
                                <w:szCs w:val="24"/>
                              </w:rPr>
                              <w:t xml:space="preserve">6–17 was 7.4%, </w:t>
                            </w:r>
                            <w:r w:rsidRPr="00B300F6">
                              <w:rPr>
                                <w:i/>
                                <w:iCs/>
                                <w:color w:val="00A9CE" w:themeColor="accent1"/>
                                <w:sz w:val="24"/>
                                <w:szCs w:val="24"/>
                              </w:rPr>
                              <w:t>nudging ahead the manufacturing sector</w:t>
                            </w:r>
                            <w:r>
                              <w:rPr>
                                <w:i/>
                                <w:iCs/>
                                <w:color w:val="00A9CE" w:themeColor="accent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2275B" id="_x0000_s1048" type="#_x0000_t202" style="position:absolute;left:0;text-align:left;margin-left:.4pt;margin-top:66.45pt;width:260.15pt;height:80.15pt;z-index:2518113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" filled="f" stroked="f">
                <v:textbox>
                  <w:txbxContent>
                    <w:p w14:paraId="4D6F2F0A" w14:textId="76BD9788" w:rsidR="00B5448A" w:rsidRPr="00E64C6A" w:rsidRDefault="00B5448A" w:rsidP="001A67A2">
                      <w:pPr>
                        <w:pBdr>
                          <w:top w:val="single" w:sz="24" w:space="8" w:color="00A9CE" w:themeColor="accent1"/>
                          <w:bottom w:val="single" w:sz="24" w:space="8" w:color="00A9CE" w:themeColor="accent1"/>
                        </w:pBdr>
                        <w:spacing w:after="0"/>
                        <w:rPr>
                          <w:i/>
                          <w:iCs/>
                          <w:color w:val="00A9CE" w:themeColor="accent1"/>
                          <w:sz w:val="24"/>
                          <w:szCs w:val="24"/>
                        </w:rPr>
                      </w:pPr>
                      <w:r w:rsidRPr="00F525C2">
                        <w:rPr>
                          <w:i/>
                          <w:iCs/>
                          <w:color w:val="00A9CE" w:themeColor="accent1"/>
                          <w:sz w:val="24"/>
                          <w:szCs w:val="24"/>
                        </w:rPr>
                        <w:t xml:space="preserve">The gross value added </w:t>
                      </w:r>
                      <w:r>
                        <w:rPr>
                          <w:i/>
                          <w:iCs/>
                          <w:color w:val="00A9CE" w:themeColor="accent1"/>
                          <w:sz w:val="24"/>
                          <w:szCs w:val="24"/>
                        </w:rPr>
                        <w:t>from</w:t>
                      </w:r>
                      <w:r w:rsidRPr="00F525C2">
                        <w:rPr>
                          <w:i/>
                          <w:iCs/>
                          <w:color w:val="00A9CE" w:themeColor="accent1"/>
                          <w:sz w:val="24"/>
                          <w:szCs w:val="24"/>
                        </w:rPr>
                        <w:t xml:space="preserve"> mining </w:t>
                      </w:r>
                      <w:r>
                        <w:rPr>
                          <w:i/>
                          <w:iCs/>
                          <w:color w:val="00A9CE" w:themeColor="accent1"/>
                          <w:sz w:val="24"/>
                          <w:szCs w:val="24"/>
                        </w:rPr>
                        <w:t xml:space="preserve">to GDP in </w:t>
                      </w:r>
                      <w:r w:rsidRPr="00F525C2">
                        <w:rPr>
                          <w:i/>
                          <w:iCs/>
                          <w:color w:val="00A9CE" w:themeColor="accent1"/>
                          <w:sz w:val="24"/>
                          <w:szCs w:val="24"/>
                        </w:rPr>
                        <w:t>201</w:t>
                      </w:r>
                      <w:r>
                        <w:rPr>
                          <w:i/>
                          <w:iCs/>
                          <w:color w:val="00A9CE" w:themeColor="accent1"/>
                          <w:sz w:val="24"/>
                          <w:szCs w:val="24"/>
                        </w:rPr>
                        <w:t xml:space="preserve">6–17 was 7.4%, </w:t>
                      </w:r>
                      <w:r w:rsidRPr="00B300F6">
                        <w:rPr>
                          <w:i/>
                          <w:iCs/>
                          <w:color w:val="00A9CE" w:themeColor="accent1"/>
                          <w:sz w:val="24"/>
                          <w:szCs w:val="24"/>
                        </w:rPr>
                        <w:t>nudging ahead the manufacturing sector</w:t>
                      </w:r>
                      <w:r>
                        <w:rPr>
                          <w:i/>
                          <w:iCs/>
                          <w:color w:val="00A9CE" w:themeColor="accent1"/>
                          <w:sz w:val="24"/>
                          <w:szCs w:val="24"/>
                        </w:rPr>
                        <w:t>.</w:t>
                      </w:r>
                    </w:p>
                  </w:txbxContent>
                </v:textbox>
                <w10:wrap type="square" anchorx="margin"/>
              </v:shape>
            </w:pict>
          </mc:Fallback>
        </mc:AlternateContent>
      </w:r>
      <w:r w:rsidR="001A67A2">
        <w:t>The changes in prices on the international market have also affected the industry’s contribution to Australia</w:t>
      </w:r>
      <w:r w:rsidR="00870333">
        <w:t>’s</w:t>
      </w:r>
      <w:r w:rsidR="001A67A2">
        <w:t xml:space="preserve"> G</w:t>
      </w:r>
      <w:r w:rsidR="00EF16EC">
        <w:t>ross Domestic Product (G</w:t>
      </w:r>
      <w:r w:rsidR="001A67A2">
        <w:t>DP</w:t>
      </w:r>
      <w:r w:rsidR="00EF16EC">
        <w:t>)</w:t>
      </w:r>
      <w:r w:rsidR="001A67A2">
        <w:t>. Yet, despite the mining cycle investment boom slowing down, the industry still makes a significant contribution to the nation’s GDP</w:t>
      </w:r>
      <w:r w:rsidR="00121D86">
        <w:t xml:space="preserve">. </w:t>
      </w:r>
      <w:r w:rsidR="00F525C2" w:rsidRPr="00391F40">
        <w:t xml:space="preserve">The gross value added from </w:t>
      </w:r>
      <w:r w:rsidR="001A67A2" w:rsidRPr="00391F40">
        <w:t>mining</w:t>
      </w:r>
      <w:r w:rsidR="00F525C2" w:rsidRPr="00391F40">
        <w:t xml:space="preserve"> to GDP in</w:t>
      </w:r>
      <w:r w:rsidR="001A67A2" w:rsidRPr="00391F40">
        <w:t xml:space="preserve"> </w:t>
      </w:r>
      <w:r w:rsidR="00350377" w:rsidRPr="00350377">
        <w:t>2016-17 was 7.4</w:t>
      </w:r>
      <w:r w:rsidR="005538CE" w:rsidRPr="00350377">
        <w:t>%</w:t>
      </w:r>
      <w:r w:rsidR="003850D9">
        <w:t xml:space="preserve">, nudging ahead the manufacturing </w:t>
      </w:r>
      <w:r w:rsidR="001A67A2" w:rsidRPr="00391F40">
        <w:t xml:space="preserve">sector and </w:t>
      </w:r>
      <w:r w:rsidR="00B300F6">
        <w:t xml:space="preserve">was </w:t>
      </w:r>
      <w:r w:rsidR="001A67A2" w:rsidRPr="00391F40">
        <w:t>more than twice that of agric</w:t>
      </w:r>
      <w:r w:rsidR="00B81966" w:rsidRPr="00391F40">
        <w:t>ulture</w:t>
      </w:r>
      <w:r w:rsidR="00B749C3" w:rsidRPr="00391F40">
        <w:t xml:space="preserve"> in</w:t>
      </w:r>
      <w:r w:rsidR="00B749C3">
        <w:t xml:space="preserve"> the same year</w:t>
      </w:r>
      <w:r w:rsidR="00B81966">
        <w:t xml:space="preserve"> (Figure</w:t>
      </w:r>
      <w:r w:rsidR="00870333">
        <w:t> </w:t>
      </w:r>
      <w:r w:rsidR="00B81966">
        <w:t>3</w:t>
      </w:r>
      <w:r w:rsidR="001A67A2">
        <w:t>).</w:t>
      </w:r>
      <w:r w:rsidR="001A67A2" w:rsidRPr="001A67A2">
        <w:rPr>
          <w:noProof/>
        </w:rPr>
        <w:t xml:space="preserve"> </w:t>
      </w:r>
      <w:r w:rsidR="00EF16EC">
        <w:rPr>
          <w:noProof/>
        </w:rPr>
        <w:t xml:space="preserve">The bulk of the gross value added as </w:t>
      </w:r>
      <w:r w:rsidR="00C731E2">
        <w:rPr>
          <w:noProof/>
        </w:rPr>
        <w:t>share of GDP in the economy</w:t>
      </w:r>
      <w:r w:rsidR="00EF16EC">
        <w:rPr>
          <w:noProof/>
        </w:rPr>
        <w:t xml:space="preserve"> come</w:t>
      </w:r>
      <w:r w:rsidR="00C731E2">
        <w:rPr>
          <w:noProof/>
        </w:rPr>
        <w:t>s</w:t>
      </w:r>
      <w:r w:rsidR="00EF16EC">
        <w:rPr>
          <w:noProof/>
        </w:rPr>
        <w:t xml:space="preserve"> from services, </w:t>
      </w:r>
      <w:r w:rsidR="00BA5871">
        <w:rPr>
          <w:noProof/>
        </w:rPr>
        <w:t xml:space="preserve">which </w:t>
      </w:r>
      <w:r w:rsidR="00EF16EC">
        <w:rPr>
          <w:noProof/>
        </w:rPr>
        <w:t>amount</w:t>
      </w:r>
      <w:r w:rsidR="00F525C2">
        <w:rPr>
          <w:noProof/>
        </w:rPr>
        <w:t>s</w:t>
      </w:r>
      <w:r w:rsidR="00EF16EC">
        <w:rPr>
          <w:noProof/>
        </w:rPr>
        <w:t xml:space="preserve"> to about 6</w:t>
      </w:r>
      <w:r w:rsidR="003850D9">
        <w:rPr>
          <w:noProof/>
        </w:rPr>
        <w:t>1</w:t>
      </w:r>
      <w:r w:rsidR="00EF16EC">
        <w:rPr>
          <w:noProof/>
        </w:rPr>
        <w:t>%.</w:t>
      </w:r>
      <w:r w:rsidR="00EF16EC">
        <w:rPr>
          <w:rStyle w:val="FootnoteReference"/>
          <w:noProof/>
        </w:rPr>
        <w:footnoteReference w:id="5"/>
      </w:r>
    </w:p>
    <w:p w14:paraId="66F6E1C0" w14:textId="391D0DF8" w:rsidR="00664240" w:rsidRDefault="00626038" w:rsidP="00C63066">
      <w:pPr>
        <w:pStyle w:val="BodyText"/>
        <w:keepNext/>
      </w:pPr>
      <w:r w:rsidRPr="00626038">
        <w:rPr>
          <w:noProof/>
        </w:rPr>
        <w:lastRenderedPageBreak/>
        <w:drawing>
          <wp:inline distT="0" distB="0" distL="0" distR="0" wp14:anchorId="4D5AEFF0" wp14:editId="5612BD76">
            <wp:extent cx="6146970" cy="2663687"/>
            <wp:effectExtent l="0" t="0" r="6350" b="3810"/>
            <wp:docPr id="55" name="Picture 55" descr="This graph shows the share of GDP for manufacturing and mining from 1989-90 to 2016-17." title="Figure 3. Industry gross value added as share of national Australian GDP, added annually, current pr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6">
                      <a:extLst>
                        <a:ext uri="{28A0092B-C50C-407E-A947-70E740481C1C}">
                          <a14:useLocalDpi xmlns:a14="http://schemas.microsoft.com/office/drawing/2010/main" val="0"/>
                        </a:ext>
                      </a:extLst>
                    </a:blip>
                    <a:srcRect l="1299" t="2204" r="1232" b="2271"/>
                    <a:stretch/>
                  </pic:blipFill>
                  <pic:spPr bwMode="auto">
                    <a:xfrm>
                      <a:off x="0" y="0"/>
                      <a:ext cx="6152553" cy="2666106"/>
                    </a:xfrm>
                    <a:prstGeom prst="rect">
                      <a:avLst/>
                    </a:prstGeom>
                    <a:noFill/>
                    <a:ln>
                      <a:noFill/>
                    </a:ln>
                    <a:extLst>
                      <a:ext uri="{53640926-AAD7-44D8-BBD7-CCE9431645EC}">
                        <a14:shadowObscured xmlns:a14="http://schemas.microsoft.com/office/drawing/2010/main"/>
                      </a:ext>
                    </a:extLst>
                  </pic:spPr>
                </pic:pic>
              </a:graphicData>
            </a:graphic>
          </wp:inline>
        </w:drawing>
      </w:r>
    </w:p>
    <w:p w14:paraId="5B0AA8B7" w14:textId="3213AC2C" w:rsidR="00C63066" w:rsidRDefault="00C63066" w:rsidP="00C63066">
      <w:pPr>
        <w:pStyle w:val="Caption"/>
      </w:pPr>
      <w:bookmarkStart w:id="8" w:name="_Toc515031466"/>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3</w:t>
      </w:r>
      <w:r w:rsidR="00B5448A">
        <w:rPr>
          <w:noProof/>
        </w:rPr>
        <w:fldChar w:fldCharType="end"/>
      </w:r>
      <w:r>
        <w:t xml:space="preserve">. </w:t>
      </w:r>
      <w:r w:rsidR="004F3249">
        <w:t>Industry g</w:t>
      </w:r>
      <w:r w:rsidR="00A1210C">
        <w:t>ross value added as s</w:t>
      </w:r>
      <w:r w:rsidR="004F3249">
        <w:t xml:space="preserve">hare of national Australian GDP, </w:t>
      </w:r>
      <w:r w:rsidR="00A1210C">
        <w:t>added a</w:t>
      </w:r>
      <w:r>
        <w:t>nnual</w:t>
      </w:r>
      <w:r w:rsidR="00A1210C">
        <w:t xml:space="preserve">ly, </w:t>
      </w:r>
      <w:r>
        <w:t>current prices</w:t>
      </w:r>
      <w:bookmarkEnd w:id="8"/>
    </w:p>
    <w:p w14:paraId="42F762ED" w14:textId="5AF8844A" w:rsidR="00C63066" w:rsidRPr="002C089F" w:rsidRDefault="008846BC" w:rsidP="004F5D75">
      <w:pPr>
        <w:pStyle w:val="FootnoteText"/>
      </w:pPr>
      <w:r>
        <w:t>Data s</w:t>
      </w:r>
      <w:r w:rsidR="00C63066">
        <w:t xml:space="preserve">ource: </w:t>
      </w:r>
      <w:r w:rsidR="00350377">
        <w:fldChar w:fldCharType="begin"/>
      </w:r>
      <w:r w:rsidR="00472DAC">
        <w:instrText xml:space="preserve"> ADDIN EN.CITE &lt;EndNote&gt;&lt;Cite AuthorYear="1"&gt;&lt;Author&gt;Office of the Chief Economist&lt;/Author&gt;&lt;Year&gt;2018&lt;/Year&gt;&lt;RecNum&gt;3599&lt;/RecNum&gt;&lt;DisplayText&gt;Office of the Chief Economist (2018)&lt;/DisplayText&gt;&lt;record&gt;&lt;rec-number&gt;3599&lt;/rec-number&gt;&lt;foreign-keys&gt;&lt;key app="EN" db-id="vzav25azvd0fxjextfzvax229ff0apaprtda" timestamp="1526865242"&gt;3599&lt;/key&gt;&lt;/foreign-keys&gt;&lt;ref-type name="Report"&gt;27&lt;/ref-type&gt;&lt;contributors&gt;&lt;authors&gt;&lt;author&gt;Office of the Chief Economist,&lt;/author&gt;&lt;/authors&gt;&lt;/contributors&gt;&lt;titles&gt;&lt;title&gt;Resources and Energy Quarterly: March 2018&lt;/title&gt;&lt;/titles&gt;&lt;dates&gt;&lt;year&gt;2018&lt;/year&gt;&lt;/dates&gt;&lt;urls&gt;&lt;/urls&gt;&lt;/record&gt;&lt;/Cite&gt;&lt;/EndNote&gt;</w:instrText>
      </w:r>
      <w:r w:rsidR="00350377">
        <w:fldChar w:fldCharType="separate"/>
      </w:r>
      <w:r w:rsidR="00472DAC">
        <w:rPr>
          <w:noProof/>
        </w:rPr>
        <w:t>Office of the Chief Economist (2018)</w:t>
      </w:r>
      <w:r w:rsidR="00350377">
        <w:fldChar w:fldCharType="end"/>
      </w:r>
    </w:p>
    <w:p w14:paraId="4EE322BB" w14:textId="74EAD6C9" w:rsidR="00645874" w:rsidRDefault="00C63066" w:rsidP="001A67A2">
      <w:pPr>
        <w:pStyle w:val="BodyText"/>
        <w:jc w:val="both"/>
      </w:pPr>
      <w:r>
        <w:t xml:space="preserve">An indicator of </w:t>
      </w:r>
      <w:r w:rsidR="00672652">
        <w:t xml:space="preserve">potential </w:t>
      </w:r>
      <w:r>
        <w:t xml:space="preserve">future investment and growth in the </w:t>
      </w:r>
      <w:r w:rsidR="008037B8">
        <w:t xml:space="preserve">Australian </w:t>
      </w:r>
      <w:r>
        <w:t>resources extraction sector is the level of</w:t>
      </w:r>
      <w:r w:rsidR="008037B8">
        <w:t xml:space="preserve"> exploration investment</w:t>
      </w:r>
      <w:r w:rsidR="0049204D">
        <w:t>.</w:t>
      </w:r>
      <w:r w:rsidR="00E86BDC">
        <w:rPr>
          <w:rStyle w:val="FootnoteReference"/>
        </w:rPr>
        <w:footnoteReference w:id="6"/>
      </w:r>
      <w:r>
        <w:t xml:space="preserve"> </w:t>
      </w:r>
      <w:r w:rsidR="008037B8" w:rsidRPr="00A1210C">
        <w:t>M</w:t>
      </w:r>
      <w:r w:rsidRPr="00A1210C">
        <w:t xml:space="preserve">ining investment reached </w:t>
      </w:r>
      <w:r w:rsidR="00021711">
        <w:t>a</w:t>
      </w:r>
      <w:r w:rsidRPr="00A1210C">
        <w:t xml:space="preserve"> peak </w:t>
      </w:r>
      <w:r w:rsidR="005504AB" w:rsidRPr="00A1210C">
        <w:t>in 2012</w:t>
      </w:r>
      <w:r w:rsidR="00EA5DB3">
        <w:t>–</w:t>
      </w:r>
      <w:r w:rsidR="005504AB" w:rsidRPr="00A1210C">
        <w:t>13</w:t>
      </w:r>
      <w:r w:rsidRPr="00A1210C">
        <w:t>. The slump in international petroleum prices has translated in</w:t>
      </w:r>
      <w:r w:rsidR="00870333">
        <w:t>to</w:t>
      </w:r>
      <w:r w:rsidRPr="00A1210C">
        <w:t xml:space="preserve"> </w:t>
      </w:r>
      <w:r w:rsidR="004F5D75" w:rsidRPr="00A1210C">
        <w:t xml:space="preserve">less </w:t>
      </w:r>
      <w:r w:rsidRPr="00A1210C">
        <w:t>petroleum</w:t>
      </w:r>
      <w:r w:rsidR="00021711">
        <w:t xml:space="preserve"> exploration</w:t>
      </w:r>
      <w:r w:rsidRPr="00A1210C">
        <w:t xml:space="preserve"> investment</w:t>
      </w:r>
      <w:r w:rsidR="006A3D4C">
        <w:t xml:space="preserve"> </w:t>
      </w:r>
      <w:r w:rsidR="00021711">
        <w:t xml:space="preserve">in recent years. </w:t>
      </w:r>
      <w:r w:rsidR="00A9749F">
        <w:t xml:space="preserve">In addition, energy exploration expenditure has decreased due to a fall in coal exploration expenditure: in 2017 this expenditure was on average six times lower than 2011 and has almost halved from 2015 levels. </w:t>
      </w:r>
      <w:r w:rsidR="00021711">
        <w:t xml:space="preserve">The drop is reflected in the decrease of </w:t>
      </w:r>
      <w:r w:rsidR="00360D08" w:rsidRPr="00A1210C">
        <w:t>energy</w:t>
      </w:r>
      <w:r w:rsidRPr="00A1210C">
        <w:t xml:space="preserve"> </w:t>
      </w:r>
      <w:r w:rsidR="004F5D75" w:rsidRPr="00A1210C">
        <w:t>exploration expenditure</w:t>
      </w:r>
      <w:r w:rsidR="00021711">
        <w:t xml:space="preserve"> </w:t>
      </w:r>
      <w:r w:rsidR="004F5D75" w:rsidRPr="00A1210C">
        <w:t>to a level</w:t>
      </w:r>
      <w:r w:rsidRPr="00A1210C">
        <w:t xml:space="preserve"> close to half of </w:t>
      </w:r>
      <w:r w:rsidR="00A9749F">
        <w:t>peak</w:t>
      </w:r>
      <w:r w:rsidRPr="00A1210C">
        <w:t xml:space="preserve"> expenditure</w:t>
      </w:r>
      <w:r w:rsidR="00A9749F">
        <w:t xml:space="preserve"> around 2012-13 </w:t>
      </w:r>
      <w:r w:rsidR="00021711">
        <w:t>(Figure 4)</w:t>
      </w:r>
      <w:r w:rsidR="0049204D">
        <w:t>.</w:t>
      </w:r>
      <w:r>
        <w:rPr>
          <w:rStyle w:val="FootnoteReference"/>
        </w:rPr>
        <w:footnoteReference w:id="7"/>
      </w:r>
      <w:r>
        <w:t xml:space="preserve"> </w:t>
      </w:r>
    </w:p>
    <w:p w14:paraId="1CC0CA4F" w14:textId="4F48D67B" w:rsidR="00D45D00" w:rsidRDefault="00645874" w:rsidP="001A67A2">
      <w:pPr>
        <w:pStyle w:val="BodyText"/>
        <w:jc w:val="both"/>
      </w:pPr>
      <w:r>
        <w:t xml:space="preserve">On the other hand, metals and other minerals expenditure on </w:t>
      </w:r>
      <w:r w:rsidR="00911B61">
        <w:t>exploration</w:t>
      </w:r>
      <w:r w:rsidR="00EE3629">
        <w:t xml:space="preserve"> makes up more than 50%</w:t>
      </w:r>
      <w:r w:rsidR="00A9749F">
        <w:t xml:space="preserve"> of this </w:t>
      </w:r>
      <w:r w:rsidR="00EE3629">
        <w:t xml:space="preserve">expenditure for 2017. The minerals exploration </w:t>
      </w:r>
      <w:r w:rsidR="00C63066">
        <w:t>inv</w:t>
      </w:r>
      <w:r w:rsidR="00911B61">
        <w:t xml:space="preserve">estment </w:t>
      </w:r>
      <w:r w:rsidR="00EE3629">
        <w:t xml:space="preserve">picked up </w:t>
      </w:r>
      <w:r w:rsidR="00911B61">
        <w:t>since 2015, with gold expenditure increasing by more than</w:t>
      </w:r>
      <w:r w:rsidR="00C63066">
        <w:t xml:space="preserve"> </w:t>
      </w:r>
      <w:r w:rsidR="00911B61">
        <w:t>50%</w:t>
      </w:r>
      <w:r w:rsidR="00C63066">
        <w:t>.</w:t>
      </w:r>
      <w:r w:rsidR="00D1409A">
        <w:t xml:space="preserve"> </w:t>
      </w:r>
      <w:r>
        <w:t>I</w:t>
      </w:r>
      <w:r w:rsidR="005B3B33">
        <w:t xml:space="preserve">n the </w:t>
      </w:r>
      <w:r w:rsidR="006F42C8">
        <w:t xml:space="preserve">December </w:t>
      </w:r>
      <w:r w:rsidR="005B3B33">
        <w:t>quarter of 2017</w:t>
      </w:r>
      <w:r w:rsidR="006F42C8">
        <w:t xml:space="preserve">, </w:t>
      </w:r>
      <w:r w:rsidR="005B3B33">
        <w:t xml:space="preserve">75% of </w:t>
      </w:r>
      <w:r w:rsidR="006F42C8">
        <w:t xml:space="preserve">gold </w:t>
      </w:r>
      <w:r w:rsidR="009B20EA">
        <w:t xml:space="preserve">and 96% of iron ore </w:t>
      </w:r>
      <w:r w:rsidR="006F42C8">
        <w:t xml:space="preserve">exploration expenditure was </w:t>
      </w:r>
      <w:r w:rsidR="005B3B33">
        <w:t xml:space="preserve">spent in Western Australia </w:t>
      </w:r>
      <w:r w:rsidR="006F42C8">
        <w:fldChar w:fldCharType="begin"/>
      </w:r>
      <w:r w:rsidR="006F42C8">
        <w:instrText xml:space="preserve"> ADDIN EN.CITE &lt;EndNote&gt;&lt;Cite&gt;&lt;Author&gt;Australian Bureau of Statistics&lt;/Author&gt;&lt;Year&gt;2018&lt;/Year&gt;&lt;RecNum&gt;3600&lt;/RecNum&gt;&lt;DisplayText&gt;(Australian Bureau of Statistics, 2018c)&lt;/DisplayText&gt;&lt;record&gt;&lt;rec-number&gt;3600&lt;/rec-number&gt;&lt;foreign-keys&gt;&lt;key app="EN" db-id="vzav25azvd0fxjextfzvax229ff0apaprtda" timestamp="1526882849"&gt;3600&lt;/key&gt;&lt;/foreign-keys&gt;&lt;ref-type name="Dataset"&gt;59&lt;/ref-type&gt;&lt;contributors&gt;&lt;authors&gt;&lt;author&gt;Australian Bureau of Statistics,&lt;/author&gt;&lt;/authors&gt;&lt;secondary-authors&gt;&lt;author&gt;Australian Bureau of Statistics,&lt;/author&gt;&lt;/secondary-authors&gt;&lt;/contributors&gt;&lt;titles&gt;&lt;title&gt;8412.0 Mineral and Petroleum Exploration, Australia&lt;/title&gt;&lt;/titles&gt;&lt;edition&gt;March 2018&lt;/edition&gt;&lt;dates&gt;&lt;year&gt;2018&lt;/year&gt;&lt;/dates&gt;&lt;pub-location&gt;Canberra&lt;/pub-location&gt;&lt;publisher&gt;Australian Bureau of Statistics&lt;/publisher&gt;&lt;urls&gt;&lt;related-urls&gt;&lt;url&gt;http://www.abs.gov.au/ausstats/abs@.nsf/mf/8412.0&lt;/url&gt;&lt;/related-urls&gt;&lt;/urls&gt;&lt;access-date&gt;5.10.2017&lt;/access-date&gt;&lt;/record&gt;&lt;/Cite&gt;&lt;/EndNote&gt;</w:instrText>
      </w:r>
      <w:r w:rsidR="006F42C8">
        <w:fldChar w:fldCharType="separate"/>
      </w:r>
      <w:r w:rsidR="006F42C8">
        <w:rPr>
          <w:noProof/>
        </w:rPr>
        <w:t>(Australian Bureau of Statistics, 2018c)</w:t>
      </w:r>
      <w:r w:rsidR="006F42C8">
        <w:fldChar w:fldCharType="end"/>
      </w:r>
      <w:r w:rsidR="00E64C6A">
        <w:t>.</w:t>
      </w:r>
      <w:r w:rsidR="00D1409A">
        <w:t xml:space="preserve"> </w:t>
      </w:r>
      <w:r w:rsidR="00C63E02">
        <w:t>In fact</w:t>
      </w:r>
      <w:r w:rsidR="002F5908">
        <w:t>,</w:t>
      </w:r>
      <w:r w:rsidR="00C63E02">
        <w:t xml:space="preserve"> Western Australia </w:t>
      </w:r>
      <w:r w:rsidR="002F5908">
        <w:t xml:space="preserve">may benefit the most from an increase in gold prices over the next five years </w:t>
      </w:r>
      <w:r w:rsidR="002F5908" w:rsidRPr="002F5908">
        <w:t>as</w:t>
      </w:r>
      <w:r w:rsidR="00C63E02" w:rsidRPr="002F5908">
        <w:t xml:space="preserve"> </w:t>
      </w:r>
      <w:r w:rsidR="002F5908" w:rsidRPr="002F5908">
        <w:t>its</w:t>
      </w:r>
      <w:r w:rsidR="00C63E02" w:rsidRPr="002F5908">
        <w:t xml:space="preserve"> gold exploration expenditure cycle is at a peak, close to 2011 average levels and double the levels in 2014. </w:t>
      </w:r>
      <w:r w:rsidR="00C63066">
        <w:t>Notably</w:t>
      </w:r>
      <w:r w:rsidR="00870333">
        <w:t>,</w:t>
      </w:r>
      <w:r w:rsidR="00C63066">
        <w:t xml:space="preserve"> </w:t>
      </w:r>
      <w:r w:rsidR="000B744A">
        <w:t xml:space="preserve">despite an appreciation in value for iron ore in 2017, the </w:t>
      </w:r>
      <w:r w:rsidR="00A9749F">
        <w:t xml:space="preserve">iron </w:t>
      </w:r>
      <w:r w:rsidR="000B744A">
        <w:t xml:space="preserve">exploration expenditure has decreased to 30% of the value in 2011. </w:t>
      </w:r>
      <w:r w:rsidR="00D679CF">
        <w:t>Notwithstanding</w:t>
      </w:r>
      <w:r w:rsidR="00EE3629">
        <w:t xml:space="preserve"> the steady decline in ir</w:t>
      </w:r>
      <w:r w:rsidR="00D679CF">
        <w:t>on ore exploration expenditure and price decrease projections, Australia is still the world’s number 1 exporter of the commodity</w:t>
      </w:r>
      <w:r w:rsidR="00A9749F">
        <w:t>,</w:t>
      </w:r>
      <w:r w:rsidR="00D679CF">
        <w:t xml:space="preserve"> with China being the world’s biggest importer. </w:t>
      </w:r>
    </w:p>
    <w:p w14:paraId="49579D50" w14:textId="77777777" w:rsidR="00C63066" w:rsidRDefault="00C63066" w:rsidP="00C63066">
      <w:pPr>
        <w:pStyle w:val="BodyText"/>
      </w:pPr>
    </w:p>
    <w:p w14:paraId="413AE260" w14:textId="021B9571" w:rsidR="00C63066" w:rsidRDefault="00A77298" w:rsidP="00C63066">
      <w:pPr>
        <w:pStyle w:val="BodyText"/>
        <w:keepNext/>
      </w:pPr>
      <w:r w:rsidRPr="00A77298">
        <w:rPr>
          <w:noProof/>
        </w:rPr>
        <w:lastRenderedPageBreak/>
        <w:drawing>
          <wp:inline distT="0" distB="0" distL="0" distR="0" wp14:anchorId="19846AA9" wp14:editId="70D44E58">
            <wp:extent cx="6119495" cy="2877820"/>
            <wp:effectExtent l="0" t="0" r="0" b="0"/>
            <wp:docPr id="49" name="Picture 49" descr="This graph shows the expenditure (measured in millions AUD) of 1) total energy, and 2) total metals and other minerals, from March 1990 to December 2017. It also shows the trend moving average (four periods)." title="Figure 4. Quarterly private resources and energy exploration expend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9495" cy="2877820"/>
                    </a:xfrm>
                    <a:prstGeom prst="rect">
                      <a:avLst/>
                    </a:prstGeom>
                    <a:noFill/>
                    <a:ln>
                      <a:noFill/>
                    </a:ln>
                  </pic:spPr>
                </pic:pic>
              </a:graphicData>
            </a:graphic>
          </wp:inline>
        </w:drawing>
      </w:r>
    </w:p>
    <w:p w14:paraId="0B0B4E53" w14:textId="77777777" w:rsidR="00C63066" w:rsidRDefault="00C63066" w:rsidP="00C63066">
      <w:pPr>
        <w:pStyle w:val="Caption"/>
      </w:pPr>
      <w:bookmarkStart w:id="9" w:name="_Toc515031467"/>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4</w:t>
      </w:r>
      <w:r w:rsidR="00B5448A">
        <w:rPr>
          <w:noProof/>
        </w:rPr>
        <w:fldChar w:fldCharType="end"/>
      </w:r>
      <w:r>
        <w:t xml:space="preserve">. </w:t>
      </w:r>
      <w:r w:rsidRPr="0026221D">
        <w:t>Quarterly private resources and energy exploration expenditure</w:t>
      </w:r>
      <w:bookmarkEnd w:id="9"/>
    </w:p>
    <w:p w14:paraId="4BC88AA3" w14:textId="38E01384" w:rsidR="00C63066" w:rsidRDefault="00A71140" w:rsidP="00A57B60">
      <w:pPr>
        <w:pStyle w:val="FootnoteText"/>
      </w:pPr>
      <w:r>
        <w:t xml:space="preserve">Notes: (a) figures </w:t>
      </w:r>
      <w:r w:rsidRPr="006E1946">
        <w:t>include offshore and onshore</w:t>
      </w:r>
      <w:r>
        <w:t xml:space="preserve"> exploration; (b) </w:t>
      </w:r>
      <w:r w:rsidRPr="006E1946">
        <w:t xml:space="preserve">expenditure </w:t>
      </w:r>
      <w:r>
        <w:t xml:space="preserve">figures are seasonally adjusted. </w:t>
      </w:r>
      <w:r w:rsidR="008846BC">
        <w:t>Data s</w:t>
      </w:r>
      <w:r w:rsidR="00C63066">
        <w:t xml:space="preserve">ource: </w:t>
      </w:r>
      <w:r w:rsidR="00C63066">
        <w:fldChar w:fldCharType="begin"/>
      </w:r>
      <w:r w:rsidR="00472DAC">
        <w:instrText xml:space="preserve"> ADDIN EN.CITE &lt;EndNote&gt;&lt;Cite AuthorYear="1"&gt;&lt;Author&gt;Australian Bureau of Statistics&lt;/Author&gt;&lt;Year&gt;2017&lt;/Year&gt;&lt;RecNum&gt;3105&lt;/RecNum&gt;&lt;DisplayText&gt;Australian Bureau of Statistics (2017b); Office of the Chief Economist (2018)&lt;/DisplayText&gt;&lt;record&gt;&lt;rec-number&gt;3105&lt;/rec-number&gt;&lt;foreign-keys&gt;&lt;key app="EN" db-id="vzav25azvd0fxjextfzvax229ff0apaprtda" timestamp="1507168414"&gt;3105&lt;/key&gt;&lt;/foreign-keys&gt;&lt;ref-type name="Dataset"&gt;59&lt;/ref-type&gt;&lt;contributors&gt;&lt;authors&gt;&lt;author&gt;Australian Bureau of Statistics,&lt;/author&gt;&lt;/authors&gt;&lt;secondary-authors&gt;&lt;author&gt;Australian Bureau of Statistics,&lt;/author&gt;&lt;/secondary-authors&gt;&lt;/contributors&gt;&lt;titles&gt;&lt;title&gt;8412.0 Mineral and Petroleum Exploration, Australia&lt;/title&gt;&lt;/titles&gt;&lt;edition&gt;September 2017&lt;/edition&gt;&lt;dates&gt;&lt;year&gt;2017&lt;/year&gt;&lt;/dates&gt;&lt;pub-location&gt;Canberra&lt;/pub-location&gt;&lt;publisher&gt;Australian Bureau of Statistics&lt;/publisher&gt;&lt;urls&gt;&lt;related-urls&gt;&lt;url&gt;http://www.abs.gov.au/ausstats/abs@.nsf/mf/8412.0&lt;/url&gt;&lt;/related-urls&gt;&lt;/urls&gt;&lt;access-date&gt;5.10.2017&lt;/access-date&gt;&lt;/record&gt;&lt;/Cite&gt;&lt;Cite AuthorYear="1"&gt;&lt;Author&gt;Office of the Chief Economist&lt;/Author&gt;&lt;Year&gt;2018&lt;/Year&gt;&lt;RecNum&gt;3599&lt;/RecNum&gt;&lt;record&gt;&lt;rec-number&gt;3599&lt;/rec-number&gt;&lt;foreign-keys&gt;&lt;key app="EN" db-id="vzav25azvd0fxjextfzvax229ff0apaprtda" timestamp="1526865242"&gt;3599&lt;/key&gt;&lt;/foreign-keys&gt;&lt;ref-type name="Report"&gt;27&lt;/ref-type&gt;&lt;contributors&gt;&lt;authors&gt;&lt;author&gt;Office of the Chief Economist,&lt;/author&gt;&lt;/authors&gt;&lt;/contributors&gt;&lt;titles&gt;&lt;title&gt;Resources and Energy Quarterly: March 2018&lt;/title&gt;&lt;/titles&gt;&lt;dates&gt;&lt;year&gt;2018&lt;/year&gt;&lt;/dates&gt;&lt;urls&gt;&lt;/urls&gt;&lt;/record&gt;&lt;/Cite&gt;&lt;/EndNote&gt;</w:instrText>
      </w:r>
      <w:r w:rsidR="00C63066">
        <w:fldChar w:fldCharType="separate"/>
      </w:r>
      <w:r w:rsidR="00472DAC">
        <w:rPr>
          <w:noProof/>
        </w:rPr>
        <w:t>Australian Bureau of Statistics (2017b); Office of the Chief Economist (2018)</w:t>
      </w:r>
      <w:r w:rsidR="00C63066">
        <w:fldChar w:fldCharType="end"/>
      </w:r>
    </w:p>
    <w:p w14:paraId="777349CA" w14:textId="77777777" w:rsidR="009C5D96" w:rsidRPr="009C5D96" w:rsidRDefault="009C5D96" w:rsidP="009C5D96">
      <w:pPr>
        <w:pStyle w:val="BodyText"/>
      </w:pPr>
    </w:p>
    <w:p w14:paraId="1CE2BB01" w14:textId="34098492" w:rsidR="00A943B2" w:rsidRPr="001D36DC" w:rsidRDefault="00E764E4" w:rsidP="00D1044D">
      <w:pPr>
        <w:pStyle w:val="Heading1"/>
      </w:pPr>
      <w:bookmarkStart w:id="10" w:name="_Toc515031453"/>
      <w:r>
        <w:lastRenderedPageBreak/>
        <w:t xml:space="preserve">Employment </w:t>
      </w:r>
      <w:r w:rsidR="006C0F6E">
        <w:t>and income benefits distribution</w:t>
      </w:r>
      <w:bookmarkEnd w:id="10"/>
    </w:p>
    <w:p w14:paraId="42A3AAF1" w14:textId="11D55A12" w:rsidR="00F90F6E" w:rsidRDefault="006C0F6E" w:rsidP="00F90F6E">
      <w:pPr>
        <w:pStyle w:val="Heading2"/>
      </w:pPr>
      <w:bookmarkStart w:id="11" w:name="_Toc515031454"/>
      <w:r>
        <w:t>Mining e</w:t>
      </w:r>
      <w:r w:rsidR="00C16FE9">
        <w:t>mployment</w:t>
      </w:r>
      <w:bookmarkEnd w:id="11"/>
    </w:p>
    <w:p w14:paraId="2FDD5C59" w14:textId="53D0DC42" w:rsidR="001E49D6" w:rsidRDefault="00121D86" w:rsidP="00121D86">
      <w:pPr>
        <w:pStyle w:val="BodyText"/>
        <w:jc w:val="both"/>
      </w:pPr>
      <w:r>
        <w:t xml:space="preserve">Employment numbers show over two hundred thousand people are working in the mining </w:t>
      </w:r>
      <w:r w:rsidRPr="00B055BA">
        <w:t xml:space="preserve">industry (Figure </w:t>
      </w:r>
      <w:r w:rsidR="00467619">
        <w:t>5</w:t>
      </w:r>
      <w:r w:rsidRPr="00B055BA">
        <w:t>).</w:t>
      </w:r>
      <w:r>
        <w:t xml:space="preserve"> </w:t>
      </w:r>
      <w:r w:rsidR="001E49D6" w:rsidRPr="002970DD">
        <w:t xml:space="preserve">Mining employment trends vary considerably </w:t>
      </w:r>
      <w:r w:rsidR="001E49D6">
        <w:t>across states and territories</w:t>
      </w:r>
      <w:r w:rsidR="001E49D6" w:rsidRPr="002970DD">
        <w:t>. One common element is the presence of a dip in employment for each state between 2013</w:t>
      </w:r>
      <w:r w:rsidR="001E49D6">
        <w:t xml:space="preserve"> and </w:t>
      </w:r>
      <w:r w:rsidR="001E49D6" w:rsidRPr="002970DD">
        <w:t xml:space="preserve">2015, followed by a slight recovery in the subsequent period. Recent increases in employment across most states and territories </w:t>
      </w:r>
      <w:r w:rsidR="001E49D6">
        <w:t>suggest broa</w:t>
      </w:r>
      <w:r w:rsidR="001E49D6" w:rsidRPr="002970DD">
        <w:t xml:space="preserve">d underlying </w:t>
      </w:r>
      <w:r w:rsidR="001E49D6">
        <w:t>strength in the sector</w:t>
      </w:r>
      <w:r>
        <w:t xml:space="preserve">. </w:t>
      </w:r>
      <w:r w:rsidR="00D81BA3">
        <w:t xml:space="preserve">In absolute numbers, </w:t>
      </w:r>
      <w:r w:rsidR="008450C0">
        <w:t>Western Australia, Queensland and New South Wales have the largest workforce</w:t>
      </w:r>
      <w:r w:rsidR="00D81BA3">
        <w:t>s</w:t>
      </w:r>
      <w:r w:rsidR="00A176FE">
        <w:t xml:space="preserve"> in this sector</w:t>
      </w:r>
      <w:r w:rsidR="008450C0">
        <w:t xml:space="preserve">. </w:t>
      </w:r>
      <w:r w:rsidR="00D81BA3">
        <w:t>A</w:t>
      </w:r>
      <w:r w:rsidR="008450C0">
        <w:t xml:space="preserve">s a proportion of the </w:t>
      </w:r>
      <w:r w:rsidR="00D81BA3">
        <w:t xml:space="preserve">total State </w:t>
      </w:r>
      <w:r w:rsidR="008450C0">
        <w:t>workforce, the top three states are Western Australia</w:t>
      </w:r>
      <w:r w:rsidR="00A176FE">
        <w:t xml:space="preserve"> (7.1%)</w:t>
      </w:r>
      <w:r w:rsidR="008450C0">
        <w:t>, the Northern Territory</w:t>
      </w:r>
      <w:r w:rsidR="00A176FE">
        <w:t xml:space="preserve"> (3.9%)</w:t>
      </w:r>
      <w:r w:rsidR="008450C0">
        <w:t xml:space="preserve"> and Queensland</w:t>
      </w:r>
      <w:r w:rsidR="001E49D6">
        <w:t xml:space="preserve"> (2.6%) </w:t>
      </w:r>
      <w:r w:rsidR="001E49D6">
        <w:fldChar w:fldCharType="begin"/>
      </w:r>
      <w:r w:rsidR="001E49D6">
        <w:instrText xml:space="preserve"> ADDIN EN.CITE &lt;EndNote&gt;&lt;Cite&gt;&lt;Author&gt;Australian Bureau of Statistics&lt;/Author&gt;&lt;Year&gt;2018&lt;/Year&gt;&lt;RecNum&gt;3597&lt;/RecNum&gt;&lt;DisplayText&gt;(Australian Bureau of Statistics, 2018b)&lt;/DisplayText&gt;&lt;record&gt;&lt;rec-number&gt;3597&lt;/rec-number&gt;&lt;foreign-keys&gt;&lt;key app="EN" db-id="vzav25azvd0fxjextfzvax229ff0apaprtda" timestamp="1526858792"&gt;3597&lt;/key&gt;&lt;/foreign-keys&gt;&lt;ref-type name="Dataset"&gt;59&lt;/ref-type&gt;&lt;contributors&gt;&lt;authors&gt;&lt;author&gt;Australian Bureau of Statistics,&lt;/author&gt;&lt;/authors&gt;&lt;secondary-authors&gt;&lt;author&gt;Australian Bureau of Statistics,&lt;/author&gt;&lt;/secondary-authors&gt;&lt;/contributors&gt;&lt;titles&gt;&lt;title&gt;6291.0.55.003 Labour Force, Australia, Detailed, Quarterly&lt;/title&gt;&lt;/titles&gt;&lt;edition&gt;March 2018&lt;/edition&gt;&lt;dates&gt;&lt;year&gt;2018&lt;/year&gt;&lt;/dates&gt;&lt;pub-location&gt;Canberra&lt;/pub-location&gt;&lt;publisher&gt;Australian Bureau of Statistics&lt;/publisher&gt;&lt;urls&gt;&lt;related-urls&gt;&lt;url&gt;http://www.abs.gov.au/AUSSTATS/abs@.nsf/DetailsPage/6291.0.55.003Aug%202017?OpenDocument&lt;/url&gt;&lt;/related-urls&gt;&lt;/urls&gt;&lt;access-date&gt;21.09.2017&lt;/access-date&gt;&lt;/record&gt;&lt;/Cite&gt;&lt;/EndNote&gt;</w:instrText>
      </w:r>
      <w:r w:rsidR="001E49D6">
        <w:fldChar w:fldCharType="separate"/>
      </w:r>
      <w:r w:rsidR="001E49D6">
        <w:rPr>
          <w:noProof/>
        </w:rPr>
        <w:t>(Australian Bureau of Statistics, 2018b)</w:t>
      </w:r>
      <w:r w:rsidR="001E49D6">
        <w:fldChar w:fldCharType="end"/>
      </w:r>
      <w:r w:rsidR="00A176FE">
        <w:t xml:space="preserve">. </w:t>
      </w:r>
    </w:p>
    <w:p w14:paraId="0135903C" w14:textId="4527B1C7" w:rsidR="00121D86" w:rsidRDefault="00096D0A" w:rsidP="00121D86">
      <w:pPr>
        <w:pStyle w:val="BodyText"/>
        <w:keepNext/>
        <w:jc w:val="both"/>
      </w:pPr>
      <w:r w:rsidRPr="00096D0A">
        <w:rPr>
          <w:noProof/>
        </w:rPr>
        <w:drawing>
          <wp:inline distT="0" distB="0" distL="0" distR="0" wp14:anchorId="4092FA3A" wp14:editId="4BA929EA">
            <wp:extent cx="6120130" cy="5401385"/>
            <wp:effectExtent l="0" t="0" r="0" b="8890"/>
            <wp:docPr id="1" name="Picture 1" descr="This graph shows mining employment figures between 2000 and 2018. " title="Figure 5. National employment in mining: cumulative figures by stat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5401385"/>
                    </a:xfrm>
                    <a:prstGeom prst="rect">
                      <a:avLst/>
                    </a:prstGeom>
                    <a:noFill/>
                    <a:ln>
                      <a:noFill/>
                    </a:ln>
                  </pic:spPr>
                </pic:pic>
              </a:graphicData>
            </a:graphic>
          </wp:inline>
        </w:drawing>
      </w:r>
    </w:p>
    <w:p w14:paraId="21A1D77D" w14:textId="11174A52" w:rsidR="00121D86" w:rsidRDefault="00121D86" w:rsidP="00121D86">
      <w:pPr>
        <w:pStyle w:val="Caption"/>
        <w:jc w:val="both"/>
      </w:pPr>
      <w:bookmarkStart w:id="12" w:name="_Toc515031468"/>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5</w:t>
      </w:r>
      <w:r w:rsidR="00B5448A">
        <w:rPr>
          <w:noProof/>
        </w:rPr>
        <w:fldChar w:fldCharType="end"/>
      </w:r>
      <w:r>
        <w:t xml:space="preserve">. </w:t>
      </w:r>
      <w:r w:rsidR="00FE25C2">
        <w:t>National employment in m</w:t>
      </w:r>
      <w:r>
        <w:t>ining</w:t>
      </w:r>
      <w:r w:rsidR="00FE25C2">
        <w:t>: cumulative figures by state over time</w:t>
      </w:r>
      <w:r>
        <w:t>.</w:t>
      </w:r>
      <w:bookmarkEnd w:id="12"/>
    </w:p>
    <w:p w14:paraId="7128D3EE" w14:textId="7556F9AD" w:rsidR="00EC4875" w:rsidRPr="00EC4875" w:rsidRDefault="00D81BA3" w:rsidP="00EC4875">
      <w:pPr>
        <w:pStyle w:val="BodyText"/>
      </w:pPr>
      <w:r>
        <w:rPr>
          <w:sz w:val="16"/>
          <w:szCs w:val="20"/>
        </w:rPr>
        <w:t>The State by State proportion of the national mining workforce is represented by the size of the shaded area for each jurisdiction</w:t>
      </w:r>
      <w:r w:rsidR="00DC11ED">
        <w:rPr>
          <w:sz w:val="16"/>
          <w:szCs w:val="20"/>
        </w:rPr>
        <w:t>. The overlaying of the employment for each state shows cumulative national figures</w:t>
      </w:r>
      <w:r>
        <w:rPr>
          <w:sz w:val="16"/>
          <w:szCs w:val="20"/>
        </w:rPr>
        <w:t>.</w:t>
      </w:r>
      <w:r w:rsidR="00F247A3">
        <w:rPr>
          <w:sz w:val="16"/>
          <w:szCs w:val="20"/>
        </w:rPr>
        <w:t xml:space="preserve"> </w:t>
      </w:r>
      <w:r w:rsidR="00EC4875">
        <w:rPr>
          <w:sz w:val="16"/>
          <w:szCs w:val="20"/>
        </w:rPr>
        <w:t xml:space="preserve">Data source: </w:t>
      </w:r>
      <w:r w:rsidR="00EC4875">
        <w:rPr>
          <w:sz w:val="16"/>
          <w:szCs w:val="20"/>
        </w:rPr>
        <w:fldChar w:fldCharType="begin"/>
      </w:r>
      <w:r w:rsidR="00472DAC">
        <w:rPr>
          <w:sz w:val="16"/>
          <w:szCs w:val="20"/>
        </w:rPr>
        <w:instrText xml:space="preserve"> ADDIN EN.CITE &lt;EndNote&gt;&lt;Cite AuthorYear="1"&gt;&lt;Author&gt;Australian Bureau of Statistics&lt;/Author&gt;&lt;Year&gt;2018&lt;/Year&gt;&lt;RecNum&gt;3597&lt;/RecNum&gt;&lt;DisplayText&gt;Australian Bureau of Statistics (2018b)&lt;/DisplayText&gt;&lt;record&gt;&lt;rec-number&gt;3597&lt;/rec-number&gt;&lt;foreign-keys&gt;&lt;key app="EN" db-id="vzav25azvd0fxjextfzvax229ff0apaprtda" timestamp="1526858792"&gt;3597&lt;/key&gt;&lt;/foreign-keys&gt;&lt;ref-type name="Dataset"&gt;59&lt;/ref-type&gt;&lt;contributors&gt;&lt;authors&gt;&lt;author&gt;Australian Bureau of Statistics,&lt;/author&gt;&lt;/authors&gt;&lt;secondary-authors&gt;&lt;author&gt;Australian Bureau of Statistics,&lt;/author&gt;&lt;/secondary-authors&gt;&lt;/contributors&gt;&lt;titles&gt;&lt;title&gt;6291.0.55.003 Labour Force, Australia, Detailed, Quarterly&lt;/title&gt;&lt;/titles&gt;&lt;edition&gt;March 2018&lt;/edition&gt;&lt;dates&gt;&lt;year&gt;2018&lt;/year&gt;&lt;/dates&gt;&lt;pub-location&gt;Canberra&lt;/pub-location&gt;&lt;publisher&gt;Australian Bureau of Statistics&lt;/publisher&gt;&lt;urls&gt;&lt;related-urls&gt;&lt;url&gt;http://www.abs.gov.au/AUSSTATS/abs@.nsf/DetailsPage/6291.0.55.003Aug%202017?OpenDocument&lt;/url&gt;&lt;/related-urls&gt;&lt;/urls&gt;&lt;access-date&gt;21.09.2017&lt;/access-date&gt;&lt;/record&gt;&lt;/Cite&gt;&lt;/EndNote&gt;</w:instrText>
      </w:r>
      <w:r w:rsidR="00EC4875">
        <w:rPr>
          <w:sz w:val="16"/>
          <w:szCs w:val="20"/>
        </w:rPr>
        <w:fldChar w:fldCharType="separate"/>
      </w:r>
      <w:r w:rsidR="00472DAC">
        <w:rPr>
          <w:noProof/>
          <w:sz w:val="16"/>
          <w:szCs w:val="20"/>
        </w:rPr>
        <w:t>Australian Bureau of Statistics (2018b)</w:t>
      </w:r>
      <w:r w:rsidR="00EC4875">
        <w:rPr>
          <w:sz w:val="16"/>
          <w:szCs w:val="20"/>
        </w:rPr>
        <w:fldChar w:fldCharType="end"/>
      </w:r>
    </w:p>
    <w:p w14:paraId="2605111B" w14:textId="546C2204" w:rsidR="00EC0AF8" w:rsidRDefault="0075232A" w:rsidP="0075232A">
      <w:pPr>
        <w:pStyle w:val="BodyText"/>
        <w:jc w:val="both"/>
      </w:pPr>
      <w:r>
        <w:rPr>
          <w:noProof/>
        </w:rPr>
        <w:lastRenderedPageBreak/>
        <mc:AlternateContent>
          <mc:Choice Requires="wps">
            <w:drawing>
              <wp:anchor distT="91440" distB="91440" distL="114300" distR="114300" simplePos="0" relativeHeight="251813376" behindDoc="0" locked="0" layoutInCell="1" allowOverlap="1" wp14:anchorId="652BABC7" wp14:editId="11B9C40A">
                <wp:simplePos x="0" y="0"/>
                <wp:positionH relativeFrom="margin">
                  <wp:posOffset>3376930</wp:posOffset>
                </wp:positionH>
                <wp:positionV relativeFrom="paragraph">
                  <wp:posOffset>99695</wp:posOffset>
                </wp:positionV>
                <wp:extent cx="2801620" cy="1403985"/>
                <wp:effectExtent l="0" t="0" r="0" b="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1620" cy="1403985"/>
                        </a:xfrm>
                        <a:prstGeom prst="rect">
                          <a:avLst/>
                        </a:prstGeom>
                        <a:noFill/>
                        <a:ln w="9525">
                          <a:noFill/>
                          <a:miter lim="800000"/>
                          <a:headEnd/>
                          <a:tailEnd/>
                        </a:ln>
                      </wps:spPr>
                      <wps:txbx>
                        <w:txbxContent>
                          <w:p w14:paraId="5CAE4CE8" w14:textId="62C5F5CF" w:rsidR="00B5448A" w:rsidRPr="00E64C6A" w:rsidRDefault="00B5448A" w:rsidP="002E2494">
                            <w:pPr>
                              <w:pBdr>
                                <w:top w:val="single" w:sz="24" w:space="8" w:color="00A9CE" w:themeColor="accent1"/>
                                <w:bottom w:val="single" w:sz="24" w:space="8" w:color="00A9CE" w:themeColor="accent1"/>
                              </w:pBdr>
                              <w:spacing w:after="0"/>
                              <w:rPr>
                                <w:i/>
                                <w:iCs/>
                                <w:color w:val="00A9CE" w:themeColor="accent1"/>
                                <w:sz w:val="24"/>
                                <w:szCs w:val="24"/>
                              </w:rPr>
                            </w:pPr>
                            <w:r>
                              <w:rPr>
                                <w:i/>
                                <w:iCs/>
                                <w:color w:val="00A9CE" w:themeColor="accent1"/>
                                <w:sz w:val="24"/>
                                <w:szCs w:val="24"/>
                              </w:rPr>
                              <w:t xml:space="preserve">Almost </w:t>
                            </w:r>
                            <w:r w:rsidRPr="002E2494">
                              <w:rPr>
                                <w:i/>
                                <w:iCs/>
                                <w:color w:val="00A9CE" w:themeColor="accent1"/>
                                <w:sz w:val="24"/>
                                <w:szCs w:val="24"/>
                              </w:rPr>
                              <w:t xml:space="preserve">60% of the workforce employed in </w:t>
                            </w:r>
                            <w:r>
                              <w:rPr>
                                <w:i/>
                                <w:iCs/>
                                <w:color w:val="00A9CE" w:themeColor="accent1"/>
                                <w:sz w:val="24"/>
                                <w:szCs w:val="24"/>
                              </w:rPr>
                              <w:t>mining</w:t>
                            </w:r>
                            <w:r w:rsidRPr="002E2494">
                              <w:rPr>
                                <w:i/>
                                <w:iCs/>
                                <w:color w:val="00A9CE" w:themeColor="accent1"/>
                                <w:sz w:val="24"/>
                                <w:szCs w:val="24"/>
                              </w:rPr>
                              <w:t xml:space="preserve"> is located in regional Australia</w:t>
                            </w:r>
                            <w:r>
                              <w:rPr>
                                <w:i/>
                                <w:iCs/>
                                <w:color w:val="00A9CE" w:themeColor="accent1"/>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2BABC7" id="_x0000_s1049" type="#_x0000_t202" style="position:absolute;left:0;text-align:left;margin-left:265.9pt;margin-top:7.85pt;width:220.6pt;height:110.55pt;z-index:251813376;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" filled="f" stroked="f">
                <v:textbox style="mso-fit-shape-to-text:t">
                  <w:txbxContent>
                    <w:p w14:paraId="5CAE4CE8" w14:textId="62C5F5CF" w:rsidR="00B5448A" w:rsidRPr="00E64C6A" w:rsidRDefault="00B5448A" w:rsidP="002E2494">
                      <w:pPr>
                        <w:pBdr>
                          <w:top w:val="single" w:sz="24" w:space="8" w:color="00A9CE" w:themeColor="accent1"/>
                          <w:bottom w:val="single" w:sz="24" w:space="8" w:color="00A9CE" w:themeColor="accent1"/>
                        </w:pBdr>
                        <w:spacing w:after="0"/>
                        <w:rPr>
                          <w:i/>
                          <w:iCs/>
                          <w:color w:val="00A9CE" w:themeColor="accent1"/>
                          <w:sz w:val="24"/>
                          <w:szCs w:val="24"/>
                        </w:rPr>
                      </w:pPr>
                      <w:r>
                        <w:rPr>
                          <w:i/>
                          <w:iCs/>
                          <w:color w:val="00A9CE" w:themeColor="accent1"/>
                          <w:sz w:val="24"/>
                          <w:szCs w:val="24"/>
                        </w:rPr>
                        <w:t xml:space="preserve">Almost </w:t>
                      </w:r>
                      <w:r w:rsidRPr="002E2494">
                        <w:rPr>
                          <w:i/>
                          <w:iCs/>
                          <w:color w:val="00A9CE" w:themeColor="accent1"/>
                          <w:sz w:val="24"/>
                          <w:szCs w:val="24"/>
                        </w:rPr>
                        <w:t xml:space="preserve">60% of the workforce employed in </w:t>
                      </w:r>
                      <w:r>
                        <w:rPr>
                          <w:i/>
                          <w:iCs/>
                          <w:color w:val="00A9CE" w:themeColor="accent1"/>
                          <w:sz w:val="24"/>
                          <w:szCs w:val="24"/>
                        </w:rPr>
                        <w:t>mining</w:t>
                      </w:r>
                      <w:r w:rsidRPr="002E2494">
                        <w:rPr>
                          <w:i/>
                          <w:iCs/>
                          <w:color w:val="00A9CE" w:themeColor="accent1"/>
                          <w:sz w:val="24"/>
                          <w:szCs w:val="24"/>
                        </w:rPr>
                        <w:t xml:space="preserve"> is located in regional Australia</w:t>
                      </w:r>
                      <w:r>
                        <w:rPr>
                          <w:i/>
                          <w:iCs/>
                          <w:color w:val="00A9CE" w:themeColor="accent1"/>
                          <w:sz w:val="24"/>
                          <w:szCs w:val="24"/>
                        </w:rPr>
                        <w:t>.</w:t>
                      </w:r>
                    </w:p>
                  </w:txbxContent>
                </v:textbox>
                <w10:wrap type="square" anchorx="margin"/>
              </v:shape>
            </w:pict>
          </mc:Fallback>
        </mc:AlternateContent>
      </w:r>
      <w:r w:rsidR="00572897">
        <w:t xml:space="preserve">The mining industry </w:t>
      </w:r>
      <w:r w:rsidR="00107C66">
        <w:t xml:space="preserve">is an important </w:t>
      </w:r>
      <w:r w:rsidR="00A176FE">
        <w:t xml:space="preserve">source of </w:t>
      </w:r>
      <w:r w:rsidR="00107C66">
        <w:t>income for</w:t>
      </w:r>
      <w:r w:rsidR="00A176FE">
        <w:t xml:space="preserve"> the communities </w:t>
      </w:r>
      <w:r w:rsidR="009F4481">
        <w:t xml:space="preserve">outside the major cities </w:t>
      </w:r>
      <w:r w:rsidR="00107C66">
        <w:t xml:space="preserve">where operational activities occur. </w:t>
      </w:r>
      <w:r w:rsidR="00AD4216">
        <w:t>Almost 60% of the workforce employed in this sector is</w:t>
      </w:r>
      <w:r w:rsidR="009F4481">
        <w:t xml:space="preserve"> located in regional Australia </w:t>
      </w:r>
      <w:r w:rsidR="00467619">
        <w:t>(Figure 6</w:t>
      </w:r>
      <w:r w:rsidR="00166BDF">
        <w:t xml:space="preserve">) </w:t>
      </w:r>
      <w:r w:rsidR="00AE5B26">
        <w:fldChar w:fldCharType="begin"/>
      </w:r>
      <w:r w:rsidR="002B5C96">
        <w:instrText xml:space="preserve"> ADDIN EN.CITE &lt;EndNote&gt;&lt;Cite&gt;&lt;Author&gt;Australian Bureau of Statistics&lt;/Author&gt;&lt;Year&gt;2017&lt;/Year&gt;&lt;RecNum&gt;3060&lt;/RecNum&gt;&lt;DisplayText&gt;(Australian Bureau of Statistics, 2017a)&lt;/DisplayText&gt;&lt;record&gt;&lt;rec-number&gt;3060&lt;/rec-number&gt;&lt;foreign-keys&gt;&lt;key app="EN" db-id="vzav25azvd0fxjextfzvax229ff0apaprtda" timestamp="1506546404"&gt;3060&lt;/key&gt;&lt;/foreign-keys&gt;&lt;ref-type name="Dataset"&gt;59&lt;/ref-type&gt;&lt;contributors&gt;&lt;authors&gt;&lt;author&gt;Australian Bureau of Statistics,&lt;/author&gt;&lt;/authors&gt;&lt;secondary-authors&gt;&lt;author&gt;Australian Bureau of Statistics,&lt;/author&gt;&lt;/secondary-authors&gt;&lt;/contributors&gt;&lt;titles&gt;&lt;title&gt;6291.0.55.003 Labour Force, Australia, Detailed, Quarterly&lt;/title&gt;&lt;/titles&gt;&lt;edition&gt;August 2017&lt;/edition&gt;&lt;dates&gt;&lt;year&gt;2017&lt;/year&gt;&lt;/dates&gt;&lt;pub-location&gt;Canberra&lt;/pub-location&gt;&lt;publisher&gt;Australian Bureau of Statistics&lt;/publisher&gt;&lt;urls&gt;&lt;related-urls&gt;&lt;url&gt;http://www.abs.gov.au/AUSSTATS/abs@.nsf/DetailsPage/6291.0.55.003Aug%202017?OpenDocument&lt;/url&gt;&lt;/related-urls&gt;&lt;/urls&gt;&lt;access-date&gt;21.09.2017&lt;/access-date&gt;&lt;/record&gt;&lt;/Cite&gt;&lt;/EndNote&gt;</w:instrText>
      </w:r>
      <w:r w:rsidR="00AE5B26">
        <w:fldChar w:fldCharType="separate"/>
      </w:r>
      <w:r w:rsidR="002B5C96">
        <w:rPr>
          <w:noProof/>
        </w:rPr>
        <w:t>(Australian Bureau of Statistics, 2017a)</w:t>
      </w:r>
      <w:r w:rsidR="00AE5B26">
        <w:fldChar w:fldCharType="end"/>
      </w:r>
      <w:r w:rsidR="00AD4216">
        <w:t>.</w:t>
      </w:r>
      <w:r w:rsidR="00AD4216">
        <w:rPr>
          <w:rStyle w:val="FootnoteReference"/>
        </w:rPr>
        <w:footnoteReference w:id="8"/>
      </w:r>
      <w:r w:rsidR="00AD4216">
        <w:t xml:space="preserve"> </w:t>
      </w:r>
      <w:r w:rsidR="00A176FE">
        <w:t xml:space="preserve">Mining has a lower ratio of people employed in rural or regional areas than </w:t>
      </w:r>
      <w:r w:rsidR="0006384D">
        <w:t xml:space="preserve">agriculture </w:t>
      </w:r>
      <w:r w:rsidR="00166BDF">
        <w:t>(83</w:t>
      </w:r>
      <w:r w:rsidR="0006384D">
        <w:t xml:space="preserve">%), </w:t>
      </w:r>
      <w:r w:rsidR="00A176FE">
        <w:t xml:space="preserve">but higher than </w:t>
      </w:r>
      <w:r w:rsidR="0006384D">
        <w:t xml:space="preserve">manufacturing and professional </w:t>
      </w:r>
      <w:r w:rsidR="00A176FE">
        <w:t>services, which are predominantly</w:t>
      </w:r>
      <w:r w:rsidR="0006384D">
        <w:t xml:space="preserve"> urban</w:t>
      </w:r>
      <w:r w:rsidR="00C27A39">
        <w:t xml:space="preserve"> (</w:t>
      </w:r>
      <w:r w:rsidR="0006384D">
        <w:t>71% and 80% respectively</w:t>
      </w:r>
      <w:r w:rsidR="00C27A39">
        <w:t>)</w:t>
      </w:r>
      <w:r w:rsidR="0006384D">
        <w:t>.</w:t>
      </w:r>
      <w:r w:rsidR="00A256C4">
        <w:t xml:space="preserve"> </w:t>
      </w:r>
      <w:r w:rsidR="00AE5C5E">
        <w:t>S</w:t>
      </w:r>
      <w:r w:rsidR="00A256C4">
        <w:t>ince 20</w:t>
      </w:r>
      <w:r w:rsidR="0066089E">
        <w:t>06</w:t>
      </w:r>
      <w:r w:rsidR="00A256C4">
        <w:t xml:space="preserve">, </w:t>
      </w:r>
      <w:r w:rsidR="0066089E">
        <w:t>the percentage of people employed in regional are</w:t>
      </w:r>
      <w:r w:rsidR="00F725F5">
        <w:t xml:space="preserve">as </w:t>
      </w:r>
      <w:r w:rsidR="00A356A5">
        <w:t xml:space="preserve">in mining </w:t>
      </w:r>
      <w:r w:rsidR="00F725F5">
        <w:t>has remained fairly constant.</w:t>
      </w:r>
      <w:r w:rsidR="00A356A5">
        <w:t xml:space="preserve"> The</w:t>
      </w:r>
      <w:r w:rsidR="00A356A5" w:rsidRPr="00A356A5">
        <w:t xml:space="preserve"> peak </w:t>
      </w:r>
      <w:r w:rsidR="00A356A5">
        <w:t>regional Australia</w:t>
      </w:r>
      <w:r w:rsidR="002C2613">
        <w:t>n</w:t>
      </w:r>
      <w:r w:rsidR="00A356A5">
        <w:t xml:space="preserve"> employment totals in the sector was reached 2013</w:t>
      </w:r>
      <w:r w:rsidR="009866F5">
        <w:t>-</w:t>
      </w:r>
      <w:r w:rsidR="00A356A5">
        <w:t xml:space="preserve">14, and was close to </w:t>
      </w:r>
      <w:r w:rsidR="00A17820">
        <w:t>150 thousand</w:t>
      </w:r>
      <w:r w:rsidR="00A356A5">
        <w:t xml:space="preserve"> people.</w:t>
      </w:r>
    </w:p>
    <w:p w14:paraId="5C2A981A" w14:textId="5A010484" w:rsidR="00625F0D" w:rsidRDefault="00F63934" w:rsidP="00625F0D">
      <w:pPr>
        <w:pStyle w:val="Caption"/>
      </w:pPr>
      <w:r w:rsidRPr="00F63934">
        <w:rPr>
          <w:noProof/>
        </w:rPr>
        <w:drawing>
          <wp:inline distT="0" distB="0" distL="0" distR="0" wp14:anchorId="5527318E" wp14:editId="553FF75B">
            <wp:extent cx="6120130" cy="2107784"/>
            <wp:effectExtent l="0" t="0" r="0" b="6985"/>
            <wp:docPr id="73" name="Picture 73" descr="This figure shows pie charts specifying the percentage of mining employment in 2000, 2006, 2011 and 2017." title="Figure 6. Mining employment: Australian regional areas vs capital cities ratios. Moving average trend, calculated based on four quarters’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2107784"/>
                    </a:xfrm>
                    <a:prstGeom prst="rect">
                      <a:avLst/>
                    </a:prstGeom>
                    <a:noFill/>
                    <a:ln>
                      <a:noFill/>
                    </a:ln>
                  </pic:spPr>
                </pic:pic>
              </a:graphicData>
            </a:graphic>
          </wp:inline>
        </w:drawing>
      </w:r>
    </w:p>
    <w:p w14:paraId="7F81DD7F" w14:textId="653786AC" w:rsidR="00EC0AF8" w:rsidRDefault="00625F0D" w:rsidP="00625F0D">
      <w:pPr>
        <w:pStyle w:val="Caption"/>
        <w:rPr>
          <w:noProof/>
        </w:rPr>
      </w:pPr>
      <w:bookmarkStart w:id="13" w:name="_Toc515031469"/>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6</w:t>
      </w:r>
      <w:r w:rsidR="00B5448A">
        <w:rPr>
          <w:noProof/>
        </w:rPr>
        <w:fldChar w:fldCharType="end"/>
      </w:r>
      <w:r>
        <w:t>. Mining employment: Australian regional areas vs capital cities ratio</w:t>
      </w:r>
      <w:r>
        <w:rPr>
          <w:noProof/>
        </w:rPr>
        <w:t>s</w:t>
      </w:r>
      <w:r w:rsidR="00F63934">
        <w:rPr>
          <w:noProof/>
        </w:rPr>
        <w:t>. Moving average trend, calculated based on four quarters’</w:t>
      </w:r>
      <w:r w:rsidR="006D7C9B">
        <w:rPr>
          <w:noProof/>
        </w:rPr>
        <w:t xml:space="preserve"> </w:t>
      </w:r>
      <w:r w:rsidR="00F63934">
        <w:rPr>
          <w:noProof/>
        </w:rPr>
        <w:t>average</w:t>
      </w:r>
      <w:bookmarkEnd w:id="13"/>
    </w:p>
    <w:p w14:paraId="188B7294" w14:textId="12715419" w:rsidR="00625F0D" w:rsidRPr="00625F0D" w:rsidRDefault="00625F0D" w:rsidP="00697C47">
      <w:pPr>
        <w:pStyle w:val="FootnoteText"/>
      </w:pPr>
      <w:r>
        <w:t xml:space="preserve">Note: Regional figures include whole of Northern Territory, exclude Australian Capital Territory. Capital cities figures exclude Australian Capital Territory. </w:t>
      </w:r>
      <w:r w:rsidR="008846BC">
        <w:t>Data s</w:t>
      </w:r>
      <w:r>
        <w:t xml:space="preserve">ource: </w:t>
      </w:r>
      <w:r>
        <w:fldChar w:fldCharType="begin"/>
      </w:r>
      <w:r w:rsidR="00472DAC">
        <w:instrText xml:space="preserve"> ADDIN EN.CITE &lt;EndNote&gt;&lt;Cite AuthorYear="1"&gt;&lt;Author&gt;Australian Bureau of Statistics&lt;/Author&gt;&lt;Year&gt;2017&lt;/Year&gt;&lt;RecNum&gt;3060&lt;/RecNum&gt;&lt;DisplayText&gt;Australian Bureau of Statistics (2017a)&lt;/DisplayText&gt;&lt;record&gt;&lt;rec-number&gt;3060&lt;/rec-number&gt;&lt;foreign-keys&gt;&lt;key app="EN" db-id="vzav25azvd0fxjextfzvax229ff0apaprtda" timestamp="1506546404"&gt;3060&lt;/key&gt;&lt;/foreign-keys&gt;&lt;ref-type name="Dataset"&gt;59&lt;/ref-type&gt;&lt;contributors&gt;&lt;authors&gt;&lt;author&gt;Australian Bureau of Statistics,&lt;/author&gt;&lt;/authors&gt;&lt;secondary-authors&gt;&lt;author&gt;Australian Bureau of Statistics,&lt;/author&gt;&lt;/secondary-authors&gt;&lt;/contributors&gt;&lt;titles&gt;&lt;title&gt;6291.0.55.003 Labour Force, Australia, Detailed, Quarterly&lt;/title&gt;&lt;/titles&gt;&lt;edition&gt;August 2017&lt;/edition&gt;&lt;dates&gt;&lt;year&gt;2017&lt;/year&gt;&lt;/dates&gt;&lt;pub-location&gt;Canberra&lt;/pub-location&gt;&lt;publisher&gt;Australian Bureau of Statistics&lt;/publisher&gt;&lt;urls&gt;&lt;related-urls&gt;&lt;url&gt;http://www.abs.gov.au/AUSSTATS/abs@.nsf/DetailsPage/6291.0.55.003Aug%202017?OpenDocument&lt;/url&gt;&lt;/related-urls&gt;&lt;/urls&gt;&lt;access-date&gt;21.09.2017&lt;/access-date&gt;&lt;/record&gt;&lt;/Cite&gt;&lt;/EndNote&gt;</w:instrText>
      </w:r>
      <w:r>
        <w:fldChar w:fldCharType="separate"/>
      </w:r>
      <w:r w:rsidR="00472DAC">
        <w:rPr>
          <w:noProof/>
        </w:rPr>
        <w:t>Australian Bureau of Statistics (2017a)</w:t>
      </w:r>
      <w:r>
        <w:fldChar w:fldCharType="end"/>
      </w:r>
    </w:p>
    <w:p w14:paraId="5D36AA6F" w14:textId="0DAE8D51" w:rsidR="00A443E2" w:rsidRDefault="00A443E2" w:rsidP="008450C0">
      <w:pPr>
        <w:pStyle w:val="BodyText"/>
        <w:jc w:val="both"/>
      </w:pPr>
      <w:r w:rsidRPr="002970DD">
        <w:t xml:space="preserve">Employment in mining remains predominantly regionally-based in New South Wales, Queensland and Tasmania, but in other states mining jobs tend to be located in the capital city labour market </w:t>
      </w:r>
      <w:r w:rsidRPr="0083515E">
        <w:t>region</w:t>
      </w:r>
      <w:r>
        <w:t xml:space="preserve"> (Table 1)</w:t>
      </w:r>
      <w:r w:rsidRPr="0083515E">
        <w:t>.</w:t>
      </w:r>
      <w:r w:rsidRPr="0083515E">
        <w:rPr>
          <w:rStyle w:val="FootnoteReference"/>
        </w:rPr>
        <w:footnoteReference w:id="9"/>
      </w:r>
      <w:r w:rsidRPr="0083515E">
        <w:t xml:space="preserve"> While Western Australia and Queensland can sometimes be referred to generically as ‘the mining states’, the two have different distributions of their mining employment between capital city and regional areas. </w:t>
      </w:r>
      <w:r w:rsidR="00E76D99">
        <w:t>In WA, more of the mining workforce is located in the capital city area: 64% in 2016 and this figure increased to 76%</w:t>
      </w:r>
      <w:r w:rsidR="000E53C3">
        <w:t xml:space="preserve"> at the beginning of 2018</w:t>
      </w:r>
      <w:r w:rsidR="00E76D99">
        <w:t xml:space="preserve"> </w:t>
      </w:r>
      <w:r w:rsidR="00E76D99">
        <w:fldChar w:fldCharType="begin"/>
      </w:r>
      <w:r w:rsidR="00E76D99">
        <w:instrText xml:space="preserve"> ADDIN EN.CITE &lt;EndNote&gt;&lt;Cite&gt;&lt;Author&gt;Australian Bureau of Statistics&lt;/Author&gt;&lt;Year&gt;2018&lt;/Year&gt;&lt;RecNum&gt;3597&lt;/RecNum&gt;&lt;DisplayText&gt;(Australian Bureau of Statistics, 2017c; 2018b)&lt;/DisplayText&gt;&lt;record&gt;&lt;rec-number&gt;3597&lt;/rec-number&gt;&lt;foreign-keys&gt;&lt;key app="EN" db-id="vzav25azvd0fxjextfzvax229ff0apaprtda" timestamp="1526858792"&gt;3597&lt;/key&gt;&lt;/foreign-keys&gt;&lt;ref-type name="Dataset"&gt;59&lt;/ref-type&gt;&lt;contributors&gt;&lt;authors&gt;&lt;author&gt;Australian Bureau of Statistics,&lt;/author&gt;&lt;/authors&gt;&lt;secondary-authors&gt;&lt;author&gt;Australian Bureau of Statistics,&lt;/author&gt;&lt;/secondary-authors&gt;&lt;/contributors&gt;&lt;titles&gt;&lt;title&gt;6291.0.55.003 Labour Force, Australia, Detailed, Quarterly&lt;/title&gt;&lt;/titles&gt;&lt;edition&gt;March 2018&lt;/edition&gt;&lt;dates&gt;&lt;year&gt;2018&lt;/year&gt;&lt;/dates&gt;&lt;pub-location&gt;Canberra&lt;/pub-location&gt;&lt;publisher&gt;Australian Bureau of Statistics&lt;/publisher&gt;&lt;urls&gt;&lt;related-urls&gt;&lt;url&gt;http://www.abs.gov.au/AUSSTATS/abs@.nsf/DetailsPage/6291.0.55.003Aug%202017?OpenDocument&lt;/url&gt;&lt;/related-urls&gt;&lt;/urls&gt;&lt;access-date&gt;21.09.2017&lt;/access-date&gt;&lt;/record&gt;&lt;/Cite&gt;&lt;Cite&gt;&lt;Author&gt;Australian Bureau of Statistics&lt;/Author&gt;&lt;Year&gt;2017&lt;/Year&gt;&lt;RecNum&gt;3598&lt;/RecNum&gt;&lt;record&gt;&lt;rec-number&gt;3598&lt;/rec-number&gt;&lt;foreign-keys&gt;&lt;key app="EN" db-id="vzav25azvd0fxjextfzvax229ff0apaprtda" timestamp="1526858974"&gt;3598&lt;/key&gt;&lt;/foreign-keys&gt;&lt;ref-type name="Dataset"&gt;59&lt;/ref-type&gt;&lt;contributors&gt;&lt;authors&gt;&lt;author&gt;Australian Bureau of Statistics,&lt;/author&gt;&lt;/authors&gt;&lt;secondary-authors&gt;&lt;author&gt;Australian Bureau of Statistics,&lt;/author&gt;&lt;/secondary-authors&gt;&lt;/contributors&gt;&lt;titles&gt;&lt;title&gt;Australian Census 2016: DataPacks&lt;/title&gt;&lt;/titles&gt;&lt;dates&gt;&lt;year&gt;2017&lt;/year&gt;&lt;/dates&gt;&lt;pub-location&gt;Canberra&lt;/pub-location&gt;&lt;urls&gt;&lt;related-urls&gt;&lt;url&gt;https://datapacks.censusdata.abs.gov.au/datapacks/&lt;/url&gt;&lt;/related-urls&gt;&lt;/urls&gt;&lt;/record&gt;&lt;/Cite&gt;&lt;/EndNote&gt;</w:instrText>
      </w:r>
      <w:r w:rsidR="00E76D99">
        <w:fldChar w:fldCharType="separate"/>
      </w:r>
      <w:r w:rsidR="00E76D99">
        <w:rPr>
          <w:noProof/>
        </w:rPr>
        <w:t>(Australian Bureau of Statistics, 2017c; 2018b)</w:t>
      </w:r>
      <w:r w:rsidR="00E76D99">
        <w:fldChar w:fldCharType="end"/>
      </w:r>
      <w:r w:rsidR="00E76D99">
        <w:t xml:space="preserve">. </w:t>
      </w:r>
      <w:r w:rsidR="009B16A6">
        <w:t>It remains to be seen from future data whether this</w:t>
      </w:r>
      <w:r w:rsidR="00E76D99">
        <w:t xml:space="preserve"> change</w:t>
      </w:r>
      <w:r w:rsidR="009B16A6">
        <w:t xml:space="preserve"> is an </w:t>
      </w:r>
      <w:r w:rsidR="00E76D99">
        <w:t xml:space="preserve">indication of a transition to </w:t>
      </w:r>
      <w:r w:rsidR="009B16A6">
        <w:t>a more urban workforce due to a shift in how mines operate. By comparison</w:t>
      </w:r>
      <w:r w:rsidR="009F4C32">
        <w:t>, in QLD</w:t>
      </w:r>
      <w:r w:rsidR="0094399A">
        <w:t>, NSW and TAS</w:t>
      </w:r>
      <w:r w:rsidR="009F4C32">
        <w:t>,</w:t>
      </w:r>
      <w:r w:rsidR="000E53C3">
        <w:t xml:space="preserve"> the ratio of workers located i</w:t>
      </w:r>
      <w:r w:rsidR="009B16A6">
        <w:t xml:space="preserve">n a major urban centre versus workers </w:t>
      </w:r>
      <w:r w:rsidR="000E53C3">
        <w:t xml:space="preserve">located elsewhere </w:t>
      </w:r>
      <w:r w:rsidR="009B16A6">
        <w:t>has remained fairly constant</w:t>
      </w:r>
      <w:r w:rsidR="009F4C32">
        <w:t>. About three quarters of the employees in the mining industry</w:t>
      </w:r>
      <w:r w:rsidR="0094399A">
        <w:t xml:space="preserve"> in QLD</w:t>
      </w:r>
      <w:r w:rsidR="009F4C32">
        <w:t xml:space="preserve"> are based in rural and regional areas (75-78%).</w:t>
      </w:r>
      <w:r w:rsidR="0094399A">
        <w:t xml:space="preserve"> For NSW and TAS about 85% of the </w:t>
      </w:r>
      <w:r w:rsidR="000E53C3">
        <w:t>labour force</w:t>
      </w:r>
      <w:r w:rsidR="0094399A">
        <w:t xml:space="preserve"> continue</w:t>
      </w:r>
      <w:r w:rsidR="000E53C3">
        <w:t>s</w:t>
      </w:r>
      <w:r w:rsidR="0094399A">
        <w:t xml:space="preserve"> to be in regional areas.</w:t>
      </w:r>
      <w:r w:rsidR="00052053">
        <w:t xml:space="preserve"> An increase in mining activity in QLD and TAS is </w:t>
      </w:r>
      <w:r w:rsidR="00052053">
        <w:lastRenderedPageBreak/>
        <w:t>suggested by recent upward trends in employment numbers since 2016.</w:t>
      </w:r>
      <w:r w:rsidR="0052261B">
        <w:t xml:space="preserve"> Other states have seen increases in overall employment since 2015-16, with numbers appearing to level off or slightly dip at the beginning of 2018. These differences in the state distribution of the workforce show </w:t>
      </w:r>
      <w:r w:rsidRPr="0083515E">
        <w:t>further employme</w:t>
      </w:r>
      <w:r w:rsidR="0052261B">
        <w:t>nt growth in the mining sector</w:t>
      </w:r>
      <w:r w:rsidR="00B816ED">
        <w:t xml:space="preserve"> and </w:t>
      </w:r>
      <w:r w:rsidRPr="0083515E">
        <w:t>indirect</w:t>
      </w:r>
      <w:r w:rsidR="00B816ED">
        <w:t xml:space="preserve"> benefits associated with this growth could be shifting towards urban areas in WA, but remain fairly regional based for QLD, NSW and TAS</w:t>
      </w:r>
      <w:r w:rsidRPr="0083515E">
        <w:t>.</w:t>
      </w:r>
    </w:p>
    <w:p w14:paraId="0809D9C2" w14:textId="3AD73DDA" w:rsidR="008450C0" w:rsidRDefault="0075232A" w:rsidP="008450C0">
      <w:pPr>
        <w:pStyle w:val="BodyText"/>
        <w:jc w:val="both"/>
      </w:pPr>
      <w:r w:rsidRPr="0083515E">
        <w:rPr>
          <w:noProof/>
        </w:rPr>
        <mc:AlternateContent>
          <mc:Choice Requires="wps">
            <w:drawing>
              <wp:anchor distT="91440" distB="91440" distL="114300" distR="114300" simplePos="0" relativeHeight="251815424" behindDoc="0" locked="0" layoutInCell="1" allowOverlap="1" wp14:anchorId="11D2AE42" wp14:editId="495F83EE">
                <wp:simplePos x="0" y="0"/>
                <wp:positionH relativeFrom="margin">
                  <wp:posOffset>-64135</wp:posOffset>
                </wp:positionH>
                <wp:positionV relativeFrom="paragraph">
                  <wp:posOffset>67310</wp:posOffset>
                </wp:positionV>
                <wp:extent cx="3094355" cy="1403985"/>
                <wp:effectExtent l="0" t="0" r="0" b="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355" cy="1403985"/>
                        </a:xfrm>
                        <a:prstGeom prst="rect">
                          <a:avLst/>
                        </a:prstGeom>
                        <a:noFill/>
                        <a:ln w="9525">
                          <a:noFill/>
                          <a:miter lim="800000"/>
                          <a:headEnd/>
                          <a:tailEnd/>
                        </a:ln>
                      </wps:spPr>
                      <wps:txbx>
                        <w:txbxContent>
                          <w:p w14:paraId="4A0DC43D" w14:textId="65BC51FB" w:rsidR="00B5448A" w:rsidRPr="00E64C6A" w:rsidRDefault="00B5448A" w:rsidP="008F2988">
                            <w:pPr>
                              <w:pBdr>
                                <w:top w:val="single" w:sz="24" w:space="8" w:color="00A9CE" w:themeColor="accent1"/>
                                <w:bottom w:val="single" w:sz="24" w:space="8" w:color="00A9CE" w:themeColor="accent1"/>
                              </w:pBdr>
                              <w:spacing w:after="0"/>
                              <w:rPr>
                                <w:i/>
                                <w:iCs/>
                                <w:color w:val="00A9CE" w:themeColor="accent1"/>
                                <w:sz w:val="24"/>
                                <w:szCs w:val="24"/>
                              </w:rPr>
                            </w:pPr>
                            <w:r w:rsidRPr="00021AF4">
                              <w:rPr>
                                <w:i/>
                                <w:iCs/>
                                <w:color w:val="00A9CE" w:themeColor="accent1"/>
                                <w:sz w:val="24"/>
                                <w:szCs w:val="24"/>
                              </w:rPr>
                              <w:t>The percentage of employment</w:t>
                            </w:r>
                            <w:r w:rsidRPr="008F2988">
                              <w:rPr>
                                <w:i/>
                                <w:iCs/>
                                <w:color w:val="00A9CE" w:themeColor="accent1"/>
                                <w:sz w:val="24"/>
                                <w:szCs w:val="24"/>
                              </w:rPr>
                              <w:t xml:space="preserve"> in mining and</w:t>
                            </w:r>
                            <w:r>
                              <w:rPr>
                                <w:i/>
                                <w:iCs/>
                                <w:color w:val="00A9CE" w:themeColor="accent1"/>
                                <w:sz w:val="24"/>
                                <w:szCs w:val="24"/>
                              </w:rPr>
                              <w:t xml:space="preserve"> in </w:t>
                            </w:r>
                            <w:r w:rsidRPr="008F2988">
                              <w:rPr>
                                <w:i/>
                                <w:iCs/>
                                <w:color w:val="00A9CE" w:themeColor="accent1"/>
                                <w:sz w:val="24"/>
                                <w:szCs w:val="24"/>
                              </w:rPr>
                              <w:t>agriculture</w:t>
                            </w:r>
                            <w:r>
                              <w:rPr>
                                <w:i/>
                                <w:iCs/>
                                <w:color w:val="00A9CE" w:themeColor="accent1"/>
                                <w:sz w:val="24"/>
                                <w:szCs w:val="24"/>
                              </w:rPr>
                              <w:t xml:space="preserve"> have reached comparable levels.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D2AE42" id="_x0000_s1050" type="#_x0000_t202" style="position:absolute;left:0;text-align:left;margin-left:-5.05pt;margin-top:5.3pt;width:243.65pt;height:110.55pt;z-index:251815424;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" filled="f" stroked="f">
                <v:textbox style="mso-fit-shape-to-text:t">
                  <w:txbxContent>
                    <w:p w14:paraId="4A0DC43D" w14:textId="65BC51FB" w:rsidR="00B5448A" w:rsidRPr="00E64C6A" w:rsidRDefault="00B5448A" w:rsidP="008F2988">
                      <w:pPr>
                        <w:pBdr>
                          <w:top w:val="single" w:sz="24" w:space="8" w:color="00A9CE" w:themeColor="accent1"/>
                          <w:bottom w:val="single" w:sz="24" w:space="8" w:color="00A9CE" w:themeColor="accent1"/>
                        </w:pBdr>
                        <w:spacing w:after="0"/>
                        <w:rPr>
                          <w:i/>
                          <w:iCs/>
                          <w:color w:val="00A9CE" w:themeColor="accent1"/>
                          <w:sz w:val="24"/>
                          <w:szCs w:val="24"/>
                        </w:rPr>
                      </w:pPr>
                      <w:r w:rsidRPr="00021AF4">
                        <w:rPr>
                          <w:i/>
                          <w:iCs/>
                          <w:color w:val="00A9CE" w:themeColor="accent1"/>
                          <w:sz w:val="24"/>
                          <w:szCs w:val="24"/>
                        </w:rPr>
                        <w:t>The percentage of employment</w:t>
                      </w:r>
                      <w:r w:rsidRPr="008F2988">
                        <w:rPr>
                          <w:i/>
                          <w:iCs/>
                          <w:color w:val="00A9CE" w:themeColor="accent1"/>
                          <w:sz w:val="24"/>
                          <w:szCs w:val="24"/>
                        </w:rPr>
                        <w:t xml:space="preserve"> in mining and</w:t>
                      </w:r>
                      <w:r>
                        <w:rPr>
                          <w:i/>
                          <w:iCs/>
                          <w:color w:val="00A9CE" w:themeColor="accent1"/>
                          <w:sz w:val="24"/>
                          <w:szCs w:val="24"/>
                        </w:rPr>
                        <w:t xml:space="preserve"> in </w:t>
                      </w:r>
                      <w:r w:rsidRPr="008F2988">
                        <w:rPr>
                          <w:i/>
                          <w:iCs/>
                          <w:color w:val="00A9CE" w:themeColor="accent1"/>
                          <w:sz w:val="24"/>
                          <w:szCs w:val="24"/>
                        </w:rPr>
                        <w:t>agriculture</w:t>
                      </w:r>
                      <w:r>
                        <w:rPr>
                          <w:i/>
                          <w:iCs/>
                          <w:color w:val="00A9CE" w:themeColor="accent1"/>
                          <w:sz w:val="24"/>
                          <w:szCs w:val="24"/>
                        </w:rPr>
                        <w:t xml:space="preserve"> have reached comparable levels.</w:t>
                      </w:r>
                    </w:p>
                  </w:txbxContent>
                </v:textbox>
                <w10:wrap type="square" anchorx="margin"/>
              </v:shape>
            </w:pict>
          </mc:Fallback>
        </mc:AlternateContent>
      </w:r>
      <w:r w:rsidR="00A84E98">
        <w:t xml:space="preserve">Nationally the mining investment boom brought a larger percentage of the total workforce to work in the mining industry from 2006 onwards. During the same period, a decline in the </w:t>
      </w:r>
      <w:r w:rsidR="00A84E98" w:rsidRPr="006E7C2C">
        <w:t>percentage of people</w:t>
      </w:r>
      <w:r w:rsidR="00A84E98">
        <w:t xml:space="preserve"> employed in the agricultural sector occurred. In fact, whereas agriculture used to employ five times more people</w:t>
      </w:r>
      <w:r w:rsidR="00B560D1">
        <w:t xml:space="preserve"> than mining</w:t>
      </w:r>
      <w:r w:rsidR="00A84E98">
        <w:t xml:space="preserve"> out of the total workforce, </w:t>
      </w:r>
      <w:r w:rsidR="00A84E98" w:rsidRPr="0083515E">
        <w:t>o</w:t>
      </w:r>
      <w:r w:rsidR="009D029F" w:rsidRPr="0083515E">
        <w:t>ver a period of a quarter of a century, t</w:t>
      </w:r>
      <w:r w:rsidR="008F2988" w:rsidRPr="0083515E">
        <w:t xml:space="preserve">he </w:t>
      </w:r>
      <w:r w:rsidR="00021AF4" w:rsidRPr="0083515E">
        <w:t>percentage</w:t>
      </w:r>
      <w:r w:rsidR="00E35CF7" w:rsidRPr="0083515E">
        <w:t>s</w:t>
      </w:r>
      <w:r w:rsidR="00021AF4" w:rsidRPr="0083515E">
        <w:t xml:space="preserve"> of</w:t>
      </w:r>
      <w:r w:rsidR="0069727E" w:rsidRPr="0083515E">
        <w:t xml:space="preserve"> people employed</w:t>
      </w:r>
      <w:r w:rsidR="008F2988" w:rsidRPr="0083515E">
        <w:t xml:space="preserve"> in </w:t>
      </w:r>
      <w:r w:rsidR="00B560D1" w:rsidRPr="0083515E">
        <w:t>these two sectors</w:t>
      </w:r>
      <w:r w:rsidR="008F2988" w:rsidRPr="0083515E">
        <w:t xml:space="preserve"> </w:t>
      </w:r>
      <w:r w:rsidR="00021AF4" w:rsidRPr="0083515E">
        <w:t xml:space="preserve">reached </w:t>
      </w:r>
      <w:r w:rsidR="00E35CF7" w:rsidRPr="0083515E">
        <w:t>similar</w:t>
      </w:r>
      <w:r w:rsidR="00021AF4" w:rsidRPr="0083515E">
        <w:t xml:space="preserve"> levels</w:t>
      </w:r>
      <w:r w:rsidR="002B4860" w:rsidRPr="0083515E">
        <w:t>, around</w:t>
      </w:r>
      <w:r w:rsidR="009B3264" w:rsidRPr="0083515E">
        <w:t xml:space="preserve"> 2-3% each</w:t>
      </w:r>
      <w:r w:rsidR="0069727E" w:rsidRPr="0083515E">
        <w:t xml:space="preserve"> </w:t>
      </w:r>
      <w:r w:rsidR="00177299">
        <w:t xml:space="preserve">of Australian employment totals </w:t>
      </w:r>
      <w:r w:rsidR="0069727E" w:rsidRPr="0083515E">
        <w:t xml:space="preserve">(Figure </w:t>
      </w:r>
      <w:r w:rsidR="007F0C00">
        <w:t>7</w:t>
      </w:r>
      <w:r w:rsidR="00057200">
        <w:t>)</w:t>
      </w:r>
      <w:r w:rsidR="00714608">
        <w:t xml:space="preserve">. </w:t>
      </w:r>
      <w:r w:rsidR="007A7D52">
        <w:t>For regional Australia how</w:t>
      </w:r>
      <w:r w:rsidR="009D1FC0">
        <w:t xml:space="preserve">ever, agriculture still employs twice as many </w:t>
      </w:r>
      <w:r w:rsidR="007A7D52">
        <w:t>people as mining in 2017</w:t>
      </w:r>
      <w:r>
        <w:t xml:space="preserve"> </w:t>
      </w:r>
      <w:r>
        <w:fldChar w:fldCharType="begin"/>
      </w:r>
      <w:r>
        <w:instrText xml:space="preserve"> ADDIN EN.CITE &lt;EndNote&gt;&lt;Cite&gt;&lt;Author&gt;Australian Bureau of Statistics&lt;/Author&gt;&lt;Year&gt;2018&lt;/Year&gt;&lt;RecNum&gt;3597&lt;/RecNum&gt;&lt;DisplayText&gt;(Australian Bureau of Statistics, 2018b)&lt;/DisplayText&gt;&lt;record&gt;&lt;rec-number&gt;3597&lt;/rec-number&gt;&lt;foreign-keys&gt;&lt;key app="EN" db-id="vzav25azvd0fxjextfzvax229ff0apaprtda" timestamp="1526858792"&gt;3597&lt;/key&gt;&lt;/foreign-keys&gt;&lt;ref-type name="Dataset"&gt;59&lt;/ref-type&gt;&lt;contributors&gt;&lt;authors&gt;&lt;author&gt;Australian Bureau of Statistics,&lt;/author&gt;&lt;/authors&gt;&lt;secondary-authors&gt;&lt;author&gt;Australian Bureau of Statistics,&lt;/author&gt;&lt;/secondary-authors&gt;&lt;/contributors&gt;&lt;titles&gt;&lt;title&gt;6291.0.55.003 Labour Force, Australia, Detailed, Quarterly&lt;/title&gt;&lt;/titles&gt;&lt;edition&gt;March 2018&lt;/edition&gt;&lt;dates&gt;&lt;year&gt;2018&lt;/year&gt;&lt;/dates&gt;&lt;pub-location&gt;Canberra&lt;/pub-location&gt;&lt;publisher&gt;Australian Bureau of Statistics&lt;/publisher&gt;&lt;urls&gt;&lt;related-urls&gt;&lt;url&gt;http://www.abs.gov.au/AUSSTATS/abs@.nsf/DetailsPage/6291.0.55.003Aug%202017?OpenDocument&lt;/url&gt;&lt;/related-urls&gt;&lt;/urls&gt;&lt;access-date&gt;21.09.2017&lt;/access-date&gt;&lt;/record&gt;&lt;/Cite&gt;&lt;/EndNote&gt;</w:instrText>
      </w:r>
      <w:r>
        <w:fldChar w:fldCharType="separate"/>
      </w:r>
      <w:r>
        <w:rPr>
          <w:noProof/>
        </w:rPr>
        <w:t>(Australian Bureau of Statistics, 2018b)</w:t>
      </w:r>
      <w:r>
        <w:fldChar w:fldCharType="end"/>
      </w:r>
      <w:r w:rsidR="007B6DB7">
        <w:t xml:space="preserve">. </w:t>
      </w:r>
      <w:r w:rsidR="001754FF">
        <w:t>Notwithstanding this, Australia’s</w:t>
      </w:r>
      <w:r w:rsidR="008345C2">
        <w:t xml:space="preserve"> largest share of employment in regional areas is in </w:t>
      </w:r>
      <w:r w:rsidR="001754FF">
        <w:t xml:space="preserve">the services industries </w:t>
      </w:r>
      <w:r w:rsidR="008345C2">
        <w:t>with figures</w:t>
      </w:r>
      <w:r w:rsidR="001754FF">
        <w:t xml:space="preserve"> </w:t>
      </w:r>
      <w:r w:rsidR="00BD4672">
        <w:t xml:space="preserve">steadily </w:t>
      </w:r>
      <w:r w:rsidR="008345C2">
        <w:t>increasing</w:t>
      </w:r>
      <w:r w:rsidR="00CD4ED3">
        <w:t xml:space="preserve"> beyond </w:t>
      </w:r>
      <w:r w:rsidR="00BD4672">
        <w:t>5</w:t>
      </w:r>
      <w:r w:rsidR="00A75257">
        <w:t>0</w:t>
      </w:r>
      <w:r w:rsidR="001754FF">
        <w:t>% since 2009.</w:t>
      </w:r>
    </w:p>
    <w:p w14:paraId="7432CDB0" w14:textId="4F50F993" w:rsidR="008450C0" w:rsidRDefault="0075232A" w:rsidP="0097258B">
      <w:pPr>
        <w:pStyle w:val="BodyText"/>
        <w:jc w:val="both"/>
      </w:pPr>
      <w:r w:rsidRPr="0075232A">
        <w:rPr>
          <w:noProof/>
        </w:rPr>
        <w:drawing>
          <wp:inline distT="0" distB="0" distL="0" distR="0" wp14:anchorId="4FEDEED2" wp14:editId="4C1F20B9">
            <wp:extent cx="6119495" cy="2244969"/>
            <wp:effectExtent l="0" t="0" r="0" b="3175"/>
            <wp:docPr id="300" name="Picture 300" descr="This graph shows mining and agriculture employment from May 1992 to May 2018." title="Figure 7. Mining employment: Percentage of national employment in mining vs agriculture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0">
                      <a:extLst>
                        <a:ext uri="{28A0092B-C50C-407E-A947-70E740481C1C}">
                          <a14:useLocalDpi xmlns:a14="http://schemas.microsoft.com/office/drawing/2010/main" val="0"/>
                        </a:ext>
                      </a:extLst>
                    </a:blip>
                    <a:srcRect b="4008"/>
                    <a:stretch/>
                  </pic:blipFill>
                  <pic:spPr bwMode="auto">
                    <a:xfrm>
                      <a:off x="0" y="0"/>
                      <a:ext cx="6119495" cy="2244969"/>
                    </a:xfrm>
                    <a:prstGeom prst="rect">
                      <a:avLst/>
                    </a:prstGeom>
                    <a:noFill/>
                    <a:ln>
                      <a:noFill/>
                    </a:ln>
                    <a:extLst>
                      <a:ext uri="{53640926-AAD7-44D8-BBD7-CCE9431645EC}">
                        <a14:shadowObscured xmlns:a14="http://schemas.microsoft.com/office/drawing/2010/main"/>
                      </a:ext>
                    </a:extLst>
                  </pic:spPr>
                </pic:pic>
              </a:graphicData>
            </a:graphic>
          </wp:inline>
        </w:drawing>
      </w:r>
    </w:p>
    <w:p w14:paraId="7EA8FBD9" w14:textId="5A314DB3" w:rsidR="00107C66" w:rsidRDefault="00107C66" w:rsidP="00107C66">
      <w:pPr>
        <w:pStyle w:val="Caption"/>
      </w:pPr>
      <w:bookmarkStart w:id="14" w:name="_Toc515031470"/>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7</w:t>
      </w:r>
      <w:r w:rsidR="00B5448A">
        <w:rPr>
          <w:noProof/>
        </w:rPr>
        <w:fldChar w:fldCharType="end"/>
      </w:r>
      <w:r>
        <w:t>.</w:t>
      </w:r>
      <w:r w:rsidR="00AB23C3">
        <w:t xml:space="preserve"> </w:t>
      </w:r>
      <w:r w:rsidR="00DE1E73">
        <w:t>Mining employment: Percentage of national</w:t>
      </w:r>
      <w:r w:rsidR="00DE1E73" w:rsidRPr="003471BE">
        <w:t xml:space="preserve"> </w:t>
      </w:r>
      <w:r w:rsidR="00DE1E73">
        <w:t xml:space="preserve">employment </w:t>
      </w:r>
      <w:r w:rsidR="00315325">
        <w:t>in</w:t>
      </w:r>
      <w:r w:rsidR="00DE1E73">
        <w:t xml:space="preserve"> m</w:t>
      </w:r>
      <w:r w:rsidR="000C4021">
        <w:t>ining vs</w:t>
      </w:r>
      <w:r w:rsidR="008A3312">
        <w:t xml:space="preserve"> agriculture industry</w:t>
      </w:r>
      <w:bookmarkEnd w:id="14"/>
    </w:p>
    <w:p w14:paraId="0BDD0660" w14:textId="736A6BB0" w:rsidR="00750933" w:rsidRDefault="008846BC" w:rsidP="00A83DAF">
      <w:pPr>
        <w:pStyle w:val="FootnoteText"/>
      </w:pPr>
      <w:r>
        <w:t>Data s</w:t>
      </w:r>
      <w:r w:rsidR="00107C66" w:rsidRPr="00DB0972">
        <w:t>ource:</w:t>
      </w:r>
      <w:r w:rsidR="00107C66">
        <w:t xml:space="preserve"> </w:t>
      </w:r>
      <w:r w:rsidR="0075232A">
        <w:fldChar w:fldCharType="begin"/>
      </w:r>
      <w:r w:rsidR="00472DAC">
        <w:instrText xml:space="preserve"> ADDIN EN.CITE &lt;EndNote&gt;&lt;Cite AuthorYear="1"&gt;&lt;Author&gt;Australian Bureau of Statistics&lt;/Author&gt;&lt;Year&gt;2018&lt;/Year&gt;&lt;RecNum&gt;3597&lt;/RecNum&gt;&lt;DisplayText&gt;Australian Bureau of Statistics (2018b)&lt;/DisplayText&gt;&lt;record&gt;&lt;rec-number&gt;3597&lt;/rec-number&gt;&lt;foreign-keys&gt;&lt;key app="EN" db-id="vzav25azvd0fxjextfzvax229ff0apaprtda" timestamp="1526858792"&gt;3597&lt;/key&gt;&lt;/foreign-keys&gt;&lt;ref-type name="Dataset"&gt;59&lt;/ref-type&gt;&lt;contributors&gt;&lt;authors&gt;&lt;author&gt;Australian Bureau of Statistics,&lt;/author&gt;&lt;/authors&gt;&lt;secondary-authors&gt;&lt;author&gt;Australian Bureau of Statistics,&lt;/author&gt;&lt;/secondary-authors&gt;&lt;/contributors&gt;&lt;titles&gt;&lt;title&gt;6291.0.55.003 Labour Force, Australia, Detailed, Quarterly&lt;/title&gt;&lt;/titles&gt;&lt;edition&gt;March 2018&lt;/edition&gt;&lt;dates&gt;&lt;year&gt;2018&lt;/year&gt;&lt;/dates&gt;&lt;pub-location&gt;Canberra&lt;/pub-location&gt;&lt;publisher&gt;Australian Bureau of Statistics&lt;/publisher&gt;&lt;urls&gt;&lt;related-urls&gt;&lt;url&gt;http://www.abs.gov.au/AUSSTATS/abs@.nsf/DetailsPage/6291.0.55.003Aug%202017?OpenDocument&lt;/url&gt;&lt;/related-urls&gt;&lt;/urls&gt;&lt;access-date&gt;21.09.2017&lt;/access-date&gt;&lt;/record&gt;&lt;/Cite&gt;&lt;/EndNote&gt;</w:instrText>
      </w:r>
      <w:r w:rsidR="0075232A">
        <w:fldChar w:fldCharType="separate"/>
      </w:r>
      <w:r w:rsidR="00472DAC">
        <w:rPr>
          <w:noProof/>
        </w:rPr>
        <w:t>Australian Bureau of Statistics (2018b)</w:t>
      </w:r>
      <w:r w:rsidR="0075232A">
        <w:fldChar w:fldCharType="end"/>
      </w:r>
    </w:p>
    <w:p w14:paraId="65E083CC" w14:textId="7C7015D1" w:rsidR="008912A0" w:rsidRDefault="000666BC" w:rsidP="008912A0">
      <w:pPr>
        <w:pStyle w:val="BodyText"/>
        <w:jc w:val="both"/>
      </w:pPr>
      <w:r w:rsidRPr="00E77211">
        <w:t>T</w:t>
      </w:r>
      <w:r w:rsidR="008912A0" w:rsidRPr="00E77211">
        <w:t xml:space="preserve">here are 73 local government areas (LGAs) </w:t>
      </w:r>
      <w:r w:rsidRPr="00E77211">
        <w:t xml:space="preserve">across Australia </w:t>
      </w:r>
      <w:r w:rsidR="008912A0" w:rsidRPr="00E77211">
        <w:t>where the mining industry is a top five employer</w:t>
      </w:r>
      <w:r w:rsidRPr="00E77211">
        <w:t xml:space="preserve">, according to 2016 </w:t>
      </w:r>
      <w:r w:rsidR="000E53C3">
        <w:t xml:space="preserve">Australian </w:t>
      </w:r>
      <w:r w:rsidRPr="00E77211">
        <w:t xml:space="preserve">Census data (Figure </w:t>
      </w:r>
      <w:r w:rsidR="007F0C00">
        <w:t>8</w:t>
      </w:r>
      <w:r w:rsidRPr="00E77211">
        <w:t>)</w:t>
      </w:r>
      <w:r w:rsidR="009C74C3" w:rsidRPr="00E77211">
        <w:t xml:space="preserve">. </w:t>
      </w:r>
      <w:r w:rsidR="00E77211" w:rsidRPr="00E77211">
        <w:t>Mostly these areas spatially coincide with traditional mining regions in non-metropolitan areas, but exceptions also occur. Notably</w:t>
      </w:r>
      <w:r w:rsidR="00CD4035">
        <w:t>,</w:t>
      </w:r>
      <w:r w:rsidR="00E77211" w:rsidRPr="00E77211">
        <w:t xml:space="preserve"> in Western Australia there are five LGAs which have some significant overlap with Perth’s metropolitan area.</w:t>
      </w:r>
      <w:r w:rsidR="00E77211" w:rsidRPr="00E77211">
        <w:rPr>
          <w:rStyle w:val="FootnoteReference"/>
        </w:rPr>
        <w:footnoteReference w:id="10"/>
      </w:r>
      <w:r w:rsidR="00E77211" w:rsidRPr="00E77211">
        <w:t xml:space="preserve"> </w:t>
      </w:r>
      <w:r w:rsidR="00EC0561">
        <w:t>In 23 of</w:t>
      </w:r>
      <w:r w:rsidR="00E77211" w:rsidRPr="00E77211">
        <w:t xml:space="preserve"> the 73 LGAs </w:t>
      </w:r>
      <w:r w:rsidR="009C74C3" w:rsidRPr="00E77211">
        <w:t xml:space="preserve">mining is the </w:t>
      </w:r>
      <w:r w:rsidR="00E77211" w:rsidRPr="00E77211">
        <w:t>largest</w:t>
      </w:r>
      <w:r w:rsidR="009C74C3" w:rsidRPr="00E77211">
        <w:t xml:space="preserve"> employment sector.</w:t>
      </w:r>
    </w:p>
    <w:p w14:paraId="4E312B68" w14:textId="7C243860" w:rsidR="007F0C00" w:rsidRDefault="007F0C00" w:rsidP="007F0C00">
      <w:pPr>
        <w:pStyle w:val="BodyText"/>
        <w:keepNext/>
        <w:jc w:val="both"/>
      </w:pPr>
      <w:r>
        <w:rPr>
          <w:noProof/>
        </w:rPr>
        <w:lastRenderedPageBreak/>
        <w:drawing>
          <wp:inline distT="0" distB="0" distL="0" distR="0" wp14:anchorId="1CB7B1EA" wp14:editId="223DD460">
            <wp:extent cx="6119495" cy="4325620"/>
            <wp:effectExtent l="0" t="0" r="0" b="0"/>
            <wp:docPr id="289" name="Picture 289" descr="This map of Australia highlights local government areas where mining is a top 5 employment sector. " title="Figure 8. LGAs where employment in 2016 in the mining sector was among the top five employment s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mploymentLGAMiningTop5_20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9495" cy="4325620"/>
                    </a:xfrm>
                    <a:prstGeom prst="rect">
                      <a:avLst/>
                    </a:prstGeom>
                    <a:noFill/>
                    <a:ln>
                      <a:noFill/>
                    </a:ln>
                  </pic:spPr>
                </pic:pic>
              </a:graphicData>
            </a:graphic>
          </wp:inline>
        </w:drawing>
      </w:r>
    </w:p>
    <w:p w14:paraId="4F5B26F9" w14:textId="77777777" w:rsidR="007F0C00" w:rsidRDefault="007F0C00" w:rsidP="007F0C00">
      <w:pPr>
        <w:pStyle w:val="Caption"/>
        <w:jc w:val="both"/>
      </w:pPr>
      <w:bookmarkStart w:id="15" w:name="_Toc515031471"/>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8</w:t>
      </w:r>
      <w:r w:rsidR="00B5448A">
        <w:rPr>
          <w:noProof/>
        </w:rPr>
        <w:fldChar w:fldCharType="end"/>
      </w:r>
      <w:r>
        <w:t>. LGAs where employment in 2016 in the mining sector was among the top five employment sectors</w:t>
      </w:r>
      <w:bookmarkEnd w:id="15"/>
    </w:p>
    <w:p w14:paraId="76F2F166" w14:textId="647C8338" w:rsidR="007F0C00" w:rsidRPr="008912A0" w:rsidRDefault="007F0C00" w:rsidP="007F0C00">
      <w:pPr>
        <w:pStyle w:val="BodyText"/>
      </w:pPr>
      <w:r w:rsidRPr="008912A0">
        <w:rPr>
          <w:sz w:val="16"/>
          <w:szCs w:val="20"/>
        </w:rPr>
        <w:t xml:space="preserve">Note: </w:t>
      </w:r>
      <w:r>
        <w:rPr>
          <w:sz w:val="16"/>
          <w:szCs w:val="20"/>
        </w:rPr>
        <w:t>Employment percentages in mining calculated at local government area (LGA) level. Data s</w:t>
      </w:r>
      <w:r w:rsidRPr="008912A0">
        <w:rPr>
          <w:sz w:val="16"/>
          <w:szCs w:val="20"/>
        </w:rPr>
        <w:t>ource</w:t>
      </w:r>
      <w:r>
        <w:rPr>
          <w:sz w:val="16"/>
          <w:szCs w:val="20"/>
        </w:rPr>
        <w:t xml:space="preserve">: </w:t>
      </w:r>
      <w:r>
        <w:rPr>
          <w:sz w:val="16"/>
          <w:szCs w:val="20"/>
        </w:rPr>
        <w:fldChar w:fldCharType="begin"/>
      </w:r>
      <w:r w:rsidR="00472DAC">
        <w:rPr>
          <w:sz w:val="16"/>
          <w:szCs w:val="20"/>
        </w:rPr>
        <w:instrText xml:space="preserve"> ADDIN EN.CITE &lt;EndNote&gt;&lt;Cite AuthorYear="1"&gt;&lt;Author&gt;Australian Bureau of Statistics&lt;/Author&gt;&lt;Year&gt;2016&lt;/Year&gt;&lt;RecNum&gt;2997&lt;/RecNum&gt;&lt;DisplayText&gt;Australian Bureau of Statistics (2016c)&lt;/DisplayText&gt;&lt;record&gt;&lt;rec-number&gt;2997&lt;/rec-number&gt;&lt;foreign-keys&gt;&lt;key app="EN" db-id="vzav25azvd0fxjextfzvax229ff0apaprtda" timestamp="1505697357"&gt;2997&lt;/key&gt;&lt;/foreign-keys&gt;&lt;ref-type name="Dataset"&gt;59&lt;/ref-type&gt;&lt;contributors&gt;&lt;authors&gt;&lt;author&gt;Australian Bureau of Statistics,&lt;/author&gt;&lt;/authors&gt;&lt;secondary-authors&gt;&lt;author&gt;Australian Bureau of Statistics,&lt;/author&gt;&lt;/secondary-authors&gt;&lt;/contributors&gt;&lt;titles&gt;&lt;title&gt;Australian Census 2016: DataPacks&lt;/title&gt;&lt;/titles&gt;&lt;edition&gt;2016&lt;/edition&gt;&lt;section&gt;2016&lt;/section&gt;&lt;dates&gt;&lt;year&gt;2016&lt;/year&gt;&lt;pub-dates&gt;&lt;date&gt;20.08.2017&lt;/date&gt;&lt;/pub-dates&gt;&lt;/dates&gt;&lt;pub-location&gt;Canberra&lt;/pub-location&gt;&lt;urls&gt;&lt;related-urls&gt;&lt;url&gt;https://datapacks.censusdata.abs.gov.au/datapacks/&lt;/url&gt;&lt;/related-urls&gt;&lt;/urls&gt;&lt;access-date&gt;14.08.16&lt;/access-date&gt;&lt;/record&gt;&lt;/Cite&gt;&lt;/EndNote&gt;</w:instrText>
      </w:r>
      <w:r>
        <w:rPr>
          <w:sz w:val="16"/>
          <w:szCs w:val="20"/>
        </w:rPr>
        <w:fldChar w:fldCharType="separate"/>
      </w:r>
      <w:r w:rsidR="00472DAC">
        <w:rPr>
          <w:noProof/>
          <w:sz w:val="16"/>
          <w:szCs w:val="20"/>
        </w:rPr>
        <w:t>Australian Bureau of Statistics (2016c)</w:t>
      </w:r>
      <w:r>
        <w:rPr>
          <w:sz w:val="16"/>
          <w:szCs w:val="20"/>
        </w:rPr>
        <w:fldChar w:fldCharType="end"/>
      </w:r>
    </w:p>
    <w:p w14:paraId="7ED9C197" w14:textId="0F673B8F" w:rsidR="00AB5BB8" w:rsidRDefault="007D5ACD" w:rsidP="001E73FF">
      <w:pPr>
        <w:pStyle w:val="BodyText"/>
        <w:jc w:val="both"/>
      </w:pPr>
      <w:r w:rsidRPr="007D5ACD">
        <w:t xml:space="preserve">In terms of trends, there is some variation in employment patterns. For example, parts of Western Australia </w:t>
      </w:r>
      <w:r w:rsidR="00F96D04">
        <w:t>grew</w:t>
      </w:r>
      <w:r w:rsidRPr="006A5EC7">
        <w:t xml:space="preserve"> </w:t>
      </w:r>
      <w:r w:rsidR="00AB77CB" w:rsidRPr="006A5EC7">
        <w:t>(e.g. G</w:t>
      </w:r>
      <w:r w:rsidRPr="006A5EC7">
        <w:t>oldfields)</w:t>
      </w:r>
      <w:r w:rsidRPr="007D5ACD">
        <w:t xml:space="preserve"> and parts of Queensland experienc</w:t>
      </w:r>
      <w:r w:rsidR="00F96D04">
        <w:t>ed</w:t>
      </w:r>
      <w:r w:rsidRPr="007D5ACD">
        <w:t xml:space="preserve"> reduced </w:t>
      </w:r>
      <w:r w:rsidR="00AB77CB">
        <w:t xml:space="preserve">mining </w:t>
      </w:r>
      <w:r w:rsidRPr="007D5ACD">
        <w:t xml:space="preserve">employment (e.g. Mt Isa) </w:t>
      </w:r>
      <w:r w:rsidR="00AB77CB">
        <w:t xml:space="preserve">for 2011–2016 </w:t>
      </w:r>
      <w:r w:rsidRPr="007D5ACD">
        <w:t xml:space="preserve">suggesting they </w:t>
      </w:r>
      <w:r w:rsidR="00F96D04">
        <w:t>were</w:t>
      </w:r>
      <w:r w:rsidR="00F96D04" w:rsidRPr="007D5ACD">
        <w:t xml:space="preserve"> </w:t>
      </w:r>
      <w:r w:rsidR="001E73FF" w:rsidRPr="007D5ACD">
        <w:t xml:space="preserve">more affected by the downturn in </w:t>
      </w:r>
      <w:r w:rsidR="006F2342" w:rsidRPr="007D5ACD">
        <w:t>mining</w:t>
      </w:r>
      <w:r w:rsidR="001E73FF" w:rsidRPr="007D5ACD">
        <w:t xml:space="preserve"> commodity prices</w:t>
      </w:r>
      <w:r w:rsidR="00BC6302">
        <w:t>,</w:t>
      </w:r>
      <w:r w:rsidR="001E73FF" w:rsidRPr="007D5ACD">
        <w:t xml:space="preserve"> </w:t>
      </w:r>
      <w:r w:rsidR="00BC6302">
        <w:t xml:space="preserve">the </w:t>
      </w:r>
      <w:r w:rsidR="001E73FF" w:rsidRPr="007D5ACD">
        <w:t>decline in ore quality</w:t>
      </w:r>
      <w:r w:rsidR="005A3FF5">
        <w:t>,</w:t>
      </w:r>
      <w:r w:rsidR="001E73FF" w:rsidRPr="007D5ACD">
        <w:t xml:space="preserve"> and </w:t>
      </w:r>
      <w:r w:rsidR="003854E4">
        <w:t xml:space="preserve">other factors </w:t>
      </w:r>
      <w:r w:rsidR="001E73FF" w:rsidRPr="007D5ACD">
        <w:fldChar w:fldCharType="begin"/>
      </w:r>
      <w:r w:rsidR="001E73FF" w:rsidRPr="007D5ACD">
        <w:instrText xml:space="preserve"> ADDIN EN.CITE &lt;EndNote&gt;&lt;Cite&gt;&lt;Author&gt;Commission&lt;/Author&gt;&lt;Year&gt;2017&lt;/Year&gt;&lt;RecNum&gt;2906&lt;/RecNum&gt;&lt;DisplayText&gt;(Productivity Commission, 2017)&lt;/DisplayText&gt;&lt;record&gt;&lt;rec-number&gt;2906&lt;/rec-number&gt;&lt;foreign-keys&gt;&lt;key app="EN" db-id="vzav25azvd0fxjextfzvax229ff0apaprtda" timestamp="1502146836"&gt;2906&lt;/key&gt;&lt;/foreign-keys&gt;&lt;ref-type name="Report"&gt;27&lt;/ref-type&gt;&lt;contributors&gt;&lt;authors&gt;&lt;author&gt;Productivity Commission,&lt;/author&gt;&lt;/authors&gt;&lt;/contributors&gt;&lt;titles&gt;&lt;title&gt;Transitioning Regional Economies&lt;/title&gt;&lt;/titles&gt;&lt;edition&gt;Initial Report&lt;/edition&gt;&lt;dates&gt;&lt;year&gt;2017&lt;/year&gt;&lt;pub-dates&gt;&lt;date&gt;04.2017&lt;/date&gt;&lt;/pub-dates&gt;&lt;/dates&gt;&lt;pub-location&gt;Canberra, Australia&lt;/pub-location&gt;&lt;publisher&gt;Productivity Commission&lt;/publisher&gt;&lt;urls&gt;&lt;pdf-urls&gt;&lt;url&gt;file://C:\Users\por083\Documents\EndNote\20170808-LP-Lib.Data\PDF\PC_April2017 Transitioning regional economies_initial report.pdf&lt;/url&gt;&lt;/pdf-urls&gt;&lt;/urls&gt;&lt;/record&gt;&lt;/Cite&gt;&lt;/EndNote&gt;</w:instrText>
      </w:r>
      <w:r w:rsidR="001E73FF" w:rsidRPr="007D5ACD">
        <w:fldChar w:fldCharType="separate"/>
      </w:r>
      <w:r w:rsidR="001E73FF" w:rsidRPr="007D5ACD">
        <w:rPr>
          <w:noProof/>
        </w:rPr>
        <w:t>(Productivity Commission, 2017)</w:t>
      </w:r>
      <w:r w:rsidR="001E73FF" w:rsidRPr="007D5ACD">
        <w:fldChar w:fldCharType="end"/>
      </w:r>
      <w:r w:rsidR="001E73FF" w:rsidRPr="007D5ACD">
        <w:t>.</w:t>
      </w:r>
      <w:r w:rsidR="00AB77CB">
        <w:rPr>
          <w:rStyle w:val="FootnoteReference"/>
        </w:rPr>
        <w:footnoteReference w:id="11"/>
      </w:r>
      <w:r w:rsidR="001E73FF" w:rsidRPr="007D5ACD">
        <w:t xml:space="preserve"> </w:t>
      </w:r>
      <w:r w:rsidR="00BC6302" w:rsidRPr="0083515E">
        <w:t xml:space="preserve">The reduction in employment </w:t>
      </w:r>
      <w:r w:rsidR="003854E4" w:rsidRPr="0083515E">
        <w:t>could</w:t>
      </w:r>
      <w:r w:rsidR="006236B7" w:rsidRPr="0083515E">
        <w:t xml:space="preserve"> partly be related to </w:t>
      </w:r>
      <w:r w:rsidR="00BC6302" w:rsidRPr="0083515E">
        <w:t xml:space="preserve">technological change </w:t>
      </w:r>
      <w:r w:rsidR="006236B7" w:rsidRPr="0083515E">
        <w:t xml:space="preserve">occurring </w:t>
      </w:r>
      <w:r w:rsidR="00BC6302" w:rsidRPr="0083515E">
        <w:t>in mining processes.</w:t>
      </w:r>
      <w:r w:rsidR="008F0E13" w:rsidRPr="0083515E">
        <w:t xml:space="preserve"> </w:t>
      </w:r>
      <w:r w:rsidR="006236B7" w:rsidRPr="0083515E">
        <w:t>Due to reliance on low skilled employment</w:t>
      </w:r>
      <w:r w:rsidR="00BC6302" w:rsidRPr="0083515E">
        <w:t>, v</w:t>
      </w:r>
      <w:r w:rsidR="001E73FF" w:rsidRPr="0083515E">
        <w:t xml:space="preserve">ery remote communities can be </w:t>
      </w:r>
      <w:r w:rsidR="00F96D04" w:rsidRPr="0083515E">
        <w:t>among</w:t>
      </w:r>
      <w:r w:rsidR="001E73FF" w:rsidRPr="0083515E">
        <w:t xml:space="preserve"> those most affected </w:t>
      </w:r>
      <w:r w:rsidR="005A3FF5" w:rsidRPr="0083515E">
        <w:t xml:space="preserve">by </w:t>
      </w:r>
      <w:r w:rsidR="007C66B1" w:rsidRPr="0083515E">
        <w:t xml:space="preserve">the changes towards </w:t>
      </w:r>
      <w:r w:rsidR="00BC6302" w:rsidRPr="0083515E">
        <w:t>more efficient,</w:t>
      </w:r>
      <w:r w:rsidR="001E73FF" w:rsidRPr="0083515E">
        <w:t xml:space="preserve"> automated technolo</w:t>
      </w:r>
      <w:r w:rsidR="00BC6302" w:rsidRPr="0083515E">
        <w:t xml:space="preserve">gies and integrated processes. </w:t>
      </w:r>
      <w:r w:rsidR="000E53C3">
        <w:t xml:space="preserve">Employment in areas with low economic diversity, where the mining industry plays a key role, can have </w:t>
      </w:r>
      <w:r w:rsidR="006236B7" w:rsidRPr="0083515E">
        <w:t>increase</w:t>
      </w:r>
      <w:r w:rsidR="000E53C3">
        <w:t>d</w:t>
      </w:r>
      <w:r w:rsidR="006236B7" w:rsidRPr="0083515E">
        <w:t xml:space="preserve"> exposure to automation in the industry and to any </w:t>
      </w:r>
      <w:r w:rsidR="007C66B1" w:rsidRPr="0083515E">
        <w:t xml:space="preserve">potential </w:t>
      </w:r>
      <w:r w:rsidR="006236B7" w:rsidRPr="0083515E">
        <w:t>downturn in the sector</w:t>
      </w:r>
      <w:r w:rsidR="001E73FF" w:rsidRPr="0083515E">
        <w:t xml:space="preserve"> </w:t>
      </w:r>
      <w:r w:rsidR="001E73FF" w:rsidRPr="0083515E">
        <w:fldChar w:fldCharType="begin"/>
      </w:r>
      <w:r w:rsidR="001E73FF" w:rsidRPr="0083515E">
        <w:instrText xml:space="preserve"> ADDIN EN.CITE &lt;EndNote&gt;&lt;Cite&gt;&lt;Author&gt;Robertson&lt;/Author&gt;&lt;Year&gt;2017&lt;/Year&gt;&lt;RecNum&gt;2992&lt;/RecNum&gt;&lt;DisplayText&gt;(Robertson et al., 2017)&lt;/DisplayText&gt;&lt;record&gt;&lt;rec-number&gt;2992&lt;/rec-number&gt;&lt;foreign-keys&gt;&lt;key app="EN" db-id="vzav25azvd0fxjextfzvax229ff0apaprtda" timestamp="1505189543"&gt;2992&lt;/key&gt;&lt;/foreign-keys&gt;&lt;ref-type name="Journal Article"&gt;17&lt;/ref-type&gt;&lt;contributors&gt;&lt;authors&gt;&lt;author&gt;Robertson, Stuart Andrew&lt;/author&gt;&lt;author&gt;Blackwell, Boyd Dirk&lt;/author&gt;&lt;author&gt;McFarlane, James Alexander&lt;/author&gt;&lt;/authors&gt;&lt;/contributors&gt;&lt;titles&gt;&lt;title&gt;The viability of remote mining communities: insights from community perceptions and employment impact assessments&lt;/title&gt;&lt;secondary-title&gt;Impact Assessment and Project Appraisal&lt;/secondary-title&gt;&lt;/titles&gt;&lt;periodical&gt;&lt;full-title&gt;Impact Assessment and Project Appraisal&lt;/full-title&gt;&lt;/periodical&gt;&lt;pages&gt;1-15&lt;/pages&gt;&lt;dates&gt;&lt;year&gt;2017&lt;/year&gt;&lt;/dates&gt;&lt;publisher&gt;Taylor &amp;amp; Francis&lt;/publisher&gt;&lt;isbn&gt;1461-5517&lt;/isbn&gt;&lt;urls&gt;&lt;related-urls&gt;&lt;url&gt;http://dx.doi.org/10.1080/14615517.2017.1354640&lt;/url&gt;&lt;/related-urls&gt;&lt;pdf-urls&gt;&lt;url&gt;file://C:\Users\por083\Documents\EndNote\20170808-LP-Lib.Data\PDF\Robertson-etal-2017-ViabilityRemoteMiningcommunities.pdf&lt;/url&gt;&lt;/pdf-urls&gt;&lt;/urls&gt;&lt;electronic-resource-num&gt;10.1080/14615517.2017.1354640&lt;/electronic-resource-num&gt;&lt;/record&gt;&lt;/Cite&gt;&lt;/EndNote&gt;</w:instrText>
      </w:r>
      <w:r w:rsidR="001E73FF" w:rsidRPr="0083515E">
        <w:fldChar w:fldCharType="separate"/>
      </w:r>
      <w:r w:rsidR="001E73FF" w:rsidRPr="0083515E">
        <w:rPr>
          <w:noProof/>
        </w:rPr>
        <w:t>(Robertson et al., 2017)</w:t>
      </w:r>
      <w:r w:rsidR="001E73FF" w:rsidRPr="0083515E">
        <w:fldChar w:fldCharType="end"/>
      </w:r>
      <w:r w:rsidR="001E73FF" w:rsidRPr="0083515E">
        <w:t>.</w:t>
      </w:r>
    </w:p>
    <w:p w14:paraId="1FBD315B" w14:textId="3B7450F4" w:rsidR="00B460A3" w:rsidRDefault="00976895" w:rsidP="00057200">
      <w:pPr>
        <w:pStyle w:val="BodyText"/>
        <w:jc w:val="both"/>
      </w:pPr>
      <w:r w:rsidRPr="006E7C2C">
        <w:t>Unconventional fossil fuels such as shale gas, shale oil and coal seam gas (CSG, also known as coal-bed methane) provide an example of the changes in the lifecycle of mining operations which can underlie employment figures. Instead of a single location of extraction, the cycle of exploration for coal seam gas relies on multiple (thousands</w:t>
      </w:r>
      <w:r>
        <w:t xml:space="preserve"> of</w:t>
      </w:r>
      <w:r w:rsidRPr="006E7C2C">
        <w:t>) extraction points over a wider area</w:t>
      </w:r>
      <w:r>
        <w:t xml:space="preserve"> </w:t>
      </w:r>
      <w:r w:rsidRPr="008A7440">
        <w:fldChar w:fldCharType="begin"/>
      </w:r>
      <w:r>
        <w:instrText xml:space="preserve"> ADDIN EN.CITE &lt;EndNote&gt;&lt;Cite&gt;&lt;Author&gt;Measham&lt;/Author&gt;&lt;Year&gt;2016&lt;/Year&gt;&lt;RecNum&gt;2900&lt;/RecNum&gt;&lt;DisplayText&gt;(Measham et al., 2016)&lt;/DisplayText&gt;&lt;record&gt;&lt;rec-number&gt;2900&lt;/rec-number&gt;&lt;foreign-keys&gt;&lt;key app="EN" db-id="vzav25azvd0fxjextfzvax229ff0apaprtda" timestamp="1502078832"&gt;2900&lt;/key&gt;&lt;/foreign-keys&gt;&lt;ref-type name="Journal Article"&gt;17&lt;/ref-type&gt;&lt;contributors&gt;&lt;authors&gt;&lt;author&gt;Measham, Thomas G.&lt;/author&gt;&lt;author&gt;Fleming, David A.&lt;/author&gt;&lt;author&gt;Schandl, Heinz&lt;/author&gt;&lt;/authors&gt;&lt;/contributors&gt;&lt;titles&gt;&lt;title&gt;A conceptual model of the socioeconomic impacts of unconventional fossil fuel extraction&lt;/title&gt;&lt;secondary-title&gt;Global Environmental Change&lt;/secondary-title&gt;&lt;/titles&gt;&lt;periodical&gt;&lt;full-title&gt;Global Environmental Change&lt;/full-title&gt;&lt;/periodical&gt;&lt;pages&gt;101-110&lt;/pages&gt;&lt;volume&gt;36&lt;/volume&gt;&lt;keywords&gt;&lt;keyword&gt;Unconventional energy&lt;/keyword&gt;&lt;keyword&gt;Shale&lt;/keyword&gt;&lt;keyword&gt;Community impacts&lt;/keyword&gt;&lt;keyword&gt;Dialog&lt;/keyword&gt;&lt;keyword&gt;Governance&lt;/keyword&gt;&lt;/keywords&gt;&lt;dates&gt;&lt;year&gt;2016&lt;/year&gt;&lt;pub-dates&gt;&lt;date&gt;2016/01/01/&lt;/date&gt;&lt;/pub-dates&gt;&lt;/dates&gt;&lt;isbn&gt;0959-3780&lt;/isbn&gt;&lt;urls&gt;&lt;related-urls&gt;&lt;url&gt;http://www.sciencedirect.com/science/article/pii/S095937801530073X&lt;/url&gt;&lt;/related-urls&gt;&lt;/urls&gt;&lt;electronic-resource-num&gt;10.1016/j.gloenvcha.2015.12.002&lt;/electronic-resource-num&gt;&lt;/record&gt;&lt;/Cite&gt;&lt;/EndNote&gt;</w:instrText>
      </w:r>
      <w:r w:rsidRPr="008A7440">
        <w:fldChar w:fldCharType="separate"/>
      </w:r>
      <w:r w:rsidRPr="008A7440">
        <w:rPr>
          <w:noProof/>
        </w:rPr>
        <w:t>(Measham et al., 2016)</w:t>
      </w:r>
      <w:r w:rsidRPr="008A7440">
        <w:fldChar w:fldCharType="end"/>
      </w:r>
      <w:r w:rsidRPr="008A7440">
        <w:t>. Research in the United States suggests that the construction</w:t>
      </w:r>
      <w:r>
        <w:t xml:space="preserve"> </w:t>
      </w:r>
      <w:r w:rsidRPr="006E7C2C">
        <w:t xml:space="preserve">phase </w:t>
      </w:r>
      <w:r>
        <w:t xml:space="preserve">of CSG may </w:t>
      </w:r>
      <w:r w:rsidRPr="006E7C2C">
        <w:t xml:space="preserve">be shorter and less distinguishable from the operational phase and the processes more reactive to market conditions, starting/stopping and moving to other locations more frequently </w:t>
      </w:r>
      <w:r w:rsidRPr="006E7C2C">
        <w:fldChar w:fldCharType="begin">
          <w:fldData xml:space="preserve">PEVuZE5vdGU+PENpdGU+PEF1dGhvcj5KYWNxdWV0PC9BdXRob3I+PFllYXI+MjAxNDwvWWVhcj48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=
</w:fldData>
        </w:fldChar>
      </w:r>
      <w:r>
        <w:instrText xml:space="preserve"> ADDIN EN.CITE </w:instrText>
      </w:r>
      <w:r>
        <w:fldChar w:fldCharType="begin">
          <w:fldData xml:space="preserve">PEVuZE5vdGU+PENpdGU+PEF1dGhvcj5KYWNxdWV0PC9BdXRob3I+PFllYXI+MjAxNDwvWWVhcj48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=
</w:fldData>
        </w:fldChar>
      </w:r>
      <w:r>
        <w:instrText xml:space="preserve"> ADDIN EN.CITE.DATA </w:instrText>
      </w:r>
      <w:r>
        <w:fldChar w:fldCharType="end"/>
      </w:r>
      <w:r w:rsidRPr="006E7C2C">
        <w:fldChar w:fldCharType="separate"/>
      </w:r>
      <w:r>
        <w:rPr>
          <w:noProof/>
        </w:rPr>
        <w:t xml:space="preserve">(Fernando and Cooley, </w:t>
      </w:r>
      <w:r>
        <w:rPr>
          <w:noProof/>
        </w:rPr>
        <w:lastRenderedPageBreak/>
        <w:t>2016; Jacquet and Kay, 2014)</w:t>
      </w:r>
      <w:r w:rsidRPr="006E7C2C">
        <w:fldChar w:fldCharType="end"/>
      </w:r>
      <w:r w:rsidRPr="006E7C2C">
        <w:t>.</w:t>
      </w:r>
      <w:r>
        <w:t xml:space="preserve"> </w:t>
      </w:r>
      <w:r w:rsidRPr="0083515E">
        <w:t xml:space="preserve">This means fluctuations in mining employment occur more frequently and local </w:t>
      </w:r>
      <w:r>
        <w:t xml:space="preserve">businesses </w:t>
      </w:r>
      <w:r w:rsidRPr="0083515E">
        <w:t xml:space="preserve">need to be prepared for </w:t>
      </w:r>
      <w:r w:rsidR="005E35A2">
        <w:t xml:space="preserve">the </w:t>
      </w:r>
      <w:r w:rsidRPr="0083515E">
        <w:t xml:space="preserve">possibility of </w:t>
      </w:r>
      <w:r w:rsidR="005E35A2">
        <w:t xml:space="preserve">a </w:t>
      </w:r>
      <w:r w:rsidRPr="0083515E">
        <w:t>rapid change</w:t>
      </w:r>
      <w:r>
        <w:t xml:space="preserve"> and adjust their supply chains and cost structures in accordance wit</w:t>
      </w:r>
      <w:r w:rsidR="00030E13">
        <w:t>h changing industry conditions.</w:t>
      </w:r>
    </w:p>
    <w:p w14:paraId="4209E1FF" w14:textId="68DDA2E7" w:rsidR="00DE20BB" w:rsidRDefault="00A6313D" w:rsidP="00D22156">
      <w:pPr>
        <w:pStyle w:val="Heading2"/>
      </w:pPr>
      <w:bookmarkStart w:id="16" w:name="_Toc515031455"/>
      <w:r>
        <w:t>Distribution</w:t>
      </w:r>
      <w:r w:rsidR="009A285A">
        <w:t xml:space="preserve"> of </w:t>
      </w:r>
      <w:r>
        <w:t xml:space="preserve">income </w:t>
      </w:r>
      <w:r w:rsidR="006829D3">
        <w:t>change</w:t>
      </w:r>
      <w:bookmarkEnd w:id="16"/>
    </w:p>
    <w:p w14:paraId="34588DFB" w14:textId="0B8A8E2A" w:rsidR="00DB34BD" w:rsidRDefault="00C67D93" w:rsidP="002D2464">
      <w:pPr>
        <w:pStyle w:val="BodyText"/>
        <w:jc w:val="both"/>
      </w:pPr>
      <w:r>
        <w:t xml:space="preserve">Research </w:t>
      </w:r>
      <w:r w:rsidR="008530F2">
        <w:t>in Australia</w:t>
      </w:r>
      <w:r>
        <w:t xml:space="preserve"> has confirmed </w:t>
      </w:r>
      <w:r w:rsidR="00DD1F3A">
        <w:t xml:space="preserve">that </w:t>
      </w:r>
      <w:r>
        <w:t xml:space="preserve">mining localities can </w:t>
      </w:r>
      <w:r w:rsidR="00AC3CC0">
        <w:t>experience</w:t>
      </w:r>
      <w:r w:rsidR="00113317">
        <w:t xml:space="preserve"> </w:t>
      </w:r>
      <w:r w:rsidR="00D57042">
        <w:t xml:space="preserve">higher incomes and </w:t>
      </w:r>
      <w:r w:rsidR="00D57042" w:rsidRPr="00777042">
        <w:rPr>
          <w:color w:val="auto"/>
        </w:rPr>
        <w:t>reduced income inequality</w:t>
      </w:r>
      <w:r w:rsidR="00123E70" w:rsidRPr="00777042">
        <w:rPr>
          <w:color w:val="auto"/>
        </w:rPr>
        <w:t xml:space="preserve"> between residents of the same region</w:t>
      </w:r>
      <w:r w:rsidR="00D57042" w:rsidRPr="00777042">
        <w:rPr>
          <w:color w:val="auto"/>
        </w:rPr>
        <w:t xml:space="preserve"> </w:t>
      </w:r>
      <w:r w:rsidR="008530F2" w:rsidRPr="00777042">
        <w:t>while the</w:t>
      </w:r>
      <w:r w:rsidR="00D57042" w:rsidRPr="00777042">
        <w:t xml:space="preserve"> mining </w:t>
      </w:r>
      <w:r w:rsidR="008530F2" w:rsidRPr="00777042">
        <w:t>sector is active in</w:t>
      </w:r>
      <w:r w:rsidR="008530F2">
        <w:t xml:space="preserve"> the region</w:t>
      </w:r>
      <w:r w:rsidR="00777042">
        <w:t xml:space="preserve"> (Fleming and </w:t>
      </w:r>
      <w:proofErr w:type="spellStart"/>
      <w:r w:rsidR="00777042">
        <w:t>Measham</w:t>
      </w:r>
      <w:proofErr w:type="spellEnd"/>
      <w:r w:rsidR="00777042">
        <w:t xml:space="preserve"> 2015)</w:t>
      </w:r>
      <w:r w:rsidR="00F96D04">
        <w:t>.</w:t>
      </w:r>
      <w:r w:rsidR="008530F2">
        <w:t xml:space="preserve"> </w:t>
      </w:r>
      <w:r w:rsidR="00777042">
        <w:t>Growth in th</w:t>
      </w:r>
      <w:r w:rsidR="002D3665">
        <w:t xml:space="preserve">e mining </w:t>
      </w:r>
      <w:r w:rsidR="00777042">
        <w:t xml:space="preserve">sector since the turn of the century </w:t>
      </w:r>
      <w:r w:rsidR="002D3665">
        <w:t xml:space="preserve">is known to have had positive income effects, with estimates of a 13% increase in real per capita household income </w:t>
      </w:r>
      <w:r w:rsidR="00CA4086">
        <w:t xml:space="preserve">from about 2000 </w:t>
      </w:r>
      <w:r w:rsidR="00F96D04">
        <w:t xml:space="preserve">to </w:t>
      </w:r>
      <w:r w:rsidR="00CA4086">
        <w:t>2013</w:t>
      </w:r>
      <w:r w:rsidR="00677505">
        <w:t xml:space="preserve"> </w:t>
      </w:r>
      <w:r w:rsidR="002D3665">
        <w:fldChar w:fldCharType="begin"/>
      </w:r>
      <w:r w:rsidR="002D3665">
        <w:instrText xml:space="preserve"> ADDIN EN.CITE &lt;EndNote&gt;&lt;Cite&gt;&lt;Author&gt;Downes&lt;/Author&gt;&lt;Year&gt;2014&lt;/Year&gt;&lt;RecNum&gt;2888&lt;/RecNum&gt;&lt;DisplayText&gt;(Downes et al., 2014)&lt;/DisplayText&gt;&lt;record&gt;&lt;rec-number&gt;2888&lt;/rec-number&gt;&lt;foreign-keys&gt;&lt;key app="EN" db-id="vzav25azvd0fxjextfzvax229ff0apaprtda" timestamp="1502078831"&gt;2888&lt;/key&gt;&lt;/foreign-keys&gt;&lt;ref-type name="Electronic Article"&gt;43&lt;/ref-type&gt;&lt;contributors&gt;&lt;authors&gt;&lt;author&gt;Downes, Peter&lt;/author&gt;&lt;author&gt;Hanslow, Kevin&lt;/author&gt;&lt;author&gt;Tulip, Peter&lt;/author&gt;&lt;/authors&gt;&lt;/contributors&gt;&lt;titles&gt;&lt;title&gt;The Effect of the Mining Boom on the Australian Economy&lt;/title&gt;&lt;/titles&gt;&lt;num-vols&gt;RDP 2014-08&lt;/num-vols&gt;&lt;dates&gt;&lt;year&gt;2014&lt;/year&gt;&lt;/dates&gt;&lt;pub-location&gt;Canberra&lt;/pub-location&gt;&lt;publisher&gt;Reserve Bank of Australia&lt;/publisher&gt;&lt;urls&gt;&lt;pdf-urls&gt;&lt;url&gt;file://C:\Users\por083\Documents\EndNote\20170808-LP-Lib.Data\PDF\Downes-et-al-2014-MiningBoom.pdf&lt;/url&gt;&lt;/pdf-urls&gt;&lt;/urls&gt;&lt;research-notes&gt;The macroeconomic responses of the model to the mining boom are largely in line with the academic literature on the Dutch disease, as applied to recent developments by Sheehan and Gregory (2012) and Plumb et al (2013). Our results can be seen as broadly confirming that earlier work. Our main contribution is quantifying the magnitude and timing of the responses and supplying further detail.&lt;/research-notes&gt;&lt;/record&gt;&lt;/Cite&gt;&lt;/EndNote&gt;</w:instrText>
      </w:r>
      <w:r w:rsidR="002D3665">
        <w:fldChar w:fldCharType="separate"/>
      </w:r>
      <w:r w:rsidR="002D3665">
        <w:rPr>
          <w:noProof/>
        </w:rPr>
        <w:t>(Downes et al., 2014)</w:t>
      </w:r>
      <w:r w:rsidR="002D3665">
        <w:fldChar w:fldCharType="end"/>
      </w:r>
      <w:r w:rsidR="002D3665">
        <w:t xml:space="preserve">. </w:t>
      </w:r>
      <w:r w:rsidR="002D3665" w:rsidRPr="00E60700">
        <w:t>Mining areas can have larger populations and lower unemployment</w:t>
      </w:r>
      <w:r w:rsidR="004518A4">
        <w:t xml:space="preserve">. </w:t>
      </w:r>
      <w:r w:rsidR="00123E70">
        <w:t xml:space="preserve">However, </w:t>
      </w:r>
      <w:r w:rsidR="004518A4">
        <w:t>they</w:t>
      </w:r>
      <w:r w:rsidR="00997F5A">
        <w:t xml:space="preserve"> </w:t>
      </w:r>
      <w:r w:rsidR="00777042">
        <w:t xml:space="preserve">tend to </w:t>
      </w:r>
      <w:r w:rsidR="00997F5A">
        <w:t>rely on jobs i</w:t>
      </w:r>
      <w:r w:rsidR="005F79B4" w:rsidRPr="00E60700">
        <w:t xml:space="preserve">n a narrow spectrum of industries which makes them more exposed to a downturn or any changes </w:t>
      </w:r>
      <w:r w:rsidR="004518A4">
        <w:t>reducing their need for local employees</w:t>
      </w:r>
      <w:r w:rsidR="002D3665" w:rsidRPr="00E60700">
        <w:t xml:space="preserve"> </w:t>
      </w:r>
      <w:r w:rsidR="002D3665" w:rsidRPr="00E60700">
        <w:fldChar w:fldCharType="begin"/>
      </w:r>
      <w:r w:rsidR="000F5F6E">
        <w:instrText xml:space="preserve"> ADDIN EN.CITE &lt;EndNote&gt;&lt;Cite&gt;&lt;Author&gt;Kotey&lt;/Author&gt;&lt;Year&gt;2014&lt;/Year&gt;&lt;RecNum&gt;2938&lt;/RecNum&gt;&lt;DisplayText&gt;(Kotey and Rolfe, 2014)&lt;/DisplayText&gt;&lt;record&gt;&lt;rec-number&gt;2938&lt;/rec-number&gt;&lt;foreign-keys&gt;&lt;key app="EN" db-id="vzav25azvd0fxjextfzvax229ff0apaprtda" timestamp="1503022017"&gt;2938&lt;/key&gt;&lt;/foreign-keys&gt;&lt;ref-type name="Journal Article"&gt;17&lt;/ref-type&gt;&lt;contributors&gt;&lt;authors&gt;&lt;author&gt;Kotey, Bernice&lt;/author&gt;&lt;author&gt;Rolfe, John&lt;/author&gt;&lt;/authors&gt;&lt;/contributors&gt;&lt;titles&gt;&lt;title&gt;Demographic and economic impact of mining on remote communities in Australia&lt;/title&gt;&lt;secondary-title&gt;Resources Policy&lt;/secondary-title&gt;&lt;/titles&gt;&lt;periodical&gt;&lt;full-title&gt;Resources Policy&lt;/full-title&gt;&lt;abbr-1&gt;Resources Pol.&lt;/abbr-1&gt;&lt;abbr-2&gt;Resources Pol&lt;/abbr-2&gt;&lt;/periodical&gt;&lt;pages&gt;65-72&lt;/pages&gt;&lt;volume&gt;42&lt;/volume&gt;&lt;keywords&gt;&lt;keyword&gt;Mining&lt;/keyword&gt;&lt;keyword&gt;Remote&lt;/keyword&gt;&lt;keyword&gt;Industry structure&lt;/keyword&gt;&lt;keyword&gt;Demographics&lt;/keyword&gt;&lt;keyword&gt;Income and human capital&lt;/keyword&gt;&lt;/keywords&gt;&lt;dates&gt;&lt;year&gt;2014&lt;/year&gt;&lt;pub-dates&gt;&lt;date&gt;2014/12/01/&lt;/date&gt;&lt;/pub-dates&gt;&lt;/dates&gt;&lt;isbn&gt;0301-4207&lt;/isbn&gt;&lt;urls&gt;&lt;related-urls&gt;&lt;url&gt;http://www.sciencedirect.com/science/article/pii/S0301420714000725&lt;/url&gt;&lt;/related-urls&gt;&lt;pdf-urls&gt;&lt;url&gt;file://C:\Users\por083\Documents\EndNote\20170808-LP-Lib.Data\PDF\Kotey-2014-MiningImpactRemoteCommunities&amp;apos;.pdf&lt;/url&gt;&lt;/pdf-urls&gt;&lt;/urls&gt;&lt;electronic-resource-num&gt;10.1016/j.resourpol.2014.10.005&lt;/electronic-resource-num&gt;&lt;/record&gt;&lt;/Cite&gt;&lt;/EndNote&gt;</w:instrText>
      </w:r>
      <w:r w:rsidR="002D3665" w:rsidRPr="00E60700">
        <w:fldChar w:fldCharType="separate"/>
      </w:r>
      <w:r w:rsidR="002D3665" w:rsidRPr="00E60700">
        <w:rPr>
          <w:noProof/>
        </w:rPr>
        <w:t>(Kotey and Rolfe, 2014)</w:t>
      </w:r>
      <w:r w:rsidR="002D3665" w:rsidRPr="00E60700">
        <w:fldChar w:fldCharType="end"/>
      </w:r>
      <w:r w:rsidR="002D3665" w:rsidRPr="00E60700">
        <w:t xml:space="preserve">. </w:t>
      </w:r>
      <w:r w:rsidR="00A633EF">
        <w:t>For example,</w:t>
      </w:r>
      <w:r w:rsidR="002D3665">
        <w:t xml:space="preserve"> the income effect benefits experienced from specialising </w:t>
      </w:r>
      <w:r w:rsidR="00DD1F3A">
        <w:t xml:space="preserve">in </w:t>
      </w:r>
      <w:r w:rsidR="002D3665">
        <w:t>energy resource extraction from the short</w:t>
      </w:r>
      <w:r w:rsidR="00DD1F3A">
        <w:t xml:space="preserve"> </w:t>
      </w:r>
      <w:r w:rsidR="002D3665">
        <w:t xml:space="preserve">run may </w:t>
      </w:r>
      <w:r w:rsidR="00997F5A">
        <w:t xml:space="preserve">reduce </w:t>
      </w:r>
      <w:r w:rsidR="002D3665">
        <w:t>in the long</w:t>
      </w:r>
      <w:r w:rsidR="00DD1F3A">
        <w:t xml:space="preserve"> </w:t>
      </w:r>
      <w:r w:rsidR="002D3665">
        <w:t xml:space="preserve">run </w:t>
      </w:r>
      <w:r w:rsidR="002D3665">
        <w:fldChar w:fldCharType="begin">
          <w:fldData xml:space="preserve">PEVuZE5vdGU+PENpdGU+PEF1dGhvcj5IYWdnZXJ0eTwvQXV0aG9yPjxZZWFyPjIwMTQ8L1llYXI+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</w:fldData>
        </w:fldChar>
      </w:r>
      <w:r w:rsidR="000F5F6E">
        <w:instrText xml:space="preserve"> ADDIN EN.CITE </w:instrText>
      </w:r>
      <w:r w:rsidR="000F5F6E">
        <w:fldChar w:fldCharType="begin">
          <w:fldData xml:space="preserve">PEVuZE5vdGU+PENpdGU+PEF1dGhvcj5IYWdnZXJ0eTwvQXV0aG9yPjxZZWFyPjIwMTQ8L1llYXI+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</w:fldData>
        </w:fldChar>
      </w:r>
      <w:r w:rsidR="000F5F6E">
        <w:instrText xml:space="preserve"> ADDIN EN.CITE.DATA </w:instrText>
      </w:r>
      <w:r w:rsidR="000F5F6E">
        <w:fldChar w:fldCharType="end"/>
      </w:r>
      <w:r w:rsidR="002D3665">
        <w:fldChar w:fldCharType="separate"/>
      </w:r>
      <w:r w:rsidR="002D3665">
        <w:rPr>
          <w:noProof/>
        </w:rPr>
        <w:t>(Betz et al., 2014; Haggerty et al., 2014)</w:t>
      </w:r>
      <w:r w:rsidR="002D3665">
        <w:fldChar w:fldCharType="end"/>
      </w:r>
      <w:r w:rsidR="002D3665">
        <w:t>.</w:t>
      </w:r>
      <w:r w:rsidR="00D26DEE">
        <w:t xml:space="preserve"> </w:t>
      </w:r>
      <w:r w:rsidR="00777042">
        <w:t xml:space="preserve">This section of the report considers the degree to which economic </w:t>
      </w:r>
      <w:r w:rsidR="00043507" w:rsidRPr="00777042">
        <w:t>benefits</w:t>
      </w:r>
      <w:r w:rsidR="00777042">
        <w:t xml:space="preserve"> in the form of</w:t>
      </w:r>
      <w:r w:rsidR="00043507" w:rsidRPr="00777042">
        <w:t xml:space="preserve"> </w:t>
      </w:r>
      <w:r w:rsidR="00777042" w:rsidRPr="00777042">
        <w:t xml:space="preserve">reduced income inequality have been sustained </w:t>
      </w:r>
      <w:r w:rsidR="00043507" w:rsidRPr="00777042">
        <w:t xml:space="preserve">in </w:t>
      </w:r>
      <w:r w:rsidRPr="00777042">
        <w:t>mining regions</w:t>
      </w:r>
      <w:r w:rsidR="00777042" w:rsidRPr="00777042">
        <w:t xml:space="preserve"> over the decade leading up to the </w:t>
      </w:r>
      <w:r w:rsidR="00161F6E" w:rsidRPr="00777042">
        <w:t>2016</w:t>
      </w:r>
      <w:r w:rsidR="004F3249">
        <w:t xml:space="preserve"> Australian Census</w:t>
      </w:r>
      <w:r w:rsidR="00161F6E" w:rsidRPr="00777042">
        <w:t>.</w:t>
      </w:r>
    </w:p>
    <w:p w14:paraId="07AD3D12" w14:textId="1A41338A" w:rsidR="0053665F" w:rsidRDefault="00997F5A" w:rsidP="002D2464">
      <w:pPr>
        <w:pStyle w:val="BodyText"/>
        <w:jc w:val="both"/>
      </w:pPr>
      <w:r w:rsidRPr="00997F5A">
        <w:t xml:space="preserve">Defining </w:t>
      </w:r>
      <w:r w:rsidR="006A1310" w:rsidRPr="00997F5A">
        <w:t xml:space="preserve">the </w:t>
      </w:r>
      <w:r w:rsidRPr="00997F5A">
        <w:t xml:space="preserve">exact </w:t>
      </w:r>
      <w:r w:rsidR="006A1310" w:rsidRPr="00997F5A">
        <w:t xml:space="preserve">time period when </w:t>
      </w:r>
      <w:r w:rsidR="00B5620C">
        <w:t>a</w:t>
      </w:r>
      <w:r w:rsidR="00B5620C" w:rsidRPr="00997F5A">
        <w:t xml:space="preserve"> </w:t>
      </w:r>
      <w:r w:rsidR="006A1310" w:rsidRPr="00997F5A">
        <w:t xml:space="preserve">cycle begins and ends can be </w:t>
      </w:r>
      <w:r w:rsidRPr="00997F5A">
        <w:t>complicated</w:t>
      </w:r>
      <w:r w:rsidR="006A1310" w:rsidRPr="00997F5A">
        <w:t xml:space="preserve">. The </w:t>
      </w:r>
      <w:r w:rsidR="00A806A4" w:rsidRPr="00997F5A">
        <w:t xml:space="preserve">resources </w:t>
      </w:r>
      <w:r w:rsidR="006A1310" w:rsidRPr="00997F5A">
        <w:t>investment phase varies for different forms of exploration and from project to</w:t>
      </w:r>
      <w:r w:rsidR="0053665F" w:rsidRPr="00997F5A">
        <w:t xml:space="preserve"> project. </w:t>
      </w:r>
      <w:r w:rsidR="006A1310" w:rsidRPr="00997F5A">
        <w:t xml:space="preserve">At </w:t>
      </w:r>
      <w:r w:rsidRPr="00997F5A">
        <w:t xml:space="preserve">a </w:t>
      </w:r>
      <w:r w:rsidR="006A1310" w:rsidRPr="00997F5A">
        <w:t>macroeconomic level f</w:t>
      </w:r>
      <w:r w:rsidR="00DB34BD" w:rsidRPr="00997F5A">
        <w:t>luctuation</w:t>
      </w:r>
      <w:r w:rsidR="00416710">
        <w:t>s</w:t>
      </w:r>
      <w:r w:rsidR="00DB34BD" w:rsidRPr="00997F5A">
        <w:t xml:space="preserve"> in prices of commodities on the international market are associated with the ebb and flow of </w:t>
      </w:r>
      <w:r w:rsidR="006A1310" w:rsidRPr="00997F5A">
        <w:t xml:space="preserve">mining </w:t>
      </w:r>
      <w:r w:rsidR="00DB34BD" w:rsidRPr="00997F5A">
        <w:t>investment in the Australian market (section 1)</w:t>
      </w:r>
      <w:r w:rsidR="006A1310" w:rsidRPr="00997F5A">
        <w:t>. S</w:t>
      </w:r>
      <w:r w:rsidR="00DB34BD" w:rsidRPr="00997F5A">
        <w:t>ubsequent to the peak of the terms of trade in 2011 (</w:t>
      </w:r>
      <w:r w:rsidR="006A1310" w:rsidRPr="00997F5A">
        <w:t>Figure 1),</w:t>
      </w:r>
      <w:r w:rsidR="00DB34BD" w:rsidRPr="00997F5A">
        <w:t xml:space="preserve"> it is </w:t>
      </w:r>
      <w:r w:rsidR="006A1310" w:rsidRPr="00997F5A">
        <w:t xml:space="preserve">likely </w:t>
      </w:r>
      <w:r w:rsidR="00A633EF" w:rsidRPr="00997F5A">
        <w:t>that for many</w:t>
      </w:r>
      <w:r w:rsidR="006A1310" w:rsidRPr="00997F5A">
        <w:t xml:space="preserve"> mining</w:t>
      </w:r>
      <w:r w:rsidR="00A633EF" w:rsidRPr="00997F5A">
        <w:t xml:space="preserve"> regions across Aus</w:t>
      </w:r>
      <w:r w:rsidR="006A1310" w:rsidRPr="00997F5A">
        <w:t xml:space="preserve">tralia there was less investment and development of new projects </w:t>
      </w:r>
      <w:r w:rsidR="00161F6E">
        <w:t>as</w:t>
      </w:r>
      <w:r w:rsidR="00161F6E" w:rsidRPr="00997F5A">
        <w:t xml:space="preserve"> </w:t>
      </w:r>
      <w:r w:rsidR="008C2B12" w:rsidRPr="00997F5A">
        <w:t>operational phase</w:t>
      </w:r>
      <w:r w:rsidR="006A1310" w:rsidRPr="00997F5A">
        <w:t>s took over</w:t>
      </w:r>
      <w:r w:rsidR="0053665F" w:rsidRPr="00997F5A">
        <w:t xml:space="preserve">. </w:t>
      </w:r>
      <w:r w:rsidR="00A806A4" w:rsidRPr="00997F5A">
        <w:t xml:space="preserve">The investment phase is considered to have lasted until about the end of 2013 </w:t>
      </w:r>
      <w:r w:rsidR="00A806A4" w:rsidRPr="00997F5A">
        <w:fldChar w:fldCharType="begin"/>
      </w:r>
      <w:r w:rsidR="00A806A4" w:rsidRPr="00997F5A">
        <w:instrText xml:space="preserve"> ADDIN EN.CITE &lt;EndNote&gt;&lt;Cite&gt;&lt;Author&gt;Productivity Commission&lt;/Author&gt;&lt;Year&gt;2017&lt;/Year&gt;&lt;RecNum&gt;2906&lt;/RecNum&gt;&lt;DisplayText&gt;(Productivity Commission, 2017)&lt;/DisplayText&gt;&lt;record&gt;&lt;rec-number&gt;2906&lt;/rec-number&gt;&lt;foreign-keys&gt;&lt;key app="EN" db-id="vzav25azvd0fxjextfzvax229ff0apaprtda" timestamp="1502146836"&gt;2906&lt;/key&gt;&lt;/foreign-keys&gt;&lt;ref-type name="Report"&gt;27&lt;/ref-type&gt;&lt;contributors&gt;&lt;authors&gt;&lt;author&gt;Productivity Commission,&lt;/author&gt;&lt;/authors&gt;&lt;/contributors&gt;&lt;titles&gt;&lt;title&gt;Transitioning Regional Economies&lt;/title&gt;&lt;/titles&gt;&lt;edition&gt;Initial Report&lt;/edition&gt;&lt;dates&gt;&lt;year&gt;2017&lt;/year&gt;&lt;pub-dates&gt;&lt;date&gt;04.2017&lt;/date&gt;&lt;/pub-dates&gt;&lt;/dates&gt;&lt;pub-location&gt;Canberra, Australia&lt;/pub-location&gt;&lt;publisher&gt;Productivity Commission&lt;/publisher&gt;&lt;urls&gt;&lt;pdf-urls&gt;&lt;url&gt;file://C:\Users\por083\Documents\EndNote\20170808-LP-Lib.Data\PDF\PC_April2017 Transitioning regional economies_initial report.pdf&lt;/url&gt;&lt;/pdf-urls&gt;&lt;/urls&gt;&lt;/record&gt;&lt;/Cite&gt;&lt;/EndNote&gt;</w:instrText>
      </w:r>
      <w:r w:rsidR="00A806A4" w:rsidRPr="00997F5A">
        <w:fldChar w:fldCharType="separate"/>
      </w:r>
      <w:r w:rsidR="00A806A4" w:rsidRPr="00997F5A">
        <w:rPr>
          <w:noProof/>
        </w:rPr>
        <w:t>(Productivity Commission, 2017)</w:t>
      </w:r>
      <w:r w:rsidR="00A806A4" w:rsidRPr="00997F5A">
        <w:fldChar w:fldCharType="end"/>
      </w:r>
      <w:r w:rsidR="00A806A4" w:rsidRPr="00997F5A">
        <w:t xml:space="preserve">. </w:t>
      </w:r>
      <w:r w:rsidR="0053665F" w:rsidRPr="00997F5A">
        <w:t xml:space="preserve">As such </w:t>
      </w:r>
      <w:r w:rsidR="008C2B12" w:rsidRPr="00997F5A">
        <w:t>this study uses the Census years</w:t>
      </w:r>
      <w:r w:rsidR="0053665F" w:rsidRPr="00997F5A">
        <w:t xml:space="preserve"> of 2006, 2011 and 2016</w:t>
      </w:r>
      <w:r w:rsidR="008C2B12" w:rsidRPr="00997F5A">
        <w:t xml:space="preserve"> to delimit time periods in the </w:t>
      </w:r>
      <w:r w:rsidR="0053665F" w:rsidRPr="00997F5A">
        <w:t>analysis</w:t>
      </w:r>
      <w:r w:rsidR="008C2B12" w:rsidRPr="00997F5A">
        <w:t>.</w:t>
      </w:r>
    </w:p>
    <w:p w14:paraId="4AFE1A9C" w14:textId="5D7C9375" w:rsidR="00B460A3" w:rsidRDefault="00B460A3" w:rsidP="00B460A3">
      <w:pPr>
        <w:pStyle w:val="BodyText"/>
        <w:jc w:val="both"/>
        <w:rPr>
          <w:rFonts w:asciiTheme="minorHAnsi" w:hAnsiTheme="minorHAnsi" w:cstheme="minorHAnsi"/>
          <w:szCs w:val="24"/>
        </w:rPr>
      </w:pPr>
      <w:r>
        <w:t>In order to understand the change in the distribution of family income over the period 2006 to 2016 in mining versus non-mining regions, the Gini coefficient of inequality is calculated for the entire country at Local Government Area (LGA) and Statistical Area 2 (SA2) levels</w:t>
      </w:r>
      <w:r w:rsidR="00416710">
        <w:t>.</w:t>
      </w:r>
      <w:r>
        <w:rPr>
          <w:rStyle w:val="FootnoteReference"/>
        </w:rPr>
        <w:footnoteReference w:id="12"/>
      </w:r>
      <w:r>
        <w:t xml:space="preserve"> The Gini coefficient is one measure of financial wellbeing where the emphasis is on in</w:t>
      </w:r>
      <w:r>
        <w:rPr>
          <w:rFonts w:asciiTheme="minorHAnsi" w:hAnsiTheme="minorHAnsi" w:cstheme="minorHAnsi"/>
          <w:szCs w:val="24"/>
        </w:rPr>
        <w:t>equalities</w:t>
      </w:r>
      <w:r w:rsidR="00013073">
        <w:rPr>
          <w:rFonts w:asciiTheme="minorHAnsi" w:hAnsiTheme="minorHAnsi" w:cstheme="minorHAnsi"/>
          <w:szCs w:val="24"/>
        </w:rPr>
        <w:t xml:space="preserve"> in</w:t>
      </w:r>
      <w:r>
        <w:rPr>
          <w:rFonts w:asciiTheme="minorHAnsi" w:hAnsiTheme="minorHAnsi" w:cstheme="minorHAnsi"/>
          <w:szCs w:val="24"/>
        </w:rPr>
        <w:t xml:space="preserve"> income distribution.</w:t>
      </w:r>
      <w:r>
        <w:rPr>
          <w:rStyle w:val="FootnoteReference"/>
        </w:rPr>
        <w:footnoteReference w:id="13"/>
      </w:r>
      <w:r>
        <w:t xml:space="preserve"> </w:t>
      </w:r>
      <w:r>
        <w:rPr>
          <w:rFonts w:asciiTheme="minorHAnsi" w:hAnsiTheme="minorHAnsi" w:cstheme="minorHAnsi"/>
          <w:szCs w:val="24"/>
        </w:rPr>
        <w:t>The values of the coefficient vary between zero and one, where a value closer to zero means income is more equally distributed for any particular region. The lower the value of the Gini coefficient, the better the social outcome is considered to be.</w:t>
      </w:r>
    </w:p>
    <w:p w14:paraId="690C3F52" w14:textId="2CB1AFD4" w:rsidR="00B460A3" w:rsidRDefault="004B5B4A" w:rsidP="002D2464">
      <w:pPr>
        <w:pStyle w:val="BodyText"/>
        <w:jc w:val="both"/>
      </w:pPr>
      <w:r w:rsidRPr="00B806BF">
        <w:rPr>
          <w:rFonts w:asciiTheme="minorHAnsi" w:hAnsiTheme="minorHAnsi" w:cstheme="minorHAnsi"/>
          <w:szCs w:val="24"/>
        </w:rPr>
        <w:t xml:space="preserve">Figure </w:t>
      </w:r>
      <w:r w:rsidR="00B04FA2">
        <w:rPr>
          <w:rFonts w:asciiTheme="minorHAnsi" w:hAnsiTheme="minorHAnsi" w:cstheme="minorHAnsi"/>
          <w:szCs w:val="24"/>
        </w:rPr>
        <w:t>9</w:t>
      </w:r>
      <w:r w:rsidRPr="00B806BF">
        <w:rPr>
          <w:rFonts w:asciiTheme="minorHAnsi" w:hAnsiTheme="minorHAnsi" w:cstheme="minorHAnsi"/>
          <w:szCs w:val="24"/>
        </w:rPr>
        <w:t xml:space="preserve"> reflects</w:t>
      </w:r>
      <w:r>
        <w:rPr>
          <w:rFonts w:asciiTheme="minorHAnsi" w:hAnsiTheme="minorHAnsi" w:cstheme="minorHAnsi"/>
          <w:szCs w:val="24"/>
        </w:rPr>
        <w:t xml:space="preserve"> the </w:t>
      </w:r>
      <w:r w:rsidR="00375915">
        <w:rPr>
          <w:rFonts w:asciiTheme="minorHAnsi" w:hAnsiTheme="minorHAnsi" w:cstheme="minorHAnsi"/>
          <w:szCs w:val="24"/>
        </w:rPr>
        <w:t xml:space="preserve">percentage </w:t>
      </w:r>
      <w:r>
        <w:rPr>
          <w:rFonts w:asciiTheme="minorHAnsi" w:hAnsiTheme="minorHAnsi" w:cstheme="minorHAnsi"/>
          <w:szCs w:val="24"/>
        </w:rPr>
        <w:t xml:space="preserve">change in Gini coefficient </w:t>
      </w:r>
      <w:r w:rsidR="00375915">
        <w:rPr>
          <w:rFonts w:asciiTheme="minorHAnsi" w:hAnsiTheme="minorHAnsi" w:cstheme="minorHAnsi"/>
          <w:szCs w:val="24"/>
        </w:rPr>
        <w:t xml:space="preserve">between 2006 and 2016 </w:t>
      </w:r>
      <w:r w:rsidR="004F3249">
        <w:rPr>
          <w:rFonts w:asciiTheme="minorHAnsi" w:hAnsiTheme="minorHAnsi" w:cstheme="minorHAnsi"/>
          <w:szCs w:val="24"/>
        </w:rPr>
        <w:t>in</w:t>
      </w:r>
      <w:r w:rsidR="002D7EA4">
        <w:rPr>
          <w:rFonts w:asciiTheme="minorHAnsi" w:hAnsiTheme="minorHAnsi" w:cstheme="minorHAnsi"/>
          <w:szCs w:val="24"/>
        </w:rPr>
        <w:t xml:space="preserve"> </w:t>
      </w:r>
      <w:r w:rsidR="004D6653">
        <w:rPr>
          <w:rFonts w:asciiTheme="minorHAnsi" w:hAnsiTheme="minorHAnsi" w:cstheme="minorHAnsi"/>
          <w:szCs w:val="24"/>
        </w:rPr>
        <w:t>l</w:t>
      </w:r>
      <w:r w:rsidR="002D7EA4">
        <w:rPr>
          <w:rFonts w:asciiTheme="minorHAnsi" w:hAnsiTheme="minorHAnsi" w:cstheme="minorHAnsi"/>
          <w:szCs w:val="24"/>
        </w:rPr>
        <w:t xml:space="preserve">ocal </w:t>
      </w:r>
      <w:r w:rsidR="004D6653">
        <w:rPr>
          <w:rFonts w:asciiTheme="minorHAnsi" w:hAnsiTheme="minorHAnsi" w:cstheme="minorHAnsi"/>
          <w:szCs w:val="24"/>
        </w:rPr>
        <w:t>g</w:t>
      </w:r>
      <w:r w:rsidR="002D7EA4">
        <w:rPr>
          <w:rFonts w:asciiTheme="minorHAnsi" w:hAnsiTheme="minorHAnsi" w:cstheme="minorHAnsi"/>
          <w:szCs w:val="24"/>
        </w:rPr>
        <w:t xml:space="preserve">overnment </w:t>
      </w:r>
      <w:r w:rsidR="004D6653">
        <w:rPr>
          <w:rFonts w:asciiTheme="minorHAnsi" w:hAnsiTheme="minorHAnsi" w:cstheme="minorHAnsi"/>
          <w:szCs w:val="24"/>
        </w:rPr>
        <w:t>a</w:t>
      </w:r>
      <w:r w:rsidR="002D7EA4">
        <w:rPr>
          <w:rFonts w:asciiTheme="minorHAnsi" w:hAnsiTheme="minorHAnsi" w:cstheme="minorHAnsi"/>
          <w:szCs w:val="24"/>
        </w:rPr>
        <w:t xml:space="preserve">rea based on 2016 Census data </w:t>
      </w:r>
      <w:r w:rsidR="002D7EA4">
        <w:rPr>
          <w:rFonts w:asciiTheme="minorHAnsi" w:hAnsiTheme="minorHAnsi" w:cstheme="minorHAnsi"/>
          <w:szCs w:val="24"/>
        </w:rPr>
        <w:fldChar w:fldCharType="begin"/>
      </w:r>
      <w:r w:rsidR="00BF1876">
        <w:rPr>
          <w:rFonts w:asciiTheme="minorHAnsi" w:hAnsiTheme="minorHAnsi" w:cstheme="minorHAnsi"/>
          <w:szCs w:val="24"/>
        </w:rPr>
        <w:instrText xml:space="preserve"> ADDIN EN.CITE &lt;EndNote&gt;&lt;Cite&gt;&lt;Author&gt;Australian Bureau of Statistics&lt;/Author&gt;&lt;Year&gt;2016&lt;/Year&gt;&lt;RecNum&gt;2997&lt;/RecNum&gt;&lt;DisplayText&gt;(Australian Bureau of Statistics, 2016c)&lt;/DisplayText&gt;&lt;record&gt;&lt;rec-number&gt;2997&lt;/rec-number&gt;&lt;foreign-keys&gt;&lt;key app="EN" db-id="vzav25azvd0fxjextfzvax229ff0apaprtda" timestamp="1505697357"&gt;2997&lt;/key&gt;&lt;/foreign-keys&gt;&lt;ref-type name="Dataset"&gt;59&lt;/ref-type&gt;&lt;contributors&gt;&lt;authors&gt;&lt;author&gt;Australian Bureau of Statistics,&lt;/author&gt;&lt;/authors&gt;&lt;secondary-authors&gt;&lt;author&gt;Australian Bureau of Statistics,&lt;/author&gt;&lt;/secondary-authors&gt;&lt;/contributors&gt;&lt;titles&gt;&lt;title&gt;Australian Census 2016: DataPacks&lt;/title&gt;&lt;/titles&gt;&lt;edition&gt;2016&lt;/edition&gt;&lt;section&gt;2016&lt;/section&gt;&lt;dates&gt;&lt;year&gt;2016&lt;/year&gt;&lt;pub-dates&gt;&lt;date&gt;20.08.2017&lt;/date&gt;&lt;/pub-dates&gt;&lt;/dates&gt;&lt;pub-location&gt;Canberra&lt;/pub-location&gt;&lt;urls&gt;&lt;related-urls&gt;&lt;url&gt;https://datapacks.censusdata.abs.gov.au/datapacks/&lt;/url&gt;&lt;/related-urls&gt;&lt;/urls&gt;&lt;access-date&gt;14.08.16&lt;/access-date&gt;&lt;/record&gt;&lt;/Cite&gt;&lt;/EndNote&gt;</w:instrText>
      </w:r>
      <w:r w:rsidR="002D7EA4">
        <w:rPr>
          <w:rFonts w:asciiTheme="minorHAnsi" w:hAnsiTheme="minorHAnsi" w:cstheme="minorHAnsi"/>
          <w:szCs w:val="24"/>
        </w:rPr>
        <w:fldChar w:fldCharType="separate"/>
      </w:r>
      <w:r w:rsidR="00BF1876">
        <w:rPr>
          <w:rFonts w:asciiTheme="minorHAnsi" w:hAnsiTheme="minorHAnsi" w:cstheme="minorHAnsi"/>
          <w:noProof/>
          <w:szCs w:val="24"/>
        </w:rPr>
        <w:t>(Australian Bureau of Statistics, 2016c)</w:t>
      </w:r>
      <w:r w:rsidR="002D7EA4">
        <w:rPr>
          <w:rFonts w:asciiTheme="minorHAnsi" w:hAnsiTheme="minorHAnsi" w:cstheme="minorHAnsi"/>
          <w:szCs w:val="24"/>
        </w:rPr>
        <w:fldChar w:fldCharType="end"/>
      </w:r>
      <w:r>
        <w:rPr>
          <w:rFonts w:asciiTheme="minorHAnsi" w:hAnsiTheme="minorHAnsi" w:cstheme="minorHAnsi"/>
          <w:szCs w:val="24"/>
        </w:rPr>
        <w:t xml:space="preserve">. </w:t>
      </w:r>
      <w:r w:rsidR="002D7EA4">
        <w:rPr>
          <w:rFonts w:asciiTheme="minorHAnsi" w:hAnsiTheme="minorHAnsi" w:cstheme="minorHAnsi"/>
          <w:szCs w:val="24"/>
        </w:rPr>
        <w:t xml:space="preserve">The areas </w:t>
      </w:r>
      <w:r w:rsidR="002D7EA4">
        <w:rPr>
          <w:rFonts w:asciiTheme="minorHAnsi" w:hAnsiTheme="minorHAnsi" w:cstheme="minorHAnsi"/>
          <w:szCs w:val="24"/>
        </w:rPr>
        <w:lastRenderedPageBreak/>
        <w:t xml:space="preserve">outlined </w:t>
      </w:r>
      <w:r w:rsidR="002A2BD9">
        <w:rPr>
          <w:rFonts w:asciiTheme="minorHAnsi" w:hAnsiTheme="minorHAnsi" w:cstheme="minorHAnsi"/>
          <w:szCs w:val="24"/>
        </w:rPr>
        <w:t>using</w:t>
      </w:r>
      <w:r w:rsidR="00932547">
        <w:rPr>
          <w:rFonts w:asciiTheme="minorHAnsi" w:hAnsiTheme="minorHAnsi" w:cstheme="minorHAnsi"/>
          <w:szCs w:val="24"/>
        </w:rPr>
        <w:t xml:space="preserve"> grey line</w:t>
      </w:r>
      <w:r w:rsidR="002A2BD9">
        <w:rPr>
          <w:rFonts w:asciiTheme="minorHAnsi" w:hAnsiTheme="minorHAnsi" w:cstheme="minorHAnsi"/>
          <w:szCs w:val="24"/>
        </w:rPr>
        <w:t>s</w:t>
      </w:r>
      <w:r w:rsidR="002D7EA4">
        <w:rPr>
          <w:rFonts w:asciiTheme="minorHAnsi" w:hAnsiTheme="minorHAnsi" w:cstheme="minorHAnsi"/>
          <w:szCs w:val="24"/>
        </w:rPr>
        <w:t xml:space="preserve"> contain a series of well-established mining regions: </w:t>
      </w:r>
      <w:r w:rsidR="003705E7">
        <w:rPr>
          <w:rFonts w:asciiTheme="minorHAnsi" w:hAnsiTheme="minorHAnsi" w:cstheme="minorHAnsi"/>
          <w:szCs w:val="24"/>
        </w:rPr>
        <w:t xml:space="preserve">North-west Queensland (QLD), </w:t>
      </w:r>
      <w:r w:rsidR="003705E7" w:rsidRPr="003705E7">
        <w:rPr>
          <w:rFonts w:asciiTheme="minorHAnsi" w:hAnsiTheme="minorHAnsi" w:cstheme="minorHAnsi"/>
          <w:szCs w:val="24"/>
        </w:rPr>
        <w:t>Galilee Basin (QLD)</w:t>
      </w:r>
      <w:r w:rsidR="003705E7">
        <w:rPr>
          <w:rFonts w:asciiTheme="minorHAnsi" w:hAnsiTheme="minorHAnsi" w:cstheme="minorHAnsi"/>
          <w:szCs w:val="24"/>
        </w:rPr>
        <w:t xml:space="preserve">, </w:t>
      </w:r>
      <w:r w:rsidR="003705E7" w:rsidRPr="003705E7">
        <w:rPr>
          <w:rFonts w:asciiTheme="minorHAnsi" w:hAnsiTheme="minorHAnsi" w:cstheme="minorHAnsi"/>
          <w:szCs w:val="24"/>
        </w:rPr>
        <w:t>Bowen Basin</w:t>
      </w:r>
      <w:r w:rsidR="003705E7">
        <w:rPr>
          <w:rFonts w:asciiTheme="minorHAnsi" w:hAnsiTheme="minorHAnsi" w:cstheme="minorHAnsi"/>
          <w:szCs w:val="24"/>
        </w:rPr>
        <w:t xml:space="preserve"> (</w:t>
      </w:r>
      <w:r w:rsidR="003705E7" w:rsidRPr="003705E7">
        <w:rPr>
          <w:rFonts w:asciiTheme="minorHAnsi" w:hAnsiTheme="minorHAnsi" w:cstheme="minorHAnsi"/>
          <w:szCs w:val="24"/>
        </w:rPr>
        <w:t>QLD</w:t>
      </w:r>
      <w:r w:rsidR="003705E7">
        <w:rPr>
          <w:rFonts w:asciiTheme="minorHAnsi" w:hAnsiTheme="minorHAnsi" w:cstheme="minorHAnsi"/>
          <w:szCs w:val="24"/>
        </w:rPr>
        <w:t>), Surat Basin (</w:t>
      </w:r>
      <w:r w:rsidR="003705E7" w:rsidRPr="003705E7">
        <w:rPr>
          <w:rFonts w:asciiTheme="minorHAnsi" w:hAnsiTheme="minorHAnsi" w:cstheme="minorHAnsi"/>
          <w:szCs w:val="24"/>
        </w:rPr>
        <w:t>QLD</w:t>
      </w:r>
      <w:r w:rsidR="003705E7">
        <w:rPr>
          <w:rFonts w:asciiTheme="minorHAnsi" w:hAnsiTheme="minorHAnsi" w:cstheme="minorHAnsi"/>
          <w:szCs w:val="24"/>
        </w:rPr>
        <w:t>), Hunter Valley (</w:t>
      </w:r>
      <w:r w:rsidR="003705E7" w:rsidRPr="003705E7">
        <w:rPr>
          <w:rFonts w:asciiTheme="minorHAnsi" w:hAnsiTheme="minorHAnsi" w:cstheme="minorHAnsi"/>
          <w:szCs w:val="24"/>
        </w:rPr>
        <w:t>NSW</w:t>
      </w:r>
      <w:r w:rsidR="003705E7">
        <w:rPr>
          <w:rFonts w:asciiTheme="minorHAnsi" w:hAnsiTheme="minorHAnsi" w:cstheme="minorHAnsi"/>
          <w:szCs w:val="24"/>
        </w:rPr>
        <w:t xml:space="preserve">), </w:t>
      </w:r>
      <w:r w:rsidR="003705E7" w:rsidRPr="003705E7">
        <w:rPr>
          <w:rFonts w:asciiTheme="minorHAnsi" w:hAnsiTheme="minorHAnsi" w:cstheme="minorHAnsi"/>
          <w:szCs w:val="24"/>
        </w:rPr>
        <w:t>Central South Australia</w:t>
      </w:r>
      <w:r w:rsidR="003705E7">
        <w:rPr>
          <w:rFonts w:asciiTheme="minorHAnsi" w:hAnsiTheme="minorHAnsi" w:cstheme="minorHAnsi"/>
          <w:szCs w:val="24"/>
        </w:rPr>
        <w:t xml:space="preserve"> (SA), Kalgoorlie-Boulder (</w:t>
      </w:r>
      <w:r w:rsidR="003705E7" w:rsidRPr="003705E7">
        <w:rPr>
          <w:rFonts w:asciiTheme="minorHAnsi" w:hAnsiTheme="minorHAnsi" w:cstheme="minorHAnsi"/>
          <w:szCs w:val="24"/>
        </w:rPr>
        <w:t>WA</w:t>
      </w:r>
      <w:r w:rsidR="003705E7">
        <w:rPr>
          <w:rFonts w:asciiTheme="minorHAnsi" w:hAnsiTheme="minorHAnsi" w:cstheme="minorHAnsi"/>
          <w:szCs w:val="24"/>
        </w:rPr>
        <w:t xml:space="preserve">), </w:t>
      </w:r>
      <w:r w:rsidR="003705E7" w:rsidRPr="003705E7">
        <w:rPr>
          <w:rFonts w:asciiTheme="minorHAnsi" w:hAnsiTheme="minorHAnsi" w:cstheme="minorHAnsi"/>
          <w:szCs w:val="24"/>
        </w:rPr>
        <w:t>Centra</w:t>
      </w:r>
      <w:r w:rsidR="003705E7">
        <w:rPr>
          <w:rFonts w:asciiTheme="minorHAnsi" w:hAnsiTheme="minorHAnsi" w:cstheme="minorHAnsi"/>
          <w:szCs w:val="24"/>
        </w:rPr>
        <w:t>l West (</w:t>
      </w:r>
      <w:r w:rsidR="003705E7" w:rsidRPr="003705E7">
        <w:rPr>
          <w:rFonts w:asciiTheme="minorHAnsi" w:hAnsiTheme="minorHAnsi" w:cstheme="minorHAnsi"/>
          <w:szCs w:val="24"/>
        </w:rPr>
        <w:t>WA</w:t>
      </w:r>
      <w:r w:rsidR="003705E7">
        <w:rPr>
          <w:rFonts w:asciiTheme="minorHAnsi" w:hAnsiTheme="minorHAnsi" w:cstheme="minorHAnsi"/>
          <w:szCs w:val="24"/>
        </w:rPr>
        <w:t>)</w:t>
      </w:r>
      <w:r w:rsidR="002A2BD9">
        <w:rPr>
          <w:rFonts w:asciiTheme="minorHAnsi" w:hAnsiTheme="minorHAnsi" w:cstheme="minorHAnsi"/>
          <w:szCs w:val="24"/>
        </w:rPr>
        <w:t xml:space="preserve"> and</w:t>
      </w:r>
      <w:r w:rsidR="003705E7">
        <w:rPr>
          <w:rFonts w:asciiTheme="minorHAnsi" w:hAnsiTheme="minorHAnsi" w:cstheme="minorHAnsi"/>
          <w:szCs w:val="24"/>
        </w:rPr>
        <w:t xml:space="preserve"> Pilbara (</w:t>
      </w:r>
      <w:r w:rsidR="003705E7" w:rsidRPr="003705E7">
        <w:rPr>
          <w:rFonts w:asciiTheme="minorHAnsi" w:hAnsiTheme="minorHAnsi" w:cstheme="minorHAnsi"/>
          <w:szCs w:val="24"/>
        </w:rPr>
        <w:t>WA</w:t>
      </w:r>
      <w:r w:rsidR="003705E7">
        <w:rPr>
          <w:rFonts w:asciiTheme="minorHAnsi" w:hAnsiTheme="minorHAnsi" w:cstheme="minorHAnsi"/>
          <w:szCs w:val="24"/>
        </w:rPr>
        <w:t>).</w:t>
      </w:r>
      <w:r w:rsidR="00C72F1D" w:rsidRPr="00C72F1D">
        <w:rPr>
          <w:rFonts w:asciiTheme="minorHAnsi" w:hAnsiTheme="minorHAnsi" w:cstheme="minorHAnsi"/>
          <w:szCs w:val="24"/>
        </w:rPr>
        <w:t xml:space="preserve"> </w:t>
      </w:r>
      <w:r w:rsidR="00680D15">
        <w:t xml:space="preserve">Further technical details of the data and method for calculating the Gini coefficients are contained in </w:t>
      </w:r>
      <w:r w:rsidR="00680D15" w:rsidRPr="00680D15">
        <w:t>Append</w:t>
      </w:r>
      <w:r w:rsidR="00C502A6">
        <w:t>ix A</w:t>
      </w:r>
      <w:r w:rsidR="00680D15">
        <w:t>.</w:t>
      </w:r>
    </w:p>
    <w:p w14:paraId="4CB6B14E" w14:textId="2B1BBB37" w:rsidR="00950FA8" w:rsidRDefault="00C72F1D" w:rsidP="002D2464">
      <w:pPr>
        <w:pStyle w:val="BodyText"/>
        <w:jc w:val="both"/>
        <w:rPr>
          <w:rFonts w:asciiTheme="minorHAnsi" w:hAnsiTheme="minorHAnsi" w:cstheme="minorHAnsi"/>
          <w:szCs w:val="24"/>
        </w:rPr>
      </w:pPr>
      <w:r>
        <w:rPr>
          <w:rFonts w:asciiTheme="minorHAnsi" w:hAnsiTheme="minorHAnsi" w:cstheme="minorHAnsi"/>
          <w:szCs w:val="24"/>
        </w:rPr>
        <w:t>For interpretation</w:t>
      </w:r>
      <w:r w:rsidRPr="00C72F1D">
        <w:rPr>
          <w:rFonts w:asciiTheme="minorHAnsi" w:hAnsiTheme="minorHAnsi" w:cstheme="minorHAnsi"/>
          <w:szCs w:val="24"/>
        </w:rPr>
        <w:t xml:space="preserve">, it is important to note that there are no clear thresholds for what represents very high or low inequality change </w:t>
      </w:r>
      <w:r>
        <w:rPr>
          <w:rFonts w:asciiTheme="minorHAnsi" w:hAnsiTheme="minorHAnsi" w:cstheme="minorHAnsi"/>
          <w:szCs w:val="24"/>
        </w:rPr>
        <w:t>and that colours used in the following figures to interpret change in the coefficient are for illustrati</w:t>
      </w:r>
      <w:r w:rsidR="002A2BD9">
        <w:rPr>
          <w:rFonts w:asciiTheme="minorHAnsi" w:hAnsiTheme="minorHAnsi" w:cstheme="minorHAnsi"/>
          <w:szCs w:val="24"/>
        </w:rPr>
        <w:t>ve</w:t>
      </w:r>
      <w:r>
        <w:rPr>
          <w:rFonts w:asciiTheme="minorHAnsi" w:hAnsiTheme="minorHAnsi" w:cstheme="minorHAnsi"/>
          <w:szCs w:val="24"/>
        </w:rPr>
        <w:t xml:space="preserve"> purposes only. </w:t>
      </w:r>
      <w:r w:rsidR="00680D15">
        <w:rPr>
          <w:rFonts w:asciiTheme="minorHAnsi" w:hAnsiTheme="minorHAnsi" w:cstheme="minorHAnsi"/>
          <w:szCs w:val="24"/>
        </w:rPr>
        <w:t>A decrease in the coefficient is considered to be a positive outcome, while an increase in the coefficient reflect</w:t>
      </w:r>
      <w:r w:rsidR="009D221B">
        <w:rPr>
          <w:rFonts w:asciiTheme="minorHAnsi" w:hAnsiTheme="minorHAnsi" w:cstheme="minorHAnsi"/>
          <w:szCs w:val="24"/>
        </w:rPr>
        <w:t>s</w:t>
      </w:r>
      <w:r w:rsidR="00680D15">
        <w:rPr>
          <w:rFonts w:asciiTheme="minorHAnsi" w:hAnsiTheme="minorHAnsi" w:cstheme="minorHAnsi"/>
          <w:szCs w:val="24"/>
        </w:rPr>
        <w:t xml:space="preserve"> a</w:t>
      </w:r>
      <w:r w:rsidR="008B37E7">
        <w:rPr>
          <w:rFonts w:asciiTheme="minorHAnsi" w:hAnsiTheme="minorHAnsi" w:cstheme="minorHAnsi"/>
          <w:szCs w:val="24"/>
        </w:rPr>
        <w:t xml:space="preserve">n increase in </w:t>
      </w:r>
      <w:r w:rsidR="008B37E7" w:rsidRPr="008910A1">
        <w:rPr>
          <w:rFonts w:asciiTheme="minorHAnsi" w:hAnsiTheme="minorHAnsi" w:cstheme="minorHAnsi"/>
          <w:szCs w:val="24"/>
        </w:rPr>
        <w:t>inequality. Both F</w:t>
      </w:r>
      <w:r w:rsidR="00680D15" w:rsidRPr="008910A1">
        <w:rPr>
          <w:rFonts w:asciiTheme="minorHAnsi" w:hAnsiTheme="minorHAnsi" w:cstheme="minorHAnsi"/>
          <w:szCs w:val="24"/>
        </w:rPr>
        <w:t xml:space="preserve">igure </w:t>
      </w:r>
      <w:r w:rsidR="00057200" w:rsidRPr="008910A1">
        <w:rPr>
          <w:rFonts w:asciiTheme="minorHAnsi" w:hAnsiTheme="minorHAnsi" w:cstheme="minorHAnsi"/>
          <w:szCs w:val="24"/>
        </w:rPr>
        <w:t>9</w:t>
      </w:r>
      <w:r w:rsidR="00680D15" w:rsidRPr="008910A1">
        <w:rPr>
          <w:rFonts w:asciiTheme="minorHAnsi" w:hAnsiTheme="minorHAnsi" w:cstheme="minorHAnsi"/>
          <w:szCs w:val="24"/>
        </w:rPr>
        <w:t xml:space="preserve"> and </w:t>
      </w:r>
      <w:r w:rsidR="008B37E7" w:rsidRPr="008910A1">
        <w:rPr>
          <w:rFonts w:asciiTheme="minorHAnsi" w:hAnsiTheme="minorHAnsi" w:cstheme="minorHAnsi"/>
          <w:szCs w:val="24"/>
        </w:rPr>
        <w:t>T</w:t>
      </w:r>
      <w:r w:rsidR="00057200" w:rsidRPr="008910A1">
        <w:rPr>
          <w:rFonts w:asciiTheme="minorHAnsi" w:hAnsiTheme="minorHAnsi" w:cstheme="minorHAnsi"/>
          <w:szCs w:val="24"/>
        </w:rPr>
        <w:t>able 2</w:t>
      </w:r>
      <w:r w:rsidR="00680D15" w:rsidRPr="008910A1">
        <w:rPr>
          <w:rFonts w:asciiTheme="minorHAnsi" w:hAnsiTheme="minorHAnsi" w:cstheme="minorHAnsi"/>
          <w:szCs w:val="24"/>
        </w:rPr>
        <w:t xml:space="preserve"> appear to show a small or moderate increase in the coefficient of inequality in</w:t>
      </w:r>
      <w:r w:rsidR="00680D15">
        <w:rPr>
          <w:rFonts w:asciiTheme="minorHAnsi" w:hAnsiTheme="minorHAnsi" w:cstheme="minorHAnsi"/>
          <w:szCs w:val="24"/>
        </w:rPr>
        <w:t xml:space="preserve"> </w:t>
      </w:r>
      <w:r w:rsidR="008B37E7">
        <w:rPr>
          <w:rFonts w:asciiTheme="minorHAnsi" w:hAnsiTheme="minorHAnsi" w:cstheme="minorHAnsi"/>
          <w:szCs w:val="24"/>
        </w:rPr>
        <w:t xml:space="preserve">both </w:t>
      </w:r>
      <w:r w:rsidR="00680D15">
        <w:rPr>
          <w:rFonts w:asciiTheme="minorHAnsi" w:hAnsiTheme="minorHAnsi" w:cstheme="minorHAnsi"/>
          <w:szCs w:val="24"/>
        </w:rPr>
        <w:t xml:space="preserve">mining </w:t>
      </w:r>
      <w:r w:rsidR="008B37E7">
        <w:rPr>
          <w:rFonts w:asciiTheme="minorHAnsi" w:hAnsiTheme="minorHAnsi" w:cstheme="minorHAnsi"/>
          <w:szCs w:val="24"/>
        </w:rPr>
        <w:t>and</w:t>
      </w:r>
      <w:r w:rsidR="00680D15">
        <w:rPr>
          <w:rFonts w:asciiTheme="minorHAnsi" w:hAnsiTheme="minorHAnsi" w:cstheme="minorHAnsi"/>
          <w:szCs w:val="24"/>
        </w:rPr>
        <w:t xml:space="preserve"> non-mining areas. Base</w:t>
      </w:r>
      <w:r w:rsidR="008B37E7">
        <w:rPr>
          <w:rFonts w:asciiTheme="minorHAnsi" w:hAnsiTheme="minorHAnsi" w:cstheme="minorHAnsi"/>
          <w:szCs w:val="24"/>
        </w:rPr>
        <w:t>d on the table</w:t>
      </w:r>
      <w:r w:rsidR="00680D15">
        <w:rPr>
          <w:rFonts w:asciiTheme="minorHAnsi" w:hAnsiTheme="minorHAnsi" w:cstheme="minorHAnsi"/>
          <w:szCs w:val="24"/>
        </w:rPr>
        <w:t xml:space="preserve">, </w:t>
      </w:r>
      <w:r w:rsidR="00BD74D5">
        <w:rPr>
          <w:rFonts w:asciiTheme="minorHAnsi" w:hAnsiTheme="minorHAnsi" w:cstheme="minorHAnsi"/>
          <w:szCs w:val="24"/>
        </w:rPr>
        <w:t xml:space="preserve">Kalgoorlie-Boulder in Western Australia, North-West Queensland and </w:t>
      </w:r>
      <w:r w:rsidR="00680D15">
        <w:rPr>
          <w:rFonts w:asciiTheme="minorHAnsi" w:hAnsiTheme="minorHAnsi" w:cstheme="minorHAnsi"/>
          <w:szCs w:val="24"/>
        </w:rPr>
        <w:t xml:space="preserve">the Pilbara appear to show the </w:t>
      </w:r>
      <w:r w:rsidR="00BD74D5">
        <w:rPr>
          <w:rFonts w:asciiTheme="minorHAnsi" w:hAnsiTheme="minorHAnsi" w:cstheme="minorHAnsi"/>
          <w:szCs w:val="24"/>
        </w:rPr>
        <w:t>highest</w:t>
      </w:r>
      <w:r w:rsidR="00680D15">
        <w:rPr>
          <w:rFonts w:asciiTheme="minorHAnsi" w:hAnsiTheme="minorHAnsi" w:cstheme="minorHAnsi"/>
          <w:szCs w:val="24"/>
        </w:rPr>
        <w:t xml:space="preserve"> </w:t>
      </w:r>
      <w:r w:rsidR="00BD74D5">
        <w:rPr>
          <w:rFonts w:asciiTheme="minorHAnsi" w:hAnsiTheme="minorHAnsi" w:cstheme="minorHAnsi"/>
          <w:szCs w:val="24"/>
        </w:rPr>
        <w:t xml:space="preserve">mean percentage </w:t>
      </w:r>
      <w:r w:rsidR="00680D15">
        <w:rPr>
          <w:rFonts w:asciiTheme="minorHAnsi" w:hAnsiTheme="minorHAnsi" w:cstheme="minorHAnsi"/>
          <w:szCs w:val="24"/>
        </w:rPr>
        <w:t>increase</w:t>
      </w:r>
      <w:r w:rsidR="003A25FD">
        <w:rPr>
          <w:rFonts w:asciiTheme="minorHAnsi" w:hAnsiTheme="minorHAnsi" w:cstheme="minorHAnsi"/>
          <w:szCs w:val="24"/>
        </w:rPr>
        <w:t xml:space="preserve">s, between 14 </w:t>
      </w:r>
      <w:r w:rsidR="005F407B">
        <w:rPr>
          <w:rFonts w:asciiTheme="minorHAnsi" w:hAnsiTheme="minorHAnsi" w:cstheme="minorHAnsi"/>
          <w:szCs w:val="24"/>
        </w:rPr>
        <w:t>and</w:t>
      </w:r>
      <w:r w:rsidR="003A25FD">
        <w:rPr>
          <w:rFonts w:asciiTheme="minorHAnsi" w:hAnsiTheme="minorHAnsi" w:cstheme="minorHAnsi"/>
          <w:szCs w:val="24"/>
        </w:rPr>
        <w:t xml:space="preserve"> 21</w:t>
      </w:r>
      <w:r w:rsidR="00BD74D5">
        <w:rPr>
          <w:rFonts w:asciiTheme="minorHAnsi" w:hAnsiTheme="minorHAnsi" w:cstheme="minorHAnsi"/>
          <w:szCs w:val="24"/>
        </w:rPr>
        <w:t>%</w:t>
      </w:r>
      <w:r w:rsidR="00680D15">
        <w:rPr>
          <w:rFonts w:asciiTheme="minorHAnsi" w:hAnsiTheme="minorHAnsi" w:cstheme="minorHAnsi"/>
          <w:szCs w:val="24"/>
        </w:rPr>
        <w:t>.</w:t>
      </w:r>
      <w:r w:rsidR="00BD74D5">
        <w:rPr>
          <w:rFonts w:asciiTheme="minorHAnsi" w:hAnsiTheme="minorHAnsi" w:cstheme="minorHAnsi"/>
          <w:szCs w:val="24"/>
        </w:rPr>
        <w:t xml:space="preserve"> Central West and the Bowen Basin</w:t>
      </w:r>
      <w:r w:rsidR="004D6653">
        <w:rPr>
          <w:rFonts w:asciiTheme="minorHAnsi" w:hAnsiTheme="minorHAnsi" w:cstheme="minorHAnsi"/>
          <w:szCs w:val="24"/>
        </w:rPr>
        <w:t>,</w:t>
      </w:r>
      <w:r w:rsidR="00BD74D5">
        <w:rPr>
          <w:rFonts w:asciiTheme="minorHAnsi" w:hAnsiTheme="minorHAnsi" w:cstheme="minorHAnsi"/>
          <w:szCs w:val="24"/>
        </w:rPr>
        <w:t xml:space="preserve"> on the other hand</w:t>
      </w:r>
      <w:r w:rsidR="004D6653">
        <w:rPr>
          <w:rFonts w:asciiTheme="minorHAnsi" w:hAnsiTheme="minorHAnsi" w:cstheme="minorHAnsi"/>
          <w:szCs w:val="24"/>
        </w:rPr>
        <w:t>,</w:t>
      </w:r>
      <w:r w:rsidR="00BD74D5">
        <w:rPr>
          <w:rFonts w:asciiTheme="minorHAnsi" w:hAnsiTheme="minorHAnsi" w:cstheme="minorHAnsi"/>
          <w:szCs w:val="24"/>
        </w:rPr>
        <w:t xml:space="preserve"> see a small reduction in inequality, 2.7% and 1.8% respectively. It is worth not</w:t>
      </w:r>
      <w:r w:rsidR="002A2BD9">
        <w:rPr>
          <w:rFonts w:asciiTheme="minorHAnsi" w:hAnsiTheme="minorHAnsi" w:cstheme="minorHAnsi"/>
          <w:szCs w:val="24"/>
        </w:rPr>
        <w:t>ing</w:t>
      </w:r>
      <w:r w:rsidR="00BD74D5">
        <w:rPr>
          <w:rFonts w:asciiTheme="minorHAnsi" w:hAnsiTheme="minorHAnsi" w:cstheme="minorHAnsi"/>
          <w:szCs w:val="24"/>
        </w:rPr>
        <w:t xml:space="preserve"> that the mean values calculated for 2006 and 2016 are all under 0.5, the midway point of the co</w:t>
      </w:r>
      <w:r w:rsidR="00781B58">
        <w:rPr>
          <w:rFonts w:asciiTheme="minorHAnsi" w:hAnsiTheme="minorHAnsi" w:cstheme="minorHAnsi"/>
          <w:szCs w:val="24"/>
        </w:rPr>
        <w:t>efficient</w:t>
      </w:r>
      <w:r w:rsidR="002A2BD9">
        <w:rPr>
          <w:rFonts w:asciiTheme="minorHAnsi" w:hAnsiTheme="minorHAnsi" w:cstheme="minorHAnsi"/>
          <w:szCs w:val="24"/>
        </w:rPr>
        <w:t>,</w:t>
      </w:r>
      <w:r w:rsidR="00781B58">
        <w:rPr>
          <w:rFonts w:asciiTheme="minorHAnsi" w:hAnsiTheme="minorHAnsi" w:cstheme="minorHAnsi"/>
          <w:szCs w:val="24"/>
        </w:rPr>
        <w:t xml:space="preserve"> and hence none of the </w:t>
      </w:r>
      <w:r w:rsidR="00C925C6">
        <w:rPr>
          <w:rFonts w:asciiTheme="minorHAnsi" w:hAnsiTheme="minorHAnsi" w:cstheme="minorHAnsi"/>
          <w:szCs w:val="24"/>
        </w:rPr>
        <w:t xml:space="preserve">family </w:t>
      </w:r>
      <w:r w:rsidR="00932547">
        <w:rPr>
          <w:rFonts w:asciiTheme="minorHAnsi" w:hAnsiTheme="minorHAnsi" w:cstheme="minorHAnsi"/>
          <w:szCs w:val="24"/>
        </w:rPr>
        <w:t xml:space="preserve">income distribution </w:t>
      </w:r>
      <w:r w:rsidR="00781B58">
        <w:rPr>
          <w:rFonts w:asciiTheme="minorHAnsi" w:hAnsiTheme="minorHAnsi" w:cstheme="minorHAnsi"/>
          <w:szCs w:val="24"/>
        </w:rPr>
        <w:t>factors indicat</w:t>
      </w:r>
      <w:r w:rsidR="002A2BD9">
        <w:rPr>
          <w:rFonts w:asciiTheme="minorHAnsi" w:hAnsiTheme="minorHAnsi" w:cstheme="minorHAnsi"/>
          <w:szCs w:val="24"/>
        </w:rPr>
        <w:t>e</w:t>
      </w:r>
      <w:r w:rsidR="00781B58">
        <w:rPr>
          <w:rFonts w:asciiTheme="minorHAnsi" w:hAnsiTheme="minorHAnsi" w:cstheme="minorHAnsi"/>
          <w:szCs w:val="24"/>
        </w:rPr>
        <w:t xml:space="preserve"> extreme levels</w:t>
      </w:r>
      <w:r w:rsidR="00932547">
        <w:rPr>
          <w:rFonts w:asciiTheme="minorHAnsi" w:hAnsiTheme="minorHAnsi" w:cstheme="minorHAnsi"/>
          <w:szCs w:val="24"/>
        </w:rPr>
        <w:t xml:space="preserve"> of inequality</w:t>
      </w:r>
      <w:r w:rsidR="002D2464">
        <w:rPr>
          <w:rFonts w:asciiTheme="minorHAnsi" w:hAnsiTheme="minorHAnsi" w:cstheme="minorHAnsi"/>
          <w:szCs w:val="24"/>
        </w:rPr>
        <w:t>.</w:t>
      </w:r>
    </w:p>
    <w:p w14:paraId="7109291E" w14:textId="77777777" w:rsidR="00B460A3" w:rsidRDefault="00B460A3" w:rsidP="00B460A3">
      <w:pPr>
        <w:pStyle w:val="BodyText"/>
        <w:keepNext/>
      </w:pPr>
      <w:r>
        <w:rPr>
          <w:noProof/>
        </w:rPr>
        <w:drawing>
          <wp:inline distT="0" distB="0" distL="0" distR="0" wp14:anchorId="672AA559" wp14:editId="12F24758">
            <wp:extent cx="6119010" cy="4326890"/>
            <wp:effectExtent l="0" t="0" r="0" b="0"/>
            <wp:docPr id="43" name="Picture 43" descr="This map of Australia shows changes in the income-based inequality coefficient (Gini) local government areas." title="Figure 9. Percentage change in the inequality Gini coefficient in mining regions, 2006–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iniChange2006-2016_wMiningRegions.jpg"/>
                    <pic:cNvPicPr/>
                  </pic:nvPicPr>
                  <pic:blipFill>
                    <a:blip r:embed="rId22">
                      <a:extLst>
                        <a:ext uri="{28A0092B-C50C-407E-A947-70E740481C1C}">
                          <a14:useLocalDpi xmlns:a14="http://schemas.microsoft.com/office/drawing/2010/main" val="0"/>
                        </a:ext>
                      </a:extLst>
                    </a:blip>
                    <a:stretch>
                      <a:fillRect/>
                    </a:stretch>
                  </pic:blipFill>
                  <pic:spPr>
                    <a:xfrm>
                      <a:off x="0" y="0"/>
                      <a:ext cx="6119010" cy="4326890"/>
                    </a:xfrm>
                    <a:prstGeom prst="rect">
                      <a:avLst/>
                    </a:prstGeom>
                  </pic:spPr>
                </pic:pic>
              </a:graphicData>
            </a:graphic>
          </wp:inline>
        </w:drawing>
      </w:r>
    </w:p>
    <w:p w14:paraId="077B45E9" w14:textId="13906D23" w:rsidR="00B460A3" w:rsidRDefault="00B460A3" w:rsidP="00B460A3">
      <w:pPr>
        <w:pStyle w:val="Caption"/>
      </w:pPr>
      <w:bookmarkStart w:id="17" w:name="_Toc515031472"/>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9</w:t>
      </w:r>
      <w:r w:rsidR="00B5448A">
        <w:rPr>
          <w:noProof/>
        </w:rPr>
        <w:fldChar w:fldCharType="end"/>
      </w:r>
      <w:r>
        <w:t>. Percentage change in the inequality Gini coefficient in mining regions, 2006–2016</w:t>
      </w:r>
      <w:bookmarkEnd w:id="17"/>
    </w:p>
    <w:p w14:paraId="1F359F3D" w14:textId="041F8D09" w:rsidR="00B460A3" w:rsidRDefault="008846BC" w:rsidP="00B460A3">
      <w:pPr>
        <w:pStyle w:val="FootnoteText"/>
      </w:pPr>
      <w:r>
        <w:t>Data s</w:t>
      </w:r>
      <w:r w:rsidR="00B460A3">
        <w:t xml:space="preserve">ource: analysis based on Census family income data </w:t>
      </w:r>
      <w:r w:rsidR="00B460A3">
        <w:fldChar w:fldCharType="begin"/>
      </w:r>
      <w:r w:rsidR="00472DAC">
        <w:instrText xml:space="preserve"> ADDIN EN.CITE &lt;EndNote&gt;&lt;Cite AuthorYear="1"&gt;&lt;Author&gt;Australian Bureau of Statistics&lt;/Author&gt;&lt;Year&gt;2016&lt;/Year&gt;&lt;RecNum&gt;2997&lt;/RecNum&gt;&lt;DisplayText&gt;Australian Bureau of Statistics (2016c)&lt;/DisplayText&gt;&lt;record&gt;&lt;rec-number&gt;2997&lt;/rec-number&gt;&lt;foreign-keys&gt;&lt;key app="EN" db-id="vzav25azvd0fxjextfzvax229ff0apaprtda" timestamp="1505697357"&gt;2997&lt;/key&gt;&lt;/foreign-keys&gt;&lt;ref-type name="Dataset"&gt;59&lt;/ref-type&gt;&lt;contributors&gt;&lt;authors&gt;&lt;author&gt;Australian Bureau of Statistics,&lt;/author&gt;&lt;/authors&gt;&lt;secondary-authors&gt;&lt;author&gt;Australian Bureau of Statistics,&lt;/author&gt;&lt;/secondary-authors&gt;&lt;/contributors&gt;&lt;titles&gt;&lt;title&gt;Australian Census 2016: DataPacks&lt;/title&gt;&lt;/titles&gt;&lt;edition&gt;2016&lt;/edition&gt;&lt;section&gt;2016&lt;/section&gt;&lt;dates&gt;&lt;year&gt;2016&lt;/year&gt;&lt;pub-dates&gt;&lt;date&gt;20.08.2017&lt;/date&gt;&lt;/pub-dates&gt;&lt;/dates&gt;&lt;pub-location&gt;Canberra&lt;/pub-location&gt;&lt;urls&gt;&lt;related-urls&gt;&lt;url&gt;https://datapacks.censusdata.abs.gov.au/datapacks/&lt;/url&gt;&lt;/related-urls&gt;&lt;/urls&gt;&lt;access-date&gt;14.08.16&lt;/access-date&gt;&lt;/record&gt;&lt;/Cite&gt;&lt;/EndNote&gt;</w:instrText>
      </w:r>
      <w:r w:rsidR="00B460A3">
        <w:fldChar w:fldCharType="separate"/>
      </w:r>
      <w:r w:rsidR="00472DAC">
        <w:rPr>
          <w:noProof/>
        </w:rPr>
        <w:t>Australian Bureau of Statistics (2016c)</w:t>
      </w:r>
      <w:r w:rsidR="00B460A3">
        <w:fldChar w:fldCharType="end"/>
      </w:r>
      <w:r w:rsidR="00B460A3">
        <w:t>, LGA level regions</w:t>
      </w:r>
      <w:r w:rsidR="002A2BD9">
        <w:t>.</w:t>
      </w:r>
    </w:p>
    <w:p w14:paraId="6736CA65" w14:textId="4DC1B2EB" w:rsidR="00383F43" w:rsidRDefault="00225F8D" w:rsidP="00E40ECC">
      <w:pPr>
        <w:pStyle w:val="BodyText"/>
        <w:jc w:val="both"/>
      </w:pPr>
      <w:r>
        <w:rPr>
          <w:noProof/>
        </w:rPr>
        <w:lastRenderedPageBreak/>
        <mc:AlternateContent>
          <mc:Choice Requires="wps">
            <w:drawing>
              <wp:anchor distT="91440" distB="91440" distL="114300" distR="114300" simplePos="0" relativeHeight="251817472" behindDoc="0" locked="0" layoutInCell="1" allowOverlap="1" wp14:anchorId="06BEFEE7" wp14:editId="25AC9228">
                <wp:simplePos x="0" y="0"/>
                <wp:positionH relativeFrom="margin">
                  <wp:posOffset>2980690</wp:posOffset>
                </wp:positionH>
                <wp:positionV relativeFrom="paragraph">
                  <wp:posOffset>853440</wp:posOffset>
                </wp:positionV>
                <wp:extent cx="3121025" cy="942975"/>
                <wp:effectExtent l="0" t="0" r="0" b="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1025" cy="942975"/>
                        </a:xfrm>
                        <a:prstGeom prst="rect">
                          <a:avLst/>
                        </a:prstGeom>
                        <a:noFill/>
                        <a:ln w="9525">
                          <a:noFill/>
                          <a:miter lim="800000"/>
                          <a:headEnd/>
                          <a:tailEnd/>
                        </a:ln>
                      </wps:spPr>
                      <wps:txbx>
                        <w:txbxContent>
                          <w:p w14:paraId="26736E64" w14:textId="513DB747" w:rsidR="00B5448A" w:rsidRPr="00E64C6A" w:rsidRDefault="00B5448A" w:rsidP="00225F8D">
                            <w:pPr>
                              <w:pBdr>
                                <w:top w:val="single" w:sz="24" w:space="8" w:color="00A9CE" w:themeColor="accent1"/>
                                <w:bottom w:val="single" w:sz="24" w:space="8" w:color="00A9CE" w:themeColor="accent1"/>
                              </w:pBdr>
                              <w:spacing w:after="0"/>
                              <w:rPr>
                                <w:i/>
                                <w:iCs/>
                                <w:color w:val="00A9CE" w:themeColor="accent1"/>
                                <w:sz w:val="24"/>
                                <w:szCs w:val="24"/>
                              </w:rPr>
                            </w:pPr>
                            <w:r w:rsidRPr="005178A4">
                              <w:rPr>
                                <w:i/>
                                <w:iCs/>
                                <w:color w:val="00A9CE" w:themeColor="accent1"/>
                                <w:sz w:val="24"/>
                                <w:szCs w:val="24"/>
                              </w:rPr>
                              <w:t>Changes in family income distribution for mining regions for 2006–16 are not statistically different from non-mining regions.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EFEE7" id="_x0000_s1051" type="#_x0000_t202" style="position:absolute;left:0;text-align:left;margin-left:234.7pt;margin-top:67.2pt;width:245.75pt;height:74.25pt;z-index:2518174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" filled="f" stroked="f">
                <v:textbox>
                  <w:txbxContent>
                    <w:p w14:paraId="26736E64" w14:textId="513DB747" w:rsidR="00B5448A" w:rsidRPr="00E64C6A" w:rsidRDefault="00B5448A" w:rsidP="00225F8D">
                      <w:pPr>
                        <w:pBdr>
                          <w:top w:val="single" w:sz="24" w:space="8" w:color="00A9CE" w:themeColor="accent1"/>
                          <w:bottom w:val="single" w:sz="24" w:space="8" w:color="00A9CE" w:themeColor="accent1"/>
                        </w:pBdr>
                        <w:spacing w:after="0"/>
                        <w:rPr>
                          <w:i/>
                          <w:iCs/>
                          <w:color w:val="00A9CE" w:themeColor="accent1"/>
                          <w:sz w:val="24"/>
                          <w:szCs w:val="24"/>
                        </w:rPr>
                      </w:pPr>
                      <w:r w:rsidRPr="005178A4">
                        <w:rPr>
                          <w:i/>
                          <w:iCs/>
                          <w:color w:val="00A9CE" w:themeColor="accent1"/>
                          <w:sz w:val="24"/>
                          <w:szCs w:val="24"/>
                        </w:rPr>
                        <w:t>Changes in family income distribution for mining regions for 2006–16 are not statistically different from non-mining regions.</w:t>
                      </w:r>
                    </w:p>
                  </w:txbxContent>
                </v:textbox>
                <w10:wrap type="square" anchorx="margin"/>
              </v:shape>
            </w:pict>
          </mc:Fallback>
        </mc:AlternateContent>
      </w:r>
      <w:r w:rsidR="00680D15">
        <w:t xml:space="preserve">In order to understand whether changes observed in the Gini coefficients in the Local Government Area mining regions are statistically significant or could </w:t>
      </w:r>
      <w:r w:rsidR="002A2BD9">
        <w:t>show</w:t>
      </w:r>
      <w:r w:rsidR="00680D15">
        <w:t xml:space="preserve"> natural variation</w:t>
      </w:r>
      <w:r w:rsidR="002A2BD9">
        <w:t>s</w:t>
      </w:r>
      <w:r w:rsidR="00680D15">
        <w:t xml:space="preserve"> in the data, several </w:t>
      </w:r>
      <w:r w:rsidR="008B37E7">
        <w:t>‘</w:t>
      </w:r>
      <w:r w:rsidR="00680D15">
        <w:t>t-tests</w:t>
      </w:r>
      <w:r w:rsidR="008B37E7">
        <w:t>’</w:t>
      </w:r>
      <w:r w:rsidR="00274C18">
        <w:t xml:space="preserve"> were applied. The first test wa</w:t>
      </w:r>
      <w:r w:rsidR="00680D15">
        <w:t xml:space="preserve">s for 2006 to 2011. </w:t>
      </w:r>
      <w:r w:rsidR="00274C18">
        <w:t>The test found</w:t>
      </w:r>
      <w:r w:rsidR="00680D15">
        <w:t xml:space="preserve"> the mean percentage change in the Gini</w:t>
      </w:r>
      <w:r w:rsidR="00274C18">
        <w:t xml:space="preserve"> coefficient in mining regions wa</w:t>
      </w:r>
      <w:r w:rsidR="00680D15">
        <w:t xml:space="preserve">s not statistically different from non-mining regions. The test for the 10 year period </w:t>
      </w:r>
      <w:r w:rsidR="00867031">
        <w:t>(2006</w:t>
      </w:r>
      <w:r w:rsidR="00EA5DB3">
        <w:t>–</w:t>
      </w:r>
      <w:r w:rsidR="00375915">
        <w:t>2016</w:t>
      </w:r>
      <w:r w:rsidR="00867031">
        <w:t>)</w:t>
      </w:r>
      <w:r w:rsidR="00375915">
        <w:t xml:space="preserve"> </w:t>
      </w:r>
      <w:r w:rsidR="00274C18">
        <w:t>found</w:t>
      </w:r>
      <w:r w:rsidR="00680D15">
        <w:t xml:space="preserve"> </w:t>
      </w:r>
      <w:r w:rsidR="008B37E7">
        <w:t>similar</w:t>
      </w:r>
      <w:r w:rsidR="00680D15">
        <w:t xml:space="preserve"> results. On the other hand, the test for 2011</w:t>
      </w:r>
      <w:r w:rsidR="002A2BD9">
        <w:t xml:space="preserve"> to 20</w:t>
      </w:r>
      <w:r w:rsidR="00680D15">
        <w:t xml:space="preserve">16, </w:t>
      </w:r>
      <w:r w:rsidR="00444239">
        <w:t xml:space="preserve">showed that </w:t>
      </w:r>
      <w:r w:rsidR="00680D15">
        <w:t>the mean percentage</w:t>
      </w:r>
      <w:r w:rsidR="00274C18">
        <w:t xml:space="preserve"> </w:t>
      </w:r>
      <w:r w:rsidR="00177299">
        <w:t>increase (of income inequality)</w:t>
      </w:r>
      <w:r w:rsidR="00274C18">
        <w:t xml:space="preserve"> in mining LGA regions wa</w:t>
      </w:r>
      <w:r w:rsidR="00680D15">
        <w:t xml:space="preserve">s statistically significantly different from non-mining regions. </w:t>
      </w:r>
      <w:r w:rsidR="00444239">
        <w:t xml:space="preserve"> To reconcile these statistical differences, analysis drilled down to a finer scale of data collection (ABS SA2), which showed that </w:t>
      </w:r>
      <w:r w:rsidR="00274C18">
        <w:t>the mean percentage change wa</w:t>
      </w:r>
      <w:r w:rsidR="004F2926">
        <w:t xml:space="preserve">s not statistically </w:t>
      </w:r>
      <w:r w:rsidR="00680D15">
        <w:t>significant</w:t>
      </w:r>
      <w:r w:rsidR="006E0958">
        <w:t xml:space="preserve"> for any</w:t>
      </w:r>
      <w:r w:rsidR="004D785D">
        <w:t xml:space="preserve"> of these </w:t>
      </w:r>
      <w:r w:rsidR="006E0958">
        <w:t>period</w:t>
      </w:r>
      <w:r w:rsidR="004D785D">
        <w:t>s</w:t>
      </w:r>
      <w:r w:rsidR="00444239">
        <w:t xml:space="preserve"> at that scale</w:t>
      </w:r>
      <w:r w:rsidR="004D785D">
        <w:t xml:space="preserve"> (s</w:t>
      </w:r>
      <w:r w:rsidR="006E0958">
        <w:t>ee Appendix A)</w:t>
      </w:r>
      <w:r w:rsidR="0049204D">
        <w:t>.</w:t>
      </w:r>
      <w:r w:rsidR="000C440E">
        <w:rPr>
          <w:rStyle w:val="FootnoteReference"/>
        </w:rPr>
        <w:footnoteReference w:id="14"/>
      </w:r>
      <w:r w:rsidR="00680D15">
        <w:t xml:space="preserve"> </w:t>
      </w:r>
      <w:r w:rsidR="00986A2D" w:rsidRPr="00444239">
        <w:t xml:space="preserve">Overall the different results of the t-tests for data at different scales indicate </w:t>
      </w:r>
      <w:r w:rsidR="00C0200B" w:rsidRPr="00444239">
        <w:t xml:space="preserve">the </w:t>
      </w:r>
      <w:r w:rsidR="005725A1" w:rsidRPr="00444239">
        <w:t>increase</w:t>
      </w:r>
      <w:r w:rsidR="00986A2D" w:rsidRPr="00444239">
        <w:t xml:space="preserve"> in </w:t>
      </w:r>
      <w:r w:rsidR="005725A1" w:rsidRPr="00444239">
        <w:t xml:space="preserve">income inequality </w:t>
      </w:r>
      <w:r w:rsidRPr="00444239">
        <w:t xml:space="preserve">between 2006 and 2016 </w:t>
      </w:r>
      <w:r w:rsidR="00274C18" w:rsidRPr="00444239">
        <w:t>wa</w:t>
      </w:r>
      <w:r w:rsidR="00680D15" w:rsidRPr="00444239">
        <w:t>s</w:t>
      </w:r>
      <w:r w:rsidR="00C0200B" w:rsidRPr="00444239">
        <w:t xml:space="preserve"> not</w:t>
      </w:r>
      <w:r w:rsidR="00680D15" w:rsidRPr="00444239">
        <w:t xml:space="preserve"> significant.</w:t>
      </w:r>
    </w:p>
    <w:p w14:paraId="7B7C19E0" w14:textId="55D3471C" w:rsidR="00DD5B2E" w:rsidRDefault="00DD5B2E" w:rsidP="00132D7C">
      <w:pPr>
        <w:pStyle w:val="Caption"/>
        <w:ind w:left="1985" w:right="1558"/>
      </w:pPr>
      <w:bookmarkStart w:id="18" w:name="_Toc515031487"/>
      <w:r>
        <w:t xml:space="preserve">Table </w:t>
      </w:r>
      <w:r w:rsidR="00B5448A">
        <w:rPr>
          <w:noProof/>
        </w:rPr>
        <w:fldChar w:fldCharType="begin"/>
      </w:r>
      <w:r w:rsidR="00B5448A">
        <w:rPr>
          <w:noProof/>
        </w:rPr>
        <w:instrText xml:space="preserve"> SEQ Table \* ARABIC </w:instrText>
      </w:r>
      <w:r w:rsidR="00B5448A">
        <w:rPr>
          <w:noProof/>
        </w:rPr>
        <w:fldChar w:fldCharType="separate"/>
      </w:r>
      <w:r w:rsidR="0083361D">
        <w:rPr>
          <w:noProof/>
        </w:rPr>
        <w:t>2</w:t>
      </w:r>
      <w:r w:rsidR="00B5448A">
        <w:rPr>
          <w:noProof/>
        </w:rPr>
        <w:fldChar w:fldCharType="end"/>
      </w:r>
      <w:r>
        <w:t>. Gini coefficient of inequality</w:t>
      </w:r>
      <w:r w:rsidR="008F7970">
        <w:t xml:space="preserve"> and its</w:t>
      </w:r>
      <w:r>
        <w:t xml:space="preserve"> change during the 2006</w:t>
      </w:r>
      <w:r w:rsidR="007061B4">
        <w:t>–</w:t>
      </w:r>
      <w:r>
        <w:t>2016 period</w:t>
      </w:r>
      <w:r w:rsidR="009D3ABF">
        <w:t xml:space="preserve"> for LGAs</w:t>
      </w:r>
      <w:bookmarkEnd w:id="18"/>
    </w:p>
    <w:tbl>
      <w:tblPr>
        <w:tblStyle w:val="TableCSIRO"/>
        <w:tblW w:w="3414" w:type="pct"/>
        <w:jc w:val="center"/>
        <w:tblInd w:w="0" w:type="dxa"/>
        <w:tblLayout w:type="fixed"/>
        <w:tblLook w:val="04A0" w:firstRow="1" w:lastRow="0" w:firstColumn="1" w:lastColumn="0" w:noHBand="0" w:noVBand="1"/>
        <w:tblCaption w:val="Table 2"/>
        <w:tblDescription w:val="This table lists data for mining LGAs, non-mining LGAs and non-mining regions for the Gini coefficient of inequality."/>
      </w:tblPr>
      <w:tblGrid>
        <w:gridCol w:w="2429"/>
        <w:gridCol w:w="1382"/>
        <w:gridCol w:w="1385"/>
        <w:gridCol w:w="1385"/>
      </w:tblGrid>
      <w:tr w:rsidR="00680D15" w:rsidRPr="00B5302B" w14:paraId="196EC69F" w14:textId="77777777" w:rsidTr="000E3A0A">
        <w:trPr>
          <w:cnfStyle w:val="100000000000" w:firstRow="1" w:lastRow="0" w:firstColumn="0" w:lastColumn="0" w:oddVBand="0" w:evenVBand="0" w:oddHBand="0" w:evenHBand="0" w:firstRowFirstColumn="0" w:firstRowLastColumn="0" w:lastRowFirstColumn="0" w:lastRowLastColumn="0"/>
          <w:trHeight w:val="310"/>
          <w:tblHeader/>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62F994F8" w14:textId="77777777" w:rsidR="00680D15" w:rsidRPr="00B5302B" w:rsidRDefault="00680D15" w:rsidP="00B5302B">
            <w:pPr>
              <w:spacing w:after="0"/>
              <w:rPr>
                <w:rFonts w:ascii="Times New Roman" w:eastAsia="Times New Roman" w:hAnsi="Times New Roman"/>
                <w:color w:val="FFFFFF" w:themeColor="background1"/>
                <w:sz w:val="24"/>
                <w:szCs w:val="24"/>
              </w:rPr>
            </w:pPr>
          </w:p>
        </w:tc>
        <w:tc>
          <w:tcPr>
            <w:tcW w:w="1050" w:type="pct"/>
            <w:noWrap/>
            <w:hideMark/>
          </w:tcPr>
          <w:p w14:paraId="1BD4CBD5" w14:textId="77777777" w:rsidR="00680D15" w:rsidRPr="00B5302B" w:rsidRDefault="00680D15" w:rsidP="00B5302B">
            <w:pPr>
              <w:spacing w:after="0"/>
              <w:cnfStyle w:val="100000000000" w:firstRow="1" w:lastRow="0" w:firstColumn="0" w:lastColumn="0" w:oddVBand="0" w:evenVBand="0" w:oddHBand="0" w:evenHBand="0" w:firstRowFirstColumn="0" w:firstRowLastColumn="0" w:lastRowFirstColumn="0" w:lastRowLastColumn="0"/>
              <w:rPr>
                <w:rFonts w:eastAsia="Times New Roman" w:cs="Calibri"/>
                <w:color w:val="FFFFFF" w:themeColor="background1"/>
              </w:rPr>
            </w:pPr>
            <w:r w:rsidRPr="00B5302B">
              <w:rPr>
                <w:rFonts w:eastAsia="Times New Roman" w:cs="Calibri"/>
                <w:color w:val="FFFFFF" w:themeColor="background1"/>
              </w:rPr>
              <w:t>Gini 2006</w:t>
            </w:r>
          </w:p>
        </w:tc>
        <w:tc>
          <w:tcPr>
            <w:tcW w:w="1052" w:type="pct"/>
            <w:noWrap/>
            <w:hideMark/>
          </w:tcPr>
          <w:p w14:paraId="041F7CD8" w14:textId="77777777" w:rsidR="00680D15" w:rsidRPr="00B5302B" w:rsidRDefault="00680D15" w:rsidP="00B5302B">
            <w:pPr>
              <w:spacing w:after="0"/>
              <w:cnfStyle w:val="100000000000" w:firstRow="1" w:lastRow="0" w:firstColumn="0" w:lastColumn="0" w:oddVBand="0" w:evenVBand="0" w:oddHBand="0" w:evenHBand="0" w:firstRowFirstColumn="0" w:firstRowLastColumn="0" w:lastRowFirstColumn="0" w:lastRowLastColumn="0"/>
              <w:rPr>
                <w:rFonts w:eastAsia="Times New Roman" w:cs="Calibri"/>
                <w:color w:val="FFFFFF" w:themeColor="background1"/>
              </w:rPr>
            </w:pPr>
            <w:r w:rsidRPr="00B5302B">
              <w:rPr>
                <w:rFonts w:eastAsia="Times New Roman" w:cs="Calibri"/>
                <w:color w:val="FFFFFF" w:themeColor="background1"/>
              </w:rPr>
              <w:t>Gini 2016</w:t>
            </w:r>
          </w:p>
        </w:tc>
        <w:tc>
          <w:tcPr>
            <w:tcW w:w="1052" w:type="pct"/>
            <w:noWrap/>
            <w:hideMark/>
          </w:tcPr>
          <w:p w14:paraId="2C642867" w14:textId="255BE8B2" w:rsidR="00680D15" w:rsidRPr="00B5302B" w:rsidRDefault="00680D15" w:rsidP="00B5302B">
            <w:pPr>
              <w:spacing w:after="0"/>
              <w:cnfStyle w:val="100000000000" w:firstRow="1" w:lastRow="0" w:firstColumn="0" w:lastColumn="0" w:oddVBand="0" w:evenVBand="0" w:oddHBand="0" w:evenHBand="0" w:firstRowFirstColumn="0" w:firstRowLastColumn="0" w:lastRowFirstColumn="0" w:lastRowLastColumn="0"/>
              <w:rPr>
                <w:rFonts w:eastAsia="Times New Roman" w:cs="Calibri"/>
                <w:color w:val="FFFFFF" w:themeColor="background1"/>
              </w:rPr>
            </w:pPr>
            <w:r w:rsidRPr="00B5302B">
              <w:rPr>
                <w:rFonts w:eastAsia="Times New Roman" w:cs="Calibri"/>
                <w:color w:val="FFFFFF" w:themeColor="background1"/>
              </w:rPr>
              <w:t>% Change 2006</w:t>
            </w:r>
            <w:r w:rsidR="00843891">
              <w:rPr>
                <w:rFonts w:eastAsia="Times New Roman" w:cs="Calibri"/>
                <w:color w:val="FFFFFF" w:themeColor="background1"/>
              </w:rPr>
              <w:t>–</w:t>
            </w:r>
            <w:r w:rsidRPr="00B5302B">
              <w:rPr>
                <w:rFonts w:eastAsia="Times New Roman" w:cs="Calibri"/>
                <w:color w:val="FFFFFF" w:themeColor="background1"/>
              </w:rPr>
              <w:t xml:space="preserve">2016 </w:t>
            </w:r>
          </w:p>
        </w:tc>
      </w:tr>
      <w:tr w:rsidR="00680D15" w:rsidRPr="00B5302B" w14:paraId="27B697A4" w14:textId="77777777" w:rsidTr="00057200">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49C67503" w14:textId="77777777" w:rsidR="00680D15" w:rsidRPr="00B5302B" w:rsidRDefault="00680D15" w:rsidP="00B5302B">
            <w:pPr>
              <w:spacing w:after="0"/>
              <w:rPr>
                <w:rFonts w:eastAsia="Times New Roman" w:cs="Calibri"/>
              </w:rPr>
            </w:pPr>
            <w:r w:rsidRPr="00B5302B">
              <w:rPr>
                <w:rFonts w:eastAsia="Times New Roman" w:cs="Calibri"/>
              </w:rPr>
              <w:t>Mining LGAs [n=34]</w:t>
            </w:r>
          </w:p>
        </w:tc>
        <w:tc>
          <w:tcPr>
            <w:tcW w:w="1050" w:type="pct"/>
            <w:noWrap/>
            <w:hideMark/>
          </w:tcPr>
          <w:p w14:paraId="5D83D738"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0.314</w:t>
            </w:r>
          </w:p>
        </w:tc>
        <w:tc>
          <w:tcPr>
            <w:tcW w:w="1052" w:type="pct"/>
            <w:noWrap/>
            <w:hideMark/>
          </w:tcPr>
          <w:p w14:paraId="46073D2F"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0.340</w:t>
            </w:r>
          </w:p>
        </w:tc>
        <w:tc>
          <w:tcPr>
            <w:tcW w:w="1052" w:type="pct"/>
            <w:noWrap/>
            <w:hideMark/>
          </w:tcPr>
          <w:p w14:paraId="32E8CABE"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8.2</w:t>
            </w:r>
          </w:p>
        </w:tc>
      </w:tr>
      <w:tr w:rsidR="00680D15" w:rsidRPr="00B5302B" w14:paraId="16DBE643" w14:textId="77777777" w:rsidTr="00057200">
        <w:trPr>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22E44665" w14:textId="77777777" w:rsidR="00680D15" w:rsidRPr="00B5302B" w:rsidRDefault="00680D15" w:rsidP="00B5302B">
            <w:pPr>
              <w:spacing w:after="0"/>
              <w:rPr>
                <w:rFonts w:eastAsia="Times New Roman" w:cs="Calibri"/>
              </w:rPr>
            </w:pPr>
            <w:r w:rsidRPr="00B5302B">
              <w:rPr>
                <w:rFonts w:eastAsia="Times New Roman" w:cs="Calibri"/>
              </w:rPr>
              <w:t>Non-mining LGAs [n=507]</w:t>
            </w:r>
          </w:p>
        </w:tc>
        <w:tc>
          <w:tcPr>
            <w:tcW w:w="1050" w:type="pct"/>
            <w:noWrap/>
            <w:hideMark/>
          </w:tcPr>
          <w:p w14:paraId="2A6D6609"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0.327</w:t>
            </w:r>
          </w:p>
        </w:tc>
        <w:tc>
          <w:tcPr>
            <w:tcW w:w="1052" w:type="pct"/>
            <w:noWrap/>
            <w:hideMark/>
          </w:tcPr>
          <w:p w14:paraId="385AC837"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0.342</w:t>
            </w:r>
          </w:p>
        </w:tc>
        <w:tc>
          <w:tcPr>
            <w:tcW w:w="1052" w:type="pct"/>
            <w:noWrap/>
            <w:hideMark/>
          </w:tcPr>
          <w:p w14:paraId="775BC685"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4.5</w:t>
            </w:r>
          </w:p>
        </w:tc>
      </w:tr>
      <w:tr w:rsidR="00680D15" w:rsidRPr="00B5302B" w14:paraId="2E235479" w14:textId="77777777" w:rsidTr="00057200">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0D1D5B41" w14:textId="77777777" w:rsidR="00680D15" w:rsidRPr="00B5302B" w:rsidRDefault="00680D15" w:rsidP="00B5302B">
            <w:pPr>
              <w:spacing w:after="0"/>
              <w:rPr>
                <w:rFonts w:eastAsia="Times New Roman" w:cs="Calibri"/>
              </w:rPr>
            </w:pPr>
            <w:r w:rsidRPr="008F7970">
              <w:rPr>
                <w:rFonts w:eastAsia="Times New Roman" w:cs="Calibri"/>
              </w:rPr>
              <w:t>Non-mining regional</w:t>
            </w:r>
            <w:r w:rsidRPr="00B5302B">
              <w:rPr>
                <w:rFonts w:eastAsia="Times New Roman" w:cs="Calibri"/>
              </w:rPr>
              <w:t xml:space="preserve"> [n=286]</w:t>
            </w:r>
          </w:p>
        </w:tc>
        <w:tc>
          <w:tcPr>
            <w:tcW w:w="1050" w:type="pct"/>
            <w:noWrap/>
            <w:hideMark/>
          </w:tcPr>
          <w:p w14:paraId="3A4287F5"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0.326</w:t>
            </w:r>
          </w:p>
        </w:tc>
        <w:tc>
          <w:tcPr>
            <w:tcW w:w="1052" w:type="pct"/>
            <w:noWrap/>
            <w:hideMark/>
          </w:tcPr>
          <w:p w14:paraId="6BA68873"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0.344</w:t>
            </w:r>
          </w:p>
        </w:tc>
        <w:tc>
          <w:tcPr>
            <w:tcW w:w="1052" w:type="pct"/>
            <w:noWrap/>
            <w:hideMark/>
          </w:tcPr>
          <w:p w14:paraId="3B93BF6C"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5.2</w:t>
            </w:r>
          </w:p>
        </w:tc>
      </w:tr>
      <w:tr w:rsidR="00680D15" w:rsidRPr="00B5302B" w14:paraId="3ACE020F" w14:textId="77777777" w:rsidTr="00057200">
        <w:trPr>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1C6C6F50" w14:textId="77777777" w:rsidR="00680D15" w:rsidRPr="00B5302B" w:rsidRDefault="00680D15" w:rsidP="00B5302B">
            <w:pPr>
              <w:spacing w:after="0"/>
              <w:jc w:val="right"/>
              <w:rPr>
                <w:rFonts w:eastAsia="Times New Roman" w:cs="Calibri"/>
              </w:rPr>
            </w:pPr>
          </w:p>
        </w:tc>
        <w:tc>
          <w:tcPr>
            <w:tcW w:w="1050" w:type="pct"/>
            <w:noWrap/>
            <w:hideMark/>
          </w:tcPr>
          <w:p w14:paraId="06F7233D" w14:textId="77777777" w:rsidR="00680D15" w:rsidRPr="00B5302B" w:rsidRDefault="00680D15" w:rsidP="00B5302B">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auto"/>
                <w:sz w:val="20"/>
                <w:szCs w:val="20"/>
              </w:rPr>
            </w:pPr>
          </w:p>
        </w:tc>
        <w:tc>
          <w:tcPr>
            <w:tcW w:w="1052" w:type="pct"/>
            <w:noWrap/>
            <w:hideMark/>
          </w:tcPr>
          <w:p w14:paraId="37B22DFA" w14:textId="77777777" w:rsidR="00680D15" w:rsidRPr="00B5302B" w:rsidRDefault="00680D15" w:rsidP="00B5302B">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auto"/>
                <w:sz w:val="20"/>
                <w:szCs w:val="20"/>
              </w:rPr>
            </w:pPr>
          </w:p>
        </w:tc>
        <w:tc>
          <w:tcPr>
            <w:tcW w:w="1052" w:type="pct"/>
            <w:noWrap/>
            <w:hideMark/>
          </w:tcPr>
          <w:p w14:paraId="49682130" w14:textId="77777777" w:rsidR="00680D15" w:rsidRPr="00B5302B" w:rsidRDefault="00680D15" w:rsidP="00B5302B">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auto"/>
                <w:sz w:val="20"/>
                <w:szCs w:val="20"/>
              </w:rPr>
            </w:pPr>
          </w:p>
        </w:tc>
      </w:tr>
      <w:tr w:rsidR="00680D15" w:rsidRPr="00B5302B" w14:paraId="5ACB3739" w14:textId="77777777" w:rsidTr="00057200">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0C31C834" w14:textId="77777777" w:rsidR="00680D15" w:rsidRPr="00B5302B" w:rsidRDefault="00680D15" w:rsidP="00B5302B">
            <w:pPr>
              <w:spacing w:after="0"/>
              <w:rPr>
                <w:rFonts w:eastAsia="Times New Roman" w:cs="Calibri"/>
              </w:rPr>
            </w:pPr>
            <w:r w:rsidRPr="00B5302B">
              <w:rPr>
                <w:rFonts w:eastAsia="Times New Roman" w:cs="Calibri"/>
              </w:rPr>
              <w:t>Mining regions</w:t>
            </w:r>
          </w:p>
        </w:tc>
        <w:tc>
          <w:tcPr>
            <w:tcW w:w="1050" w:type="pct"/>
            <w:noWrap/>
            <w:hideMark/>
          </w:tcPr>
          <w:p w14:paraId="6CDA22B1" w14:textId="77777777" w:rsidR="00680D15" w:rsidRPr="00B5302B" w:rsidRDefault="00680D15" w:rsidP="00B5302B">
            <w:pPr>
              <w:spacing w:after="0"/>
              <w:cnfStyle w:val="000000100000" w:firstRow="0" w:lastRow="0" w:firstColumn="0" w:lastColumn="0" w:oddVBand="0" w:evenVBand="0" w:oddHBand="1" w:evenHBand="0" w:firstRowFirstColumn="0" w:firstRowLastColumn="0" w:lastRowFirstColumn="0" w:lastRowLastColumn="0"/>
              <w:rPr>
                <w:rFonts w:eastAsia="Times New Roman" w:cs="Calibri"/>
              </w:rPr>
            </w:pPr>
          </w:p>
        </w:tc>
        <w:tc>
          <w:tcPr>
            <w:tcW w:w="1052" w:type="pct"/>
            <w:noWrap/>
            <w:hideMark/>
          </w:tcPr>
          <w:p w14:paraId="3617CE1D" w14:textId="77777777" w:rsidR="00680D15" w:rsidRPr="00B5302B" w:rsidRDefault="00680D15" w:rsidP="00B5302B">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auto"/>
                <w:sz w:val="20"/>
                <w:szCs w:val="20"/>
              </w:rPr>
            </w:pPr>
          </w:p>
        </w:tc>
        <w:tc>
          <w:tcPr>
            <w:tcW w:w="1052" w:type="pct"/>
            <w:noWrap/>
            <w:hideMark/>
          </w:tcPr>
          <w:p w14:paraId="711C03D0" w14:textId="77777777" w:rsidR="00680D15" w:rsidRPr="00B5302B" w:rsidRDefault="00680D15" w:rsidP="00B5302B">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auto"/>
                <w:sz w:val="20"/>
                <w:szCs w:val="20"/>
              </w:rPr>
            </w:pPr>
          </w:p>
        </w:tc>
      </w:tr>
      <w:tr w:rsidR="00680D15" w:rsidRPr="00B5302B" w14:paraId="2427691E" w14:textId="77777777" w:rsidTr="00057200">
        <w:trPr>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41127EDE" w14:textId="77777777" w:rsidR="00680D15" w:rsidRPr="00B5302B" w:rsidRDefault="00680D15" w:rsidP="00B5302B">
            <w:pPr>
              <w:spacing w:after="0"/>
              <w:rPr>
                <w:rFonts w:eastAsia="Times New Roman" w:cs="Calibri"/>
              </w:rPr>
            </w:pPr>
            <w:r w:rsidRPr="00B5302B">
              <w:rPr>
                <w:rFonts w:eastAsia="Times New Roman" w:cs="Calibri"/>
              </w:rPr>
              <w:t>Pilbara, WA [n=4]</w:t>
            </w:r>
          </w:p>
        </w:tc>
        <w:tc>
          <w:tcPr>
            <w:tcW w:w="1050" w:type="pct"/>
            <w:noWrap/>
            <w:hideMark/>
          </w:tcPr>
          <w:p w14:paraId="7D99D978"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0.289</w:t>
            </w:r>
          </w:p>
        </w:tc>
        <w:tc>
          <w:tcPr>
            <w:tcW w:w="1052" w:type="pct"/>
            <w:noWrap/>
            <w:hideMark/>
          </w:tcPr>
          <w:p w14:paraId="292D6E2B"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0.329</w:t>
            </w:r>
          </w:p>
        </w:tc>
        <w:tc>
          <w:tcPr>
            <w:tcW w:w="1052" w:type="pct"/>
            <w:noWrap/>
            <w:hideMark/>
          </w:tcPr>
          <w:p w14:paraId="232A2DAF"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13.9</w:t>
            </w:r>
          </w:p>
        </w:tc>
      </w:tr>
      <w:tr w:rsidR="00680D15" w:rsidRPr="00B5302B" w14:paraId="4534C3DB" w14:textId="77777777" w:rsidTr="00057200">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16F875DF" w14:textId="77777777" w:rsidR="00680D15" w:rsidRPr="00B5302B" w:rsidRDefault="00680D15" w:rsidP="00B5302B">
            <w:pPr>
              <w:spacing w:after="0"/>
              <w:rPr>
                <w:rFonts w:eastAsia="Times New Roman" w:cs="Calibri"/>
              </w:rPr>
            </w:pPr>
            <w:r w:rsidRPr="00B5302B">
              <w:rPr>
                <w:rFonts w:eastAsia="Times New Roman" w:cs="Calibri"/>
              </w:rPr>
              <w:t>Central West, WA [n=2]</w:t>
            </w:r>
          </w:p>
        </w:tc>
        <w:tc>
          <w:tcPr>
            <w:tcW w:w="1050" w:type="pct"/>
            <w:noWrap/>
            <w:hideMark/>
          </w:tcPr>
          <w:p w14:paraId="54CEBAE9"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0.349</w:t>
            </w:r>
          </w:p>
        </w:tc>
        <w:tc>
          <w:tcPr>
            <w:tcW w:w="1052" w:type="pct"/>
            <w:noWrap/>
            <w:hideMark/>
          </w:tcPr>
          <w:p w14:paraId="0FBD7301"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0.339</w:t>
            </w:r>
          </w:p>
        </w:tc>
        <w:tc>
          <w:tcPr>
            <w:tcW w:w="1052" w:type="pct"/>
            <w:noWrap/>
            <w:hideMark/>
          </w:tcPr>
          <w:p w14:paraId="43EF0F8F" w14:textId="51FAC13D" w:rsidR="00680D15" w:rsidRPr="00B5302B" w:rsidRDefault="00EA5DB3"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w:t>
            </w:r>
            <w:r w:rsidR="00680D15" w:rsidRPr="00B5302B">
              <w:rPr>
                <w:rFonts w:eastAsia="Times New Roman" w:cs="Calibri"/>
              </w:rPr>
              <w:t>2.7</w:t>
            </w:r>
          </w:p>
        </w:tc>
      </w:tr>
      <w:tr w:rsidR="00680D15" w:rsidRPr="00B5302B" w14:paraId="5BF14B13" w14:textId="77777777" w:rsidTr="00057200">
        <w:trPr>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144A7969" w14:textId="77777777" w:rsidR="00680D15" w:rsidRPr="00B5302B" w:rsidRDefault="00680D15" w:rsidP="00B5302B">
            <w:pPr>
              <w:spacing w:after="0"/>
              <w:rPr>
                <w:rFonts w:eastAsia="Times New Roman" w:cs="Calibri"/>
              </w:rPr>
            </w:pPr>
            <w:r w:rsidRPr="00B5302B">
              <w:rPr>
                <w:rFonts w:eastAsia="Times New Roman" w:cs="Calibri"/>
              </w:rPr>
              <w:t>Kalgoorlie-Boulder, WA [n=5]</w:t>
            </w:r>
          </w:p>
        </w:tc>
        <w:tc>
          <w:tcPr>
            <w:tcW w:w="1050" w:type="pct"/>
            <w:noWrap/>
            <w:hideMark/>
          </w:tcPr>
          <w:p w14:paraId="08206440"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0.264</w:t>
            </w:r>
          </w:p>
        </w:tc>
        <w:tc>
          <w:tcPr>
            <w:tcW w:w="1052" w:type="pct"/>
            <w:noWrap/>
            <w:hideMark/>
          </w:tcPr>
          <w:p w14:paraId="27CDDF43"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0.319</w:t>
            </w:r>
          </w:p>
        </w:tc>
        <w:tc>
          <w:tcPr>
            <w:tcW w:w="1052" w:type="pct"/>
            <w:noWrap/>
            <w:hideMark/>
          </w:tcPr>
          <w:p w14:paraId="065091AD"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20.9</w:t>
            </w:r>
          </w:p>
        </w:tc>
      </w:tr>
      <w:tr w:rsidR="00680D15" w:rsidRPr="00B5302B" w14:paraId="6E027FB0" w14:textId="77777777" w:rsidTr="00057200">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52D9FEB4" w14:textId="77777777" w:rsidR="00680D15" w:rsidRPr="00B5302B" w:rsidRDefault="00680D15" w:rsidP="00B5302B">
            <w:pPr>
              <w:spacing w:after="0"/>
              <w:rPr>
                <w:rFonts w:eastAsia="Times New Roman" w:cs="Calibri"/>
              </w:rPr>
            </w:pPr>
            <w:r w:rsidRPr="00B5302B">
              <w:rPr>
                <w:rFonts w:eastAsia="Times New Roman" w:cs="Calibri"/>
              </w:rPr>
              <w:t>Central, SA [n=3]</w:t>
            </w:r>
          </w:p>
        </w:tc>
        <w:tc>
          <w:tcPr>
            <w:tcW w:w="1050" w:type="pct"/>
            <w:noWrap/>
            <w:hideMark/>
          </w:tcPr>
          <w:p w14:paraId="100D2153"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0.290</w:t>
            </w:r>
          </w:p>
        </w:tc>
        <w:tc>
          <w:tcPr>
            <w:tcW w:w="1052" w:type="pct"/>
            <w:noWrap/>
            <w:hideMark/>
          </w:tcPr>
          <w:p w14:paraId="1B779764"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0.325</w:t>
            </w:r>
          </w:p>
        </w:tc>
        <w:tc>
          <w:tcPr>
            <w:tcW w:w="1052" w:type="pct"/>
            <w:noWrap/>
            <w:hideMark/>
          </w:tcPr>
          <w:p w14:paraId="0441DE86"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12.1</w:t>
            </w:r>
          </w:p>
        </w:tc>
      </w:tr>
      <w:tr w:rsidR="00680D15" w:rsidRPr="00B5302B" w14:paraId="5BBC1B2E" w14:textId="77777777" w:rsidTr="00057200">
        <w:trPr>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70E967F0" w14:textId="77777777" w:rsidR="00680D15" w:rsidRPr="00B5302B" w:rsidRDefault="00680D15" w:rsidP="00B5302B">
            <w:pPr>
              <w:spacing w:after="0"/>
              <w:rPr>
                <w:rFonts w:eastAsia="Times New Roman" w:cs="Calibri"/>
              </w:rPr>
            </w:pPr>
            <w:r w:rsidRPr="00B5302B">
              <w:rPr>
                <w:rFonts w:eastAsia="Times New Roman" w:cs="Calibri"/>
              </w:rPr>
              <w:t>Hunter Valley, NSW [n=7]</w:t>
            </w:r>
          </w:p>
        </w:tc>
        <w:tc>
          <w:tcPr>
            <w:tcW w:w="1050" w:type="pct"/>
            <w:noWrap/>
            <w:hideMark/>
          </w:tcPr>
          <w:p w14:paraId="45455CB2"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0.338</w:t>
            </w:r>
          </w:p>
        </w:tc>
        <w:tc>
          <w:tcPr>
            <w:tcW w:w="1052" w:type="pct"/>
            <w:noWrap/>
            <w:hideMark/>
          </w:tcPr>
          <w:p w14:paraId="12AA1193"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0.347</w:t>
            </w:r>
          </w:p>
        </w:tc>
        <w:tc>
          <w:tcPr>
            <w:tcW w:w="1052" w:type="pct"/>
            <w:noWrap/>
            <w:hideMark/>
          </w:tcPr>
          <w:p w14:paraId="3F167610"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2.6</w:t>
            </w:r>
          </w:p>
        </w:tc>
      </w:tr>
      <w:tr w:rsidR="00680D15" w:rsidRPr="00B5302B" w14:paraId="2A0E9509" w14:textId="77777777" w:rsidTr="00057200">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5A6B9C9C" w14:textId="77777777" w:rsidR="00680D15" w:rsidRPr="00B5302B" w:rsidRDefault="00680D15" w:rsidP="00B5302B">
            <w:pPr>
              <w:spacing w:after="0"/>
              <w:rPr>
                <w:rFonts w:eastAsia="Times New Roman" w:cs="Calibri"/>
              </w:rPr>
            </w:pPr>
            <w:r w:rsidRPr="00B5302B">
              <w:rPr>
                <w:rFonts w:eastAsia="Times New Roman" w:cs="Calibri"/>
              </w:rPr>
              <w:t>Surat Basin, QLD [n=3]</w:t>
            </w:r>
          </w:p>
        </w:tc>
        <w:tc>
          <w:tcPr>
            <w:tcW w:w="1050" w:type="pct"/>
            <w:noWrap/>
            <w:hideMark/>
          </w:tcPr>
          <w:p w14:paraId="6D63F1E6"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0.332</w:t>
            </w:r>
          </w:p>
        </w:tc>
        <w:tc>
          <w:tcPr>
            <w:tcW w:w="1052" w:type="pct"/>
            <w:noWrap/>
            <w:hideMark/>
          </w:tcPr>
          <w:p w14:paraId="7EFF2042"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0.337</w:t>
            </w:r>
          </w:p>
        </w:tc>
        <w:tc>
          <w:tcPr>
            <w:tcW w:w="1052" w:type="pct"/>
            <w:noWrap/>
            <w:hideMark/>
          </w:tcPr>
          <w:p w14:paraId="7380AA34"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1.3</w:t>
            </w:r>
          </w:p>
        </w:tc>
      </w:tr>
      <w:tr w:rsidR="00680D15" w:rsidRPr="00B5302B" w14:paraId="092FE3AE" w14:textId="77777777" w:rsidTr="00057200">
        <w:trPr>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0C7855C3" w14:textId="77777777" w:rsidR="00680D15" w:rsidRPr="00B5302B" w:rsidRDefault="00680D15" w:rsidP="00B5302B">
            <w:pPr>
              <w:spacing w:after="0"/>
              <w:rPr>
                <w:rFonts w:eastAsia="Times New Roman" w:cs="Calibri"/>
              </w:rPr>
            </w:pPr>
            <w:r w:rsidRPr="00B5302B">
              <w:rPr>
                <w:rFonts w:eastAsia="Times New Roman" w:cs="Calibri"/>
              </w:rPr>
              <w:t>Bowen Basin, QLD [n=4]</w:t>
            </w:r>
          </w:p>
        </w:tc>
        <w:tc>
          <w:tcPr>
            <w:tcW w:w="1050" w:type="pct"/>
            <w:noWrap/>
            <w:hideMark/>
          </w:tcPr>
          <w:p w14:paraId="7F7EC4FF"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0.333</w:t>
            </w:r>
          </w:p>
        </w:tc>
        <w:tc>
          <w:tcPr>
            <w:tcW w:w="1052" w:type="pct"/>
            <w:noWrap/>
            <w:hideMark/>
          </w:tcPr>
          <w:p w14:paraId="01DFA4B0"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0.336</w:t>
            </w:r>
          </w:p>
        </w:tc>
        <w:tc>
          <w:tcPr>
            <w:tcW w:w="1052" w:type="pct"/>
            <w:noWrap/>
            <w:hideMark/>
          </w:tcPr>
          <w:p w14:paraId="418AE995"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0.8</w:t>
            </w:r>
          </w:p>
        </w:tc>
      </w:tr>
      <w:tr w:rsidR="00680D15" w:rsidRPr="00B5302B" w14:paraId="2843DF50" w14:textId="77777777" w:rsidTr="00057200">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0D3E48EE" w14:textId="77777777" w:rsidR="00680D15" w:rsidRPr="00B5302B" w:rsidRDefault="00680D15" w:rsidP="00B5302B">
            <w:pPr>
              <w:spacing w:after="0"/>
              <w:rPr>
                <w:rFonts w:eastAsia="Times New Roman" w:cs="Calibri"/>
              </w:rPr>
            </w:pPr>
            <w:r w:rsidRPr="00B5302B">
              <w:rPr>
                <w:rFonts w:eastAsia="Times New Roman" w:cs="Calibri"/>
              </w:rPr>
              <w:t>Galilee Basin, QLD [n=1]</w:t>
            </w:r>
          </w:p>
        </w:tc>
        <w:tc>
          <w:tcPr>
            <w:tcW w:w="1050" w:type="pct"/>
            <w:noWrap/>
            <w:hideMark/>
          </w:tcPr>
          <w:p w14:paraId="29808736"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0.333</w:t>
            </w:r>
          </w:p>
        </w:tc>
        <w:tc>
          <w:tcPr>
            <w:tcW w:w="1052" w:type="pct"/>
            <w:noWrap/>
            <w:hideMark/>
          </w:tcPr>
          <w:p w14:paraId="3F5CEE74" w14:textId="77777777" w:rsidR="00680D15" w:rsidRPr="00B5302B" w:rsidRDefault="00680D15"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sidRPr="00B5302B">
              <w:rPr>
                <w:rFonts w:eastAsia="Times New Roman" w:cs="Calibri"/>
              </w:rPr>
              <w:t>0.327</w:t>
            </w:r>
          </w:p>
        </w:tc>
        <w:tc>
          <w:tcPr>
            <w:tcW w:w="1052" w:type="pct"/>
            <w:noWrap/>
            <w:hideMark/>
          </w:tcPr>
          <w:p w14:paraId="739EA599" w14:textId="1BD4336E" w:rsidR="00680D15" w:rsidRPr="00B5302B" w:rsidRDefault="00EA5DB3" w:rsidP="00B5302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w:t>
            </w:r>
            <w:r w:rsidR="00680D15" w:rsidRPr="00B5302B">
              <w:rPr>
                <w:rFonts w:eastAsia="Times New Roman" w:cs="Calibri"/>
              </w:rPr>
              <w:t>1.8</w:t>
            </w:r>
          </w:p>
        </w:tc>
      </w:tr>
      <w:tr w:rsidR="00680D15" w:rsidRPr="00B5302B" w14:paraId="1043DB03" w14:textId="77777777" w:rsidTr="00057200">
        <w:trPr>
          <w:trHeight w:val="310"/>
          <w:jc w:val="center"/>
        </w:trPr>
        <w:tc>
          <w:tcPr>
            <w:cnfStyle w:val="001000000000" w:firstRow="0" w:lastRow="0" w:firstColumn="1" w:lastColumn="0" w:oddVBand="0" w:evenVBand="0" w:oddHBand="0" w:evenHBand="0" w:firstRowFirstColumn="0" w:firstRowLastColumn="0" w:lastRowFirstColumn="0" w:lastRowLastColumn="0"/>
            <w:tcW w:w="1845" w:type="pct"/>
            <w:noWrap/>
            <w:hideMark/>
          </w:tcPr>
          <w:p w14:paraId="4EDAB5EF" w14:textId="77777777" w:rsidR="00680D15" w:rsidRPr="00B5302B" w:rsidRDefault="00680D15" w:rsidP="00B5302B">
            <w:pPr>
              <w:spacing w:after="0"/>
              <w:rPr>
                <w:rFonts w:eastAsia="Times New Roman" w:cs="Calibri"/>
              </w:rPr>
            </w:pPr>
            <w:r w:rsidRPr="00B5302B">
              <w:rPr>
                <w:rFonts w:eastAsia="Times New Roman" w:cs="Calibri"/>
              </w:rPr>
              <w:t>North-West, QLD [n=5]</w:t>
            </w:r>
          </w:p>
        </w:tc>
        <w:tc>
          <w:tcPr>
            <w:tcW w:w="1050" w:type="pct"/>
            <w:noWrap/>
            <w:hideMark/>
          </w:tcPr>
          <w:p w14:paraId="378282AB"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0.322</w:t>
            </w:r>
          </w:p>
        </w:tc>
        <w:tc>
          <w:tcPr>
            <w:tcW w:w="1052" w:type="pct"/>
            <w:noWrap/>
            <w:hideMark/>
          </w:tcPr>
          <w:p w14:paraId="18FE93C9"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0.377</w:t>
            </w:r>
          </w:p>
        </w:tc>
        <w:tc>
          <w:tcPr>
            <w:tcW w:w="1052" w:type="pct"/>
            <w:noWrap/>
            <w:hideMark/>
          </w:tcPr>
          <w:p w14:paraId="3258B5D1" w14:textId="77777777" w:rsidR="00680D15" w:rsidRPr="00B5302B" w:rsidRDefault="00680D15" w:rsidP="00B5302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Calibri"/>
              </w:rPr>
            </w:pPr>
            <w:r w:rsidRPr="00B5302B">
              <w:rPr>
                <w:rFonts w:eastAsia="Times New Roman" w:cs="Calibri"/>
              </w:rPr>
              <w:t>17.1</w:t>
            </w:r>
          </w:p>
        </w:tc>
      </w:tr>
    </w:tbl>
    <w:p w14:paraId="4282728B" w14:textId="6443E9A7" w:rsidR="00E127C5" w:rsidRDefault="008846BC" w:rsidP="00867031">
      <w:pPr>
        <w:pStyle w:val="FootnoteText"/>
        <w:ind w:left="1843"/>
      </w:pPr>
      <w:r>
        <w:t>Data s</w:t>
      </w:r>
      <w:r w:rsidR="00336C41">
        <w:t xml:space="preserve">ource: authors’ calculations based on 2016 </w:t>
      </w:r>
      <w:r w:rsidR="00472DAC">
        <w:t xml:space="preserve">Australian </w:t>
      </w:r>
      <w:r w:rsidR="00336C41">
        <w:t>Census data</w:t>
      </w:r>
    </w:p>
    <w:p w14:paraId="45D99455" w14:textId="77777777" w:rsidR="00BE4BCD" w:rsidRDefault="00BE4BCD" w:rsidP="008F7970">
      <w:pPr>
        <w:pStyle w:val="Caption"/>
      </w:pPr>
    </w:p>
    <w:p w14:paraId="471C6B80" w14:textId="77777777" w:rsidR="00BE4BCD" w:rsidRDefault="00BE4BCD" w:rsidP="008F7970">
      <w:pPr>
        <w:pStyle w:val="Caption"/>
      </w:pPr>
    </w:p>
    <w:p w14:paraId="6BB00E0C" w14:textId="5F3066F9" w:rsidR="008F7970" w:rsidRDefault="008F7970" w:rsidP="008F7970">
      <w:pPr>
        <w:pStyle w:val="Caption"/>
      </w:pPr>
      <w:bookmarkStart w:id="19" w:name="_Toc515031488"/>
      <w:r>
        <w:t xml:space="preserve">Table </w:t>
      </w:r>
      <w:r w:rsidR="00B5448A">
        <w:rPr>
          <w:noProof/>
        </w:rPr>
        <w:fldChar w:fldCharType="begin"/>
      </w:r>
      <w:r w:rsidR="00B5448A">
        <w:rPr>
          <w:noProof/>
        </w:rPr>
        <w:instrText xml:space="preserve"> SEQ Table \* ARABIC </w:instrText>
      </w:r>
      <w:r w:rsidR="00B5448A">
        <w:rPr>
          <w:noProof/>
        </w:rPr>
        <w:fldChar w:fldCharType="separate"/>
      </w:r>
      <w:r w:rsidR="0083361D">
        <w:rPr>
          <w:noProof/>
        </w:rPr>
        <w:t>3</w:t>
      </w:r>
      <w:r w:rsidR="00B5448A">
        <w:rPr>
          <w:noProof/>
        </w:rPr>
        <w:fldChar w:fldCharType="end"/>
      </w:r>
      <w:r>
        <w:t xml:space="preserve">. Gini coefficient values’ change t-test analysis, </w:t>
      </w:r>
      <w:r w:rsidR="003F7B12">
        <w:t>LGA</w:t>
      </w:r>
      <w:r>
        <w:t xml:space="preserve"> level analysis</w:t>
      </w:r>
      <w:bookmarkEnd w:id="19"/>
    </w:p>
    <w:tbl>
      <w:tblPr>
        <w:tblStyle w:val="TableCSIRO"/>
        <w:tblW w:w="0" w:type="auto"/>
        <w:tblLook w:val="0420" w:firstRow="1" w:lastRow="0" w:firstColumn="0" w:lastColumn="0" w:noHBand="0" w:noVBand="1"/>
        <w:tblCaption w:val="Table 3"/>
        <w:tblDescription w:val="This table lists statistical testing outputs for significance of changes in inequality over time across three different time periods. "/>
      </w:tblPr>
      <w:tblGrid>
        <w:gridCol w:w="3431"/>
        <w:gridCol w:w="2031"/>
        <w:gridCol w:w="2031"/>
        <w:gridCol w:w="2032"/>
      </w:tblGrid>
      <w:tr w:rsidR="008F7970" w:rsidRPr="00052317" w14:paraId="7ED47D92" w14:textId="77777777" w:rsidTr="000E3A0A">
        <w:trPr>
          <w:cnfStyle w:val="100000000000" w:firstRow="1" w:lastRow="0" w:firstColumn="0" w:lastColumn="0" w:oddVBand="0" w:evenVBand="0" w:oddHBand="0" w:evenHBand="0" w:firstRowFirstColumn="0" w:firstRowLastColumn="0" w:lastRowFirstColumn="0" w:lastRowLastColumn="0"/>
          <w:tblHeader/>
        </w:trPr>
        <w:tc>
          <w:tcPr>
            <w:tcW w:w="3431" w:type="dxa"/>
          </w:tcPr>
          <w:p w14:paraId="5C17D287" w14:textId="77777777" w:rsidR="008F7970" w:rsidRPr="00052317" w:rsidRDefault="008F7970" w:rsidP="00BD74D5">
            <w:pPr>
              <w:widowControl w:val="0"/>
              <w:autoSpaceDE w:val="0"/>
              <w:autoSpaceDN w:val="0"/>
              <w:adjustRightInd w:val="0"/>
              <w:spacing w:after="0"/>
              <w:rPr>
                <w:rFonts w:ascii="Times New Roman" w:hAnsi="Times New Roman"/>
                <w:color w:val="FFFFFF" w:themeColor="background1"/>
                <w:szCs w:val="24"/>
                <w:lang w:val="en-US"/>
              </w:rPr>
            </w:pPr>
          </w:p>
        </w:tc>
        <w:tc>
          <w:tcPr>
            <w:tcW w:w="2031" w:type="dxa"/>
          </w:tcPr>
          <w:p w14:paraId="18F45BBD" w14:textId="36C5B683" w:rsidR="008F7970" w:rsidRPr="00052317" w:rsidRDefault="008F7970" w:rsidP="00BD74D5">
            <w:pPr>
              <w:widowControl w:val="0"/>
              <w:autoSpaceDE w:val="0"/>
              <w:autoSpaceDN w:val="0"/>
              <w:adjustRightInd w:val="0"/>
              <w:spacing w:after="0"/>
              <w:jc w:val="center"/>
              <w:rPr>
                <w:rFonts w:ascii="Times New Roman" w:hAnsi="Times New Roman"/>
                <w:color w:val="FFFFFF" w:themeColor="background1"/>
                <w:szCs w:val="24"/>
                <w:lang w:val="en-US"/>
              </w:rPr>
            </w:pPr>
            <w:r>
              <w:rPr>
                <w:color w:val="FFFFFF" w:themeColor="background1"/>
              </w:rPr>
              <w:t xml:space="preserve">Test 1: </w:t>
            </w:r>
            <w:r w:rsidRPr="00052317">
              <w:rPr>
                <w:color w:val="FFFFFF" w:themeColor="background1"/>
              </w:rPr>
              <w:t>2006</w:t>
            </w:r>
            <w:r w:rsidR="00EA5DB3">
              <w:rPr>
                <w:color w:val="FFFFFF" w:themeColor="background1"/>
              </w:rPr>
              <w:t>–</w:t>
            </w:r>
            <w:r w:rsidRPr="00052317">
              <w:rPr>
                <w:color w:val="FFFFFF" w:themeColor="background1"/>
              </w:rPr>
              <w:t>11</w:t>
            </w:r>
          </w:p>
        </w:tc>
        <w:tc>
          <w:tcPr>
            <w:tcW w:w="2031" w:type="dxa"/>
          </w:tcPr>
          <w:p w14:paraId="71701B34" w14:textId="59F7983B" w:rsidR="008F7970" w:rsidRPr="00052317" w:rsidRDefault="008F7970" w:rsidP="00BD74D5">
            <w:pPr>
              <w:widowControl w:val="0"/>
              <w:autoSpaceDE w:val="0"/>
              <w:autoSpaceDN w:val="0"/>
              <w:adjustRightInd w:val="0"/>
              <w:spacing w:after="0"/>
              <w:jc w:val="center"/>
              <w:rPr>
                <w:rFonts w:ascii="Times New Roman" w:hAnsi="Times New Roman"/>
                <w:color w:val="FFFFFF" w:themeColor="background1"/>
                <w:szCs w:val="24"/>
                <w:lang w:val="en-US"/>
              </w:rPr>
            </w:pPr>
            <w:r>
              <w:rPr>
                <w:color w:val="FFFFFF" w:themeColor="background1"/>
              </w:rPr>
              <w:t xml:space="preserve">Test 2: </w:t>
            </w:r>
            <w:r w:rsidRPr="00052317">
              <w:rPr>
                <w:color w:val="FFFFFF" w:themeColor="background1"/>
              </w:rPr>
              <w:t>2011</w:t>
            </w:r>
            <w:r w:rsidR="00EA5DB3">
              <w:rPr>
                <w:color w:val="FFFFFF" w:themeColor="background1"/>
              </w:rPr>
              <w:t>–</w:t>
            </w:r>
            <w:r w:rsidRPr="00052317">
              <w:rPr>
                <w:color w:val="FFFFFF" w:themeColor="background1"/>
              </w:rPr>
              <w:t>16</w:t>
            </w:r>
          </w:p>
        </w:tc>
        <w:tc>
          <w:tcPr>
            <w:tcW w:w="2032" w:type="dxa"/>
          </w:tcPr>
          <w:p w14:paraId="74D086E9" w14:textId="0A97E4B5" w:rsidR="008F7970" w:rsidRPr="00052317" w:rsidRDefault="008F7970" w:rsidP="00BD74D5">
            <w:pPr>
              <w:widowControl w:val="0"/>
              <w:autoSpaceDE w:val="0"/>
              <w:autoSpaceDN w:val="0"/>
              <w:adjustRightInd w:val="0"/>
              <w:spacing w:after="0"/>
              <w:jc w:val="center"/>
              <w:rPr>
                <w:rFonts w:ascii="Times New Roman" w:hAnsi="Times New Roman"/>
                <w:color w:val="FFFFFF" w:themeColor="background1"/>
                <w:szCs w:val="24"/>
                <w:lang w:val="en-US"/>
              </w:rPr>
            </w:pPr>
            <w:r>
              <w:rPr>
                <w:color w:val="FFFFFF" w:themeColor="background1"/>
              </w:rPr>
              <w:t xml:space="preserve">Test 3: </w:t>
            </w:r>
            <w:r w:rsidRPr="00052317">
              <w:rPr>
                <w:color w:val="FFFFFF" w:themeColor="background1"/>
              </w:rPr>
              <w:t>2006</w:t>
            </w:r>
            <w:r w:rsidR="00EA5DB3">
              <w:rPr>
                <w:color w:val="FFFFFF" w:themeColor="background1"/>
              </w:rPr>
              <w:t>–</w:t>
            </w:r>
            <w:r w:rsidRPr="00052317">
              <w:rPr>
                <w:color w:val="FFFFFF" w:themeColor="background1"/>
              </w:rPr>
              <w:t>16</w:t>
            </w:r>
          </w:p>
        </w:tc>
      </w:tr>
      <w:tr w:rsidR="003F7B12" w14:paraId="1F378B83" w14:textId="77777777" w:rsidTr="00BD74D5">
        <w:trPr>
          <w:cnfStyle w:val="000000100000" w:firstRow="0" w:lastRow="0" w:firstColumn="0" w:lastColumn="0" w:oddVBand="0" w:evenVBand="0" w:oddHBand="1" w:evenHBand="0" w:firstRowFirstColumn="0" w:firstRowLastColumn="0" w:lastRowFirstColumn="0" w:lastRowLastColumn="0"/>
        </w:trPr>
        <w:tc>
          <w:tcPr>
            <w:tcW w:w="3431" w:type="dxa"/>
          </w:tcPr>
          <w:p w14:paraId="4EC3B7B2" w14:textId="002D9BFF" w:rsidR="003F7B12" w:rsidRPr="000F5F6E" w:rsidRDefault="003F7B12" w:rsidP="003F7B12">
            <w:pPr>
              <w:widowControl w:val="0"/>
              <w:autoSpaceDE w:val="0"/>
              <w:autoSpaceDN w:val="0"/>
              <w:adjustRightInd w:val="0"/>
              <w:spacing w:after="0"/>
              <w:rPr>
                <w:rFonts w:asciiTheme="minorHAnsi" w:hAnsiTheme="minorHAnsi"/>
                <w:szCs w:val="24"/>
                <w:lang w:val="en-US"/>
              </w:rPr>
            </w:pPr>
            <w:r w:rsidRPr="000F5F6E">
              <w:rPr>
                <w:rFonts w:asciiTheme="minorHAnsi" w:hAnsiTheme="minorHAnsi"/>
                <w:szCs w:val="24"/>
                <w:lang w:val="en-US"/>
              </w:rPr>
              <w:t>Gini mean change (%), non-mining regions</w:t>
            </w:r>
          </w:p>
          <w:p w14:paraId="38E23DA7" w14:textId="456B0AF2" w:rsidR="003F7B12" w:rsidRPr="000F5F6E" w:rsidRDefault="003F7B12" w:rsidP="003F7B12">
            <w:pPr>
              <w:widowControl w:val="0"/>
              <w:autoSpaceDE w:val="0"/>
              <w:autoSpaceDN w:val="0"/>
              <w:adjustRightInd w:val="0"/>
              <w:spacing w:after="0"/>
              <w:rPr>
                <w:rFonts w:asciiTheme="minorHAnsi" w:hAnsiTheme="minorHAnsi"/>
                <w:szCs w:val="24"/>
                <w:lang w:val="en-US"/>
              </w:rPr>
            </w:pPr>
            <w:r w:rsidRPr="000F5F6E">
              <w:rPr>
                <w:rFonts w:asciiTheme="minorHAnsi" w:hAnsiTheme="minorHAnsi"/>
                <w:szCs w:val="24"/>
                <w:lang w:val="en-US"/>
              </w:rPr>
              <w:t>(standard error)</w:t>
            </w:r>
          </w:p>
        </w:tc>
        <w:tc>
          <w:tcPr>
            <w:tcW w:w="2031" w:type="dxa"/>
          </w:tcPr>
          <w:p w14:paraId="5A6413FF"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4.99</w:t>
            </w:r>
          </w:p>
          <w:p w14:paraId="4C5FFFCB"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(1.75)</w:t>
            </w:r>
          </w:p>
        </w:tc>
        <w:tc>
          <w:tcPr>
            <w:tcW w:w="2031" w:type="dxa"/>
          </w:tcPr>
          <w:p w14:paraId="19E4E6A4"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3.22</w:t>
            </w:r>
          </w:p>
          <w:p w14:paraId="7D70D786"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(3.33)</w:t>
            </w:r>
          </w:p>
        </w:tc>
        <w:tc>
          <w:tcPr>
            <w:tcW w:w="2032" w:type="dxa"/>
          </w:tcPr>
          <w:p w14:paraId="6D09277D"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5.98</w:t>
            </w:r>
          </w:p>
          <w:p w14:paraId="133CD156"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(0.79)</w:t>
            </w:r>
          </w:p>
        </w:tc>
      </w:tr>
      <w:tr w:rsidR="003F7B12" w14:paraId="3117349F" w14:textId="77777777" w:rsidTr="00BD74D5">
        <w:tc>
          <w:tcPr>
            <w:tcW w:w="3431" w:type="dxa"/>
          </w:tcPr>
          <w:p w14:paraId="30EFEE11" w14:textId="41DC1662" w:rsidR="003F7B12" w:rsidRPr="000F5F6E" w:rsidRDefault="003F7B12" w:rsidP="003F7B12">
            <w:pPr>
              <w:widowControl w:val="0"/>
              <w:autoSpaceDE w:val="0"/>
              <w:autoSpaceDN w:val="0"/>
              <w:adjustRightInd w:val="0"/>
              <w:spacing w:after="0"/>
              <w:rPr>
                <w:rFonts w:asciiTheme="minorHAnsi" w:hAnsiTheme="minorHAnsi"/>
                <w:szCs w:val="24"/>
                <w:lang w:val="en-US"/>
              </w:rPr>
            </w:pPr>
            <w:r w:rsidRPr="000F5F6E">
              <w:rPr>
                <w:rFonts w:asciiTheme="minorHAnsi" w:hAnsiTheme="minorHAnsi"/>
                <w:iCs/>
                <w:szCs w:val="24"/>
                <w:lang w:val="en-US"/>
              </w:rPr>
              <w:t>No. of observations for non-mining regions</w:t>
            </w:r>
          </w:p>
        </w:tc>
        <w:tc>
          <w:tcPr>
            <w:tcW w:w="2031" w:type="dxa"/>
          </w:tcPr>
          <w:p w14:paraId="7F8CD4F8"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510</w:t>
            </w:r>
          </w:p>
        </w:tc>
        <w:tc>
          <w:tcPr>
            <w:tcW w:w="2031" w:type="dxa"/>
          </w:tcPr>
          <w:p w14:paraId="58D32348"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508</w:t>
            </w:r>
          </w:p>
        </w:tc>
        <w:tc>
          <w:tcPr>
            <w:tcW w:w="2032" w:type="dxa"/>
          </w:tcPr>
          <w:p w14:paraId="36FD5E4B"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507</w:t>
            </w:r>
          </w:p>
        </w:tc>
      </w:tr>
      <w:tr w:rsidR="003F7B12" w14:paraId="0ED7501C" w14:textId="77777777" w:rsidTr="00BD74D5">
        <w:trPr>
          <w:cnfStyle w:val="000000100000" w:firstRow="0" w:lastRow="0" w:firstColumn="0" w:lastColumn="0" w:oddVBand="0" w:evenVBand="0" w:oddHBand="1" w:evenHBand="0" w:firstRowFirstColumn="0" w:firstRowLastColumn="0" w:lastRowFirstColumn="0" w:lastRowLastColumn="0"/>
        </w:trPr>
        <w:tc>
          <w:tcPr>
            <w:tcW w:w="3431" w:type="dxa"/>
          </w:tcPr>
          <w:p w14:paraId="26157082" w14:textId="70C62780" w:rsidR="003F7B12" w:rsidRPr="000F5F6E" w:rsidRDefault="003F7B12" w:rsidP="003F7B12">
            <w:pPr>
              <w:widowControl w:val="0"/>
              <w:autoSpaceDE w:val="0"/>
              <w:autoSpaceDN w:val="0"/>
              <w:adjustRightInd w:val="0"/>
              <w:spacing w:after="0"/>
              <w:rPr>
                <w:rFonts w:asciiTheme="minorHAnsi" w:hAnsiTheme="minorHAnsi"/>
                <w:iCs/>
                <w:szCs w:val="24"/>
                <w:lang w:val="en-US"/>
              </w:rPr>
            </w:pPr>
            <w:r w:rsidRPr="000F5F6E">
              <w:rPr>
                <w:rFonts w:asciiTheme="minorHAnsi" w:hAnsiTheme="minorHAnsi"/>
                <w:iCs/>
                <w:szCs w:val="24"/>
                <w:lang w:val="en-US"/>
              </w:rPr>
              <w:t>Gini mean change (%), mining regions</w:t>
            </w:r>
          </w:p>
          <w:p w14:paraId="624A7547" w14:textId="1F8A03A5" w:rsidR="003F7B12" w:rsidRPr="000F5F6E" w:rsidRDefault="003F7B12" w:rsidP="003F7B12">
            <w:pPr>
              <w:widowControl w:val="0"/>
              <w:autoSpaceDE w:val="0"/>
              <w:autoSpaceDN w:val="0"/>
              <w:adjustRightInd w:val="0"/>
              <w:spacing w:after="0"/>
              <w:rPr>
                <w:rFonts w:asciiTheme="minorHAnsi" w:hAnsiTheme="minorHAnsi"/>
                <w:iCs/>
                <w:szCs w:val="24"/>
                <w:lang w:val="en-US"/>
              </w:rPr>
            </w:pPr>
            <w:r w:rsidRPr="000F5F6E">
              <w:rPr>
                <w:rFonts w:asciiTheme="minorHAnsi" w:hAnsiTheme="minorHAnsi"/>
                <w:iCs/>
                <w:szCs w:val="24"/>
                <w:lang w:val="en-US"/>
              </w:rPr>
              <w:t>(standard error)</w:t>
            </w:r>
          </w:p>
        </w:tc>
        <w:tc>
          <w:tcPr>
            <w:tcW w:w="2031" w:type="dxa"/>
          </w:tcPr>
          <w:p w14:paraId="5D820380"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1.69</w:t>
            </w:r>
          </w:p>
          <w:p w14:paraId="5FCD361E"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(3.33)</w:t>
            </w:r>
          </w:p>
        </w:tc>
        <w:tc>
          <w:tcPr>
            <w:tcW w:w="2031" w:type="dxa"/>
          </w:tcPr>
          <w:p w14:paraId="5EA1F6F6"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10.97</w:t>
            </w:r>
          </w:p>
          <w:p w14:paraId="068C21F3"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(4.79)</w:t>
            </w:r>
          </w:p>
        </w:tc>
        <w:tc>
          <w:tcPr>
            <w:tcW w:w="2032" w:type="dxa"/>
          </w:tcPr>
          <w:p w14:paraId="48FF0DF1"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10.72</w:t>
            </w:r>
          </w:p>
          <w:p w14:paraId="7BC6A5E6"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(3.84)</w:t>
            </w:r>
          </w:p>
        </w:tc>
      </w:tr>
      <w:tr w:rsidR="003F7B12" w14:paraId="1FF4EF0F" w14:textId="77777777" w:rsidTr="00BD74D5">
        <w:tc>
          <w:tcPr>
            <w:tcW w:w="3431" w:type="dxa"/>
          </w:tcPr>
          <w:p w14:paraId="7528F6D8" w14:textId="6C65384C" w:rsidR="003F7B12" w:rsidRPr="000F5F6E" w:rsidRDefault="003F7B12" w:rsidP="003F7B12">
            <w:pPr>
              <w:widowControl w:val="0"/>
              <w:autoSpaceDE w:val="0"/>
              <w:autoSpaceDN w:val="0"/>
              <w:adjustRightInd w:val="0"/>
              <w:spacing w:after="0"/>
              <w:rPr>
                <w:rFonts w:asciiTheme="minorHAnsi" w:hAnsiTheme="minorHAnsi"/>
                <w:iCs/>
                <w:szCs w:val="24"/>
                <w:lang w:val="en-US"/>
              </w:rPr>
            </w:pPr>
            <w:r w:rsidRPr="000F5F6E">
              <w:rPr>
                <w:rFonts w:asciiTheme="minorHAnsi" w:hAnsiTheme="minorHAnsi"/>
                <w:iCs/>
                <w:szCs w:val="24"/>
                <w:lang w:val="en-US"/>
              </w:rPr>
              <w:t>No. of observations for mining regions</w:t>
            </w:r>
          </w:p>
        </w:tc>
        <w:tc>
          <w:tcPr>
            <w:tcW w:w="2031" w:type="dxa"/>
          </w:tcPr>
          <w:p w14:paraId="3F92B0E8"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34</w:t>
            </w:r>
          </w:p>
        </w:tc>
        <w:tc>
          <w:tcPr>
            <w:tcW w:w="2031" w:type="dxa"/>
          </w:tcPr>
          <w:p w14:paraId="7999989B"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34</w:t>
            </w:r>
          </w:p>
        </w:tc>
        <w:tc>
          <w:tcPr>
            <w:tcW w:w="2032" w:type="dxa"/>
          </w:tcPr>
          <w:p w14:paraId="14807AD5"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34</w:t>
            </w:r>
          </w:p>
        </w:tc>
      </w:tr>
      <w:tr w:rsidR="003F7B12" w14:paraId="5A437DFF" w14:textId="77777777" w:rsidTr="00BD74D5">
        <w:trPr>
          <w:cnfStyle w:val="000000100000" w:firstRow="0" w:lastRow="0" w:firstColumn="0" w:lastColumn="0" w:oddVBand="0" w:evenVBand="0" w:oddHBand="1" w:evenHBand="0" w:firstRowFirstColumn="0" w:firstRowLastColumn="0" w:lastRowFirstColumn="0" w:lastRowLastColumn="0"/>
        </w:trPr>
        <w:tc>
          <w:tcPr>
            <w:tcW w:w="3431" w:type="dxa"/>
          </w:tcPr>
          <w:p w14:paraId="1283D656" w14:textId="2CBC4CA4" w:rsidR="003F7B12" w:rsidRPr="000F5F6E" w:rsidRDefault="003F7B12" w:rsidP="003F7B12">
            <w:pPr>
              <w:widowControl w:val="0"/>
              <w:autoSpaceDE w:val="0"/>
              <w:autoSpaceDN w:val="0"/>
              <w:adjustRightInd w:val="0"/>
              <w:spacing w:after="0"/>
              <w:rPr>
                <w:rFonts w:asciiTheme="minorHAnsi" w:hAnsiTheme="minorHAnsi"/>
                <w:szCs w:val="24"/>
                <w:lang w:val="en-US"/>
              </w:rPr>
            </w:pPr>
            <w:r w:rsidRPr="000F5F6E">
              <w:rPr>
                <w:rFonts w:asciiTheme="minorHAnsi" w:hAnsiTheme="minorHAnsi"/>
                <w:szCs w:val="24"/>
                <w:lang w:val="en-US"/>
              </w:rPr>
              <w:t>t-test statistic</w:t>
            </w:r>
          </w:p>
        </w:tc>
        <w:tc>
          <w:tcPr>
            <w:tcW w:w="2031" w:type="dxa"/>
          </w:tcPr>
          <w:p w14:paraId="66C26A72"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0.48</w:t>
            </w:r>
          </w:p>
        </w:tc>
        <w:tc>
          <w:tcPr>
            <w:tcW w:w="2031" w:type="dxa"/>
          </w:tcPr>
          <w:p w14:paraId="4B7A8303" w14:textId="7CE65D99" w:rsidR="003F7B12" w:rsidRPr="000F5F6E" w:rsidRDefault="00EA5DB3"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w:t>
            </w:r>
            <w:r w:rsidR="003F7B12" w:rsidRPr="000F5F6E">
              <w:rPr>
                <w:rFonts w:asciiTheme="minorHAnsi" w:hAnsiTheme="minorHAnsi"/>
                <w:szCs w:val="24"/>
                <w:lang w:val="en-US"/>
              </w:rPr>
              <w:t>3.09</w:t>
            </w:r>
          </w:p>
        </w:tc>
        <w:tc>
          <w:tcPr>
            <w:tcW w:w="2032" w:type="dxa"/>
          </w:tcPr>
          <w:p w14:paraId="3600DDA3" w14:textId="2CA1A7CD" w:rsidR="003F7B12" w:rsidRPr="000F5F6E" w:rsidRDefault="00EA5DB3"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w:t>
            </w:r>
            <w:r w:rsidR="003F7B12" w:rsidRPr="000F5F6E">
              <w:rPr>
                <w:rFonts w:asciiTheme="minorHAnsi" w:hAnsiTheme="minorHAnsi"/>
                <w:szCs w:val="24"/>
                <w:lang w:val="en-US"/>
              </w:rPr>
              <w:t>1.47</w:t>
            </w:r>
          </w:p>
        </w:tc>
      </w:tr>
      <w:tr w:rsidR="003F7B12" w14:paraId="5AF19D83" w14:textId="77777777" w:rsidTr="00BD74D5">
        <w:tc>
          <w:tcPr>
            <w:tcW w:w="3431" w:type="dxa"/>
          </w:tcPr>
          <w:p w14:paraId="6A4579EC" w14:textId="5DFC94DD" w:rsidR="003F7B12" w:rsidRPr="000F5F6E" w:rsidRDefault="003F7B12" w:rsidP="003F7B12">
            <w:pPr>
              <w:widowControl w:val="0"/>
              <w:autoSpaceDE w:val="0"/>
              <w:autoSpaceDN w:val="0"/>
              <w:adjustRightInd w:val="0"/>
              <w:spacing w:after="0"/>
              <w:rPr>
                <w:rFonts w:asciiTheme="minorHAnsi" w:hAnsiTheme="minorHAnsi"/>
                <w:szCs w:val="24"/>
                <w:lang w:val="en-US"/>
              </w:rPr>
            </w:pPr>
            <w:proofErr w:type="spellStart"/>
            <w:r w:rsidRPr="000F5F6E">
              <w:rPr>
                <w:rFonts w:asciiTheme="minorHAnsi" w:hAnsiTheme="minorHAnsi"/>
                <w:szCs w:val="24"/>
                <w:lang w:val="en-US"/>
              </w:rPr>
              <w:t>Prob</w:t>
            </w:r>
            <w:proofErr w:type="spellEnd"/>
            <w:r w:rsidRPr="000F5F6E">
              <w:rPr>
                <w:rFonts w:asciiTheme="minorHAnsi" w:hAnsiTheme="minorHAnsi"/>
                <w:szCs w:val="24"/>
                <w:lang w:val="en-US"/>
              </w:rPr>
              <w:t xml:space="preserve"> ( |T| &gt; |t|)</w:t>
            </w:r>
          </w:p>
        </w:tc>
        <w:tc>
          <w:tcPr>
            <w:tcW w:w="2031" w:type="dxa"/>
          </w:tcPr>
          <w:p w14:paraId="06634E38"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0.6302</w:t>
            </w:r>
          </w:p>
        </w:tc>
        <w:tc>
          <w:tcPr>
            <w:tcW w:w="2031" w:type="dxa"/>
          </w:tcPr>
          <w:p w14:paraId="2ABC7B02"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0.0021***</w:t>
            </w:r>
          </w:p>
        </w:tc>
        <w:tc>
          <w:tcPr>
            <w:tcW w:w="2032" w:type="dxa"/>
          </w:tcPr>
          <w:p w14:paraId="1BC7CC34"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0.1415</w:t>
            </w:r>
          </w:p>
        </w:tc>
      </w:tr>
      <w:tr w:rsidR="003F7B12" w14:paraId="2A825866" w14:textId="77777777" w:rsidTr="00BD74D5">
        <w:trPr>
          <w:cnfStyle w:val="000000100000" w:firstRow="0" w:lastRow="0" w:firstColumn="0" w:lastColumn="0" w:oddVBand="0" w:evenVBand="0" w:oddHBand="1" w:evenHBand="0" w:firstRowFirstColumn="0" w:firstRowLastColumn="0" w:lastRowFirstColumn="0" w:lastRowLastColumn="0"/>
        </w:trPr>
        <w:tc>
          <w:tcPr>
            <w:tcW w:w="3431" w:type="dxa"/>
          </w:tcPr>
          <w:p w14:paraId="02349465" w14:textId="003411C4" w:rsidR="003F7B12" w:rsidRPr="000F5F6E" w:rsidRDefault="003F7B12" w:rsidP="003F7B12">
            <w:pPr>
              <w:widowControl w:val="0"/>
              <w:autoSpaceDE w:val="0"/>
              <w:autoSpaceDN w:val="0"/>
              <w:adjustRightInd w:val="0"/>
              <w:spacing w:after="0"/>
              <w:rPr>
                <w:rFonts w:asciiTheme="minorHAnsi" w:hAnsiTheme="minorHAnsi"/>
                <w:szCs w:val="24"/>
                <w:lang w:val="en-US"/>
              </w:rPr>
            </w:pPr>
            <w:r w:rsidRPr="000F5F6E">
              <w:rPr>
                <w:rFonts w:asciiTheme="minorHAnsi" w:hAnsiTheme="minorHAnsi"/>
                <w:szCs w:val="24"/>
                <w:lang w:val="en-US"/>
              </w:rPr>
              <w:t>Degrees of freedom</w:t>
            </w:r>
          </w:p>
        </w:tc>
        <w:tc>
          <w:tcPr>
            <w:tcW w:w="2031" w:type="dxa"/>
          </w:tcPr>
          <w:p w14:paraId="362D8616"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542</w:t>
            </w:r>
          </w:p>
        </w:tc>
        <w:tc>
          <w:tcPr>
            <w:tcW w:w="2031" w:type="dxa"/>
          </w:tcPr>
          <w:p w14:paraId="0B7DD7F5"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540</w:t>
            </w:r>
          </w:p>
        </w:tc>
        <w:tc>
          <w:tcPr>
            <w:tcW w:w="2032" w:type="dxa"/>
          </w:tcPr>
          <w:p w14:paraId="75D293F0" w14:textId="77777777" w:rsidR="003F7B12" w:rsidRPr="000F5F6E" w:rsidRDefault="003F7B12" w:rsidP="003F7B12">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541</w:t>
            </w:r>
          </w:p>
        </w:tc>
      </w:tr>
    </w:tbl>
    <w:p w14:paraId="6585FE6B" w14:textId="50AF28A1" w:rsidR="008F7970" w:rsidRPr="00943B9C" w:rsidRDefault="008F7970" w:rsidP="00867031">
      <w:pPr>
        <w:pStyle w:val="FootnoteText"/>
        <w:rPr>
          <w:sz w:val="18"/>
          <w:szCs w:val="18"/>
        </w:rPr>
      </w:pPr>
      <w:r w:rsidRPr="00943B9C">
        <w:rPr>
          <w:vertAlign w:val="superscript"/>
          <w:lang w:val="en-US"/>
        </w:rPr>
        <w:t>*</w:t>
      </w:r>
      <w:r w:rsidRPr="00943B9C">
        <w:rPr>
          <w:lang w:val="en-US"/>
        </w:rPr>
        <w:t xml:space="preserve"> </w:t>
      </w:r>
      <w:r w:rsidRPr="00943B9C">
        <w:rPr>
          <w:i/>
          <w:iCs/>
          <w:lang w:val="en-US"/>
        </w:rPr>
        <w:t>p</w:t>
      </w:r>
      <w:r w:rsidRPr="00943B9C">
        <w:rPr>
          <w:lang w:val="en-US"/>
        </w:rPr>
        <w:t xml:space="preserve"> &lt; 0.10, </w:t>
      </w:r>
      <w:r w:rsidRPr="00943B9C">
        <w:rPr>
          <w:vertAlign w:val="superscript"/>
          <w:lang w:val="en-US"/>
        </w:rPr>
        <w:t>**</w:t>
      </w:r>
      <w:r w:rsidRPr="00943B9C">
        <w:rPr>
          <w:lang w:val="en-US"/>
        </w:rPr>
        <w:t xml:space="preserve"> </w:t>
      </w:r>
      <w:r w:rsidRPr="00943B9C">
        <w:rPr>
          <w:i/>
          <w:iCs/>
          <w:lang w:val="en-US"/>
        </w:rPr>
        <w:t>p</w:t>
      </w:r>
      <w:r w:rsidRPr="00943B9C">
        <w:rPr>
          <w:lang w:val="en-US"/>
        </w:rPr>
        <w:t xml:space="preserve"> &lt; 0.05, </w:t>
      </w:r>
      <w:r w:rsidRPr="00943B9C">
        <w:rPr>
          <w:vertAlign w:val="superscript"/>
          <w:lang w:val="en-US"/>
        </w:rPr>
        <w:t>***</w:t>
      </w:r>
      <w:r w:rsidRPr="00943B9C">
        <w:rPr>
          <w:lang w:val="en-US"/>
        </w:rPr>
        <w:t xml:space="preserve"> </w:t>
      </w:r>
      <w:r w:rsidRPr="00943B9C">
        <w:rPr>
          <w:i/>
          <w:iCs/>
          <w:lang w:val="en-US"/>
        </w:rPr>
        <w:t>p</w:t>
      </w:r>
      <w:r w:rsidRPr="00943B9C">
        <w:rPr>
          <w:lang w:val="en-US"/>
        </w:rPr>
        <w:t xml:space="preserve"> &lt; 0.01</w:t>
      </w:r>
    </w:p>
    <w:sdt>
      <w:sdtPr>
        <w:rPr>
          <w:rStyle w:val="PartNumber"/>
          <w:b/>
          <w:sz w:val="24"/>
        </w:rPr>
        <w:id w:val="-1450933724"/>
        <w:docPartObj>
          <w:docPartGallery w:val="Cover Pages"/>
        </w:docPartObj>
      </w:sdtPr>
      <w:sdtEndPr>
        <w:rPr>
          <w:rStyle w:val="DefaultParagraphFont"/>
          <w:b w:val="0"/>
          <w:color w:val="000000"/>
        </w:rPr>
      </w:sdtEndPr>
      <w:sdtContent>
        <w:p w14:paraId="1A54CD4B" w14:textId="1ED81637" w:rsidR="00FC0BD7" w:rsidRDefault="00FC0BD7" w:rsidP="008A7440">
          <w:pPr>
            <w:rPr>
              <w:rStyle w:val="PartNumber"/>
              <w:b/>
              <w:sz w:val="24"/>
            </w:rPr>
          </w:pPr>
          <w:r>
            <w:rPr>
              <w:rStyle w:val="PartNumber"/>
              <w:b/>
              <w:sz w:val="24"/>
            </w:rPr>
            <w:br w:type="page"/>
          </w:r>
        </w:p>
        <w:p w14:paraId="012780D2" w14:textId="77777777" w:rsidR="002F116D" w:rsidRDefault="002F116D" w:rsidP="002F4258">
          <w:pPr>
            <w:rPr>
              <w:rStyle w:val="PartNumber"/>
              <w:sz w:val="24"/>
            </w:rPr>
          </w:pPr>
        </w:p>
        <w:p w14:paraId="72FABF5B" w14:textId="7EBA992F" w:rsidR="00A90F41" w:rsidRDefault="00A90F41" w:rsidP="00D1044D">
          <w:pPr>
            <w:pStyle w:val="PartTitle"/>
          </w:pPr>
          <w:bookmarkStart w:id="20" w:name="_Toc515031456"/>
          <w:r>
            <w:rPr>
              <w:rStyle w:val="PartNumber"/>
            </w:rPr>
            <w:t>Part II</w:t>
          </w:r>
          <w:r>
            <w:rPr>
              <w:rStyle w:val="PartNumber"/>
            </w:rPr>
            <w:tab/>
          </w:r>
          <w:r w:rsidR="00551E24">
            <w:rPr>
              <w:rStyle w:val="PartNumber"/>
            </w:rPr>
            <w:t>Mining</w:t>
          </w:r>
          <w:r w:rsidR="00426FD9" w:rsidRPr="00551E24">
            <w:rPr>
              <w:rStyle w:val="PartNumber"/>
            </w:rPr>
            <w:t xml:space="preserve"> innovation</w:t>
          </w:r>
          <w:bookmarkEnd w:id="20"/>
        </w:p>
        <w:p w14:paraId="4CD3A15D" w14:textId="20833B67" w:rsidR="00A90F41" w:rsidRDefault="004C2BB2" w:rsidP="00D5513A">
          <w:pPr>
            <w:pStyle w:val="BodyText"/>
          </w:pPr>
        </w:p>
      </w:sdtContent>
    </w:sdt>
    <w:p w14:paraId="5A8D8E85" w14:textId="386C8F0A" w:rsidR="00B95BA3" w:rsidRPr="00F457A0" w:rsidRDefault="00A90F41" w:rsidP="00F457A0">
      <w:pPr>
        <w:spacing w:after="0"/>
        <w:rPr>
          <w:rFonts w:eastAsiaTheme="majorEastAsia" w:cstheme="majorBidi"/>
          <w:b/>
          <w:bCs/>
          <w:color w:val="00A9CE" w:themeColor="accent1"/>
          <w:sz w:val="44"/>
          <w:szCs w:val="28"/>
        </w:rPr>
      </w:pPr>
      <w:r>
        <w:br w:type="page"/>
      </w:r>
    </w:p>
    <w:p w14:paraId="03A16CD8" w14:textId="7418181C" w:rsidR="000818A7" w:rsidRDefault="006C53EA" w:rsidP="000818A7">
      <w:pPr>
        <w:pStyle w:val="Heading1"/>
      </w:pPr>
      <w:bookmarkStart w:id="21" w:name="_Toc515031457"/>
      <w:r>
        <w:lastRenderedPageBreak/>
        <w:t xml:space="preserve">Innovation in mining and </w:t>
      </w:r>
      <w:r w:rsidR="00F457A0">
        <w:t>regional areas</w:t>
      </w:r>
      <w:bookmarkEnd w:id="21"/>
    </w:p>
    <w:p w14:paraId="44C6CBC4" w14:textId="77777777" w:rsidR="001D7A7A" w:rsidRDefault="001D7A7A" w:rsidP="001D7A7A">
      <w:pPr>
        <w:pStyle w:val="Heading2"/>
      </w:pPr>
      <w:bookmarkStart w:id="22" w:name="_Toc515031458"/>
      <w:r>
        <w:t>R&amp;D expenditure in Australian mining</w:t>
      </w:r>
      <w:bookmarkEnd w:id="22"/>
    </w:p>
    <w:p w14:paraId="7822C068" w14:textId="77777777" w:rsidR="001D7A7A" w:rsidRDefault="001D7A7A" w:rsidP="001D7A7A">
      <w:pPr>
        <w:pStyle w:val="BodyText"/>
        <w:keepNext/>
      </w:pPr>
      <w:r w:rsidRPr="000D284A">
        <w:rPr>
          <w:noProof/>
        </w:rPr>
        <w:drawing>
          <wp:inline distT="0" distB="0" distL="0" distR="0" wp14:anchorId="7D661B05" wp14:editId="2C107FB1">
            <wp:extent cx="6038849" cy="2419350"/>
            <wp:effectExtent l="0" t="0" r="635" b="0"/>
            <wp:docPr id="2" name="Picture 2" descr="This graph shows business expenditure ratios out of national total expenditure for 1) agriculture, forestry and fishing, 2) mining, and 3) manufacturing between 2005-06 and 2015-16." title="Figure 10. Research and development business expenditure ratio of national to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622" t="1511" r="689" b="2543"/>
                    <a:stretch/>
                  </pic:blipFill>
                  <pic:spPr bwMode="auto">
                    <a:xfrm>
                      <a:off x="0" y="0"/>
                      <a:ext cx="6039827" cy="2419742"/>
                    </a:xfrm>
                    <a:prstGeom prst="rect">
                      <a:avLst/>
                    </a:prstGeom>
                    <a:noFill/>
                    <a:ln>
                      <a:noFill/>
                    </a:ln>
                    <a:extLst>
                      <a:ext uri="{53640926-AAD7-44D8-BBD7-CCE9431645EC}">
                        <a14:shadowObscured xmlns:a14="http://schemas.microsoft.com/office/drawing/2010/main"/>
                      </a:ext>
                    </a:extLst>
                  </pic:spPr>
                </pic:pic>
              </a:graphicData>
            </a:graphic>
          </wp:inline>
        </w:drawing>
      </w:r>
    </w:p>
    <w:p w14:paraId="683C3B9B" w14:textId="6AB69B6D" w:rsidR="001D7A7A" w:rsidRPr="00FD5223" w:rsidRDefault="001D7A7A" w:rsidP="001D7A7A">
      <w:pPr>
        <w:pStyle w:val="Caption"/>
      </w:pPr>
      <w:bookmarkStart w:id="23" w:name="_Toc515031473"/>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10</w:t>
      </w:r>
      <w:r w:rsidR="00B5448A">
        <w:rPr>
          <w:noProof/>
        </w:rPr>
        <w:fldChar w:fldCharType="end"/>
      </w:r>
      <w:r>
        <w:t>. Research and development business expenditure ratio of national totals</w:t>
      </w:r>
      <w:bookmarkEnd w:id="23"/>
    </w:p>
    <w:p w14:paraId="69C7A3D0" w14:textId="32A9C697" w:rsidR="001D7A7A" w:rsidRPr="006C3113" w:rsidRDefault="001D7A7A" w:rsidP="00867031">
      <w:pPr>
        <w:pStyle w:val="FootnoteText"/>
      </w:pPr>
      <w:r>
        <w:t>Note</w:t>
      </w:r>
      <w:r w:rsidR="00182899">
        <w:t>s</w:t>
      </w:r>
      <w:r>
        <w:t xml:space="preserve">: </w:t>
      </w:r>
      <w:r w:rsidR="007C2AA4">
        <w:t>(a) excludes overseas investment; (b) survey data does not exist for 2012</w:t>
      </w:r>
      <w:r w:rsidR="00EA5DB3">
        <w:t>–</w:t>
      </w:r>
      <w:r w:rsidR="007C2AA4">
        <w:t xml:space="preserve">13. </w:t>
      </w:r>
      <w:r w:rsidR="008846BC">
        <w:t>Data s</w:t>
      </w:r>
      <w:r w:rsidR="00AD5412">
        <w:t xml:space="preserve">ource: </w:t>
      </w:r>
      <w:r w:rsidR="00AD5412" w:rsidRPr="006C3113">
        <w:fldChar w:fldCharType="begin"/>
      </w:r>
      <w:r w:rsidR="00472DAC">
        <w:instrText xml:space="preserve"> ADDIN EN.CITE &lt;EndNote&gt;&lt;Cite AuthorYear="1"&gt;&lt;Author&gt;Australian Bureau of Statistics&lt;/Author&gt;&lt;Year&gt;2017&lt;/Year&gt;&lt;RecNum&gt;2937&lt;/RecNum&gt;&lt;DisplayText&gt;Australian Bureau of Statistics (2017e)&lt;/DisplayText&gt;&lt;record&gt;&lt;rec-number&gt;2937&lt;/rec-number&gt;&lt;foreign-keys&gt;&lt;key app="EN" db-id="vzav25azvd0fxjextfzvax229ff0apaprtda" timestamp="1503017432"&gt;2937&lt;/key&gt;&lt;/foreign-keys&gt;&lt;ref-type name="Dataset"&gt;59&lt;/ref-type&gt;&lt;contributors&gt;&lt;authors&gt;&lt;author&gt;Australian Bureau of Statistics,&lt;/author&gt;&lt;/authors&gt;&lt;/contributors&gt;&lt;titles&gt;&lt;title&gt;Research and Experimental Development, Businesses, Australia, cat. no. 8104.0&lt;/title&gt;&lt;/titles&gt;&lt;edition&gt;15.09.2015&lt;/edition&gt;&lt;dates&gt;&lt;year&gt;2017&lt;/year&gt;&lt;pub-dates&gt;&lt;date&gt;20.08.2017&lt;/date&gt;&lt;/pub-dates&gt;&lt;/dates&gt;&lt;pub-location&gt;Canberra&lt;/pub-location&gt;&lt;urls&gt;&lt;related-urls&gt;&lt;url&gt;http://www.abs.gov.au&lt;/url&gt;&lt;/related-urls&gt;&lt;/urls&gt;&lt;/record&gt;&lt;/Cite&gt;&lt;/EndNote&gt;</w:instrText>
      </w:r>
      <w:r w:rsidR="00AD5412" w:rsidRPr="006C3113">
        <w:fldChar w:fldCharType="separate"/>
      </w:r>
      <w:r w:rsidR="00472DAC">
        <w:rPr>
          <w:noProof/>
        </w:rPr>
        <w:t>Australian Bureau of Statistics (2017e)</w:t>
      </w:r>
      <w:r w:rsidR="00AD5412" w:rsidRPr="006C3113">
        <w:fldChar w:fldCharType="end"/>
      </w:r>
    </w:p>
    <w:p w14:paraId="2AE46218" w14:textId="22F3F518" w:rsidR="001D7A7A" w:rsidRDefault="00DD14BE" w:rsidP="00DD14BE">
      <w:pPr>
        <w:pStyle w:val="BodyText"/>
        <w:jc w:val="both"/>
      </w:pPr>
      <w:r>
        <w:rPr>
          <w:noProof/>
        </w:rPr>
        <mc:AlternateContent>
          <mc:Choice Requires="wps">
            <w:drawing>
              <wp:anchor distT="91440" distB="91440" distL="114300" distR="114300" simplePos="0" relativeHeight="251825664" behindDoc="0" locked="0" layoutInCell="1" allowOverlap="1" wp14:anchorId="00B44E7A" wp14:editId="53889575">
                <wp:simplePos x="0" y="0"/>
                <wp:positionH relativeFrom="margin">
                  <wp:posOffset>2851785</wp:posOffset>
                </wp:positionH>
                <wp:positionV relativeFrom="paragraph">
                  <wp:posOffset>633095</wp:posOffset>
                </wp:positionV>
                <wp:extent cx="3265805" cy="1403985"/>
                <wp:effectExtent l="0" t="0" r="0" b="0"/>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805" cy="1403985"/>
                        </a:xfrm>
                        <a:prstGeom prst="rect">
                          <a:avLst/>
                        </a:prstGeom>
                        <a:noFill/>
                        <a:ln w="9525">
                          <a:noFill/>
                          <a:miter lim="800000"/>
                          <a:headEnd/>
                          <a:tailEnd/>
                        </a:ln>
                      </wps:spPr>
                      <wps:txbx>
                        <w:txbxContent>
                          <w:p w14:paraId="5D502E44" w14:textId="0F968C52" w:rsidR="00B5448A" w:rsidRPr="00E64C6A" w:rsidRDefault="00B5448A" w:rsidP="00DD14BE">
                            <w:pPr>
                              <w:pBdr>
                                <w:top w:val="single" w:sz="24" w:space="8" w:color="00A9CE" w:themeColor="accent1"/>
                                <w:bottom w:val="single" w:sz="24" w:space="8" w:color="00A9CE" w:themeColor="accent1"/>
                              </w:pBdr>
                              <w:spacing w:after="0"/>
                              <w:rPr>
                                <w:i/>
                                <w:iCs/>
                                <w:color w:val="00A9CE" w:themeColor="accent1"/>
                                <w:sz w:val="24"/>
                                <w:szCs w:val="24"/>
                              </w:rPr>
                            </w:pPr>
                            <w:r w:rsidRPr="00DD14BE">
                              <w:rPr>
                                <w:i/>
                                <w:iCs/>
                                <w:color w:val="00A9CE" w:themeColor="accent1"/>
                                <w:sz w:val="24"/>
                                <w:szCs w:val="24"/>
                              </w:rPr>
                              <w:t xml:space="preserve">Mining </w:t>
                            </w:r>
                            <w:r>
                              <w:rPr>
                                <w:i/>
                                <w:iCs/>
                                <w:color w:val="00A9CE" w:themeColor="accent1"/>
                                <w:sz w:val="24"/>
                                <w:szCs w:val="24"/>
                              </w:rPr>
                              <w:t xml:space="preserve">companies </w:t>
                            </w:r>
                            <w:r w:rsidRPr="00DD14BE">
                              <w:rPr>
                                <w:i/>
                                <w:iCs/>
                                <w:color w:val="00A9CE" w:themeColor="accent1"/>
                                <w:sz w:val="24"/>
                                <w:szCs w:val="24"/>
                              </w:rPr>
                              <w:t>ranked secon</w:t>
                            </w:r>
                            <w:r>
                              <w:rPr>
                                <w:i/>
                                <w:iCs/>
                                <w:color w:val="00A9CE" w:themeColor="accent1"/>
                                <w:sz w:val="24"/>
                                <w:szCs w:val="24"/>
                              </w:rPr>
                              <w:t xml:space="preserve">d in R&amp;D expenditure only to </w:t>
                            </w:r>
                            <w:r w:rsidRPr="00DD14BE">
                              <w:rPr>
                                <w:i/>
                                <w:iCs/>
                                <w:color w:val="00A9CE" w:themeColor="accent1"/>
                                <w:sz w:val="24"/>
                                <w:szCs w:val="24"/>
                              </w:rPr>
                              <w:t xml:space="preserve">manufacturing </w:t>
                            </w:r>
                            <w:r>
                              <w:rPr>
                                <w:i/>
                                <w:iCs/>
                                <w:color w:val="00A9CE" w:themeColor="accent1"/>
                                <w:sz w:val="24"/>
                                <w:szCs w:val="24"/>
                              </w:rPr>
                              <w:t>enterprises</w:t>
                            </w:r>
                            <w:r w:rsidRPr="00DD14BE">
                              <w:rPr>
                                <w:i/>
                                <w:iCs/>
                                <w:color w:val="00A9CE" w:themeColor="accent1"/>
                                <w:sz w:val="24"/>
                                <w:szCs w:val="24"/>
                              </w:rPr>
                              <w:t xml:space="preserve"> throughout 2005</w:t>
                            </w:r>
                            <w:r>
                              <w:rPr>
                                <w:i/>
                                <w:iCs/>
                                <w:color w:val="00A9CE" w:themeColor="accent1"/>
                                <w:sz w:val="24"/>
                                <w:szCs w:val="24"/>
                              </w:rPr>
                              <w:t>–</w:t>
                            </w:r>
                            <w:r w:rsidRPr="00DD14BE">
                              <w:rPr>
                                <w:i/>
                                <w:iCs/>
                                <w:color w:val="00A9CE" w:themeColor="accent1"/>
                                <w:sz w:val="24"/>
                                <w:szCs w:val="24"/>
                              </w:rPr>
                              <w:t>2012.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B44E7A" id="_x0000_s1052" type="#_x0000_t202" style="position:absolute;left:0;text-align:left;margin-left:224.55pt;margin-top:49.85pt;width:257.15pt;height:110.55pt;z-index:251825664;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" filled="f" stroked="f">
                <v:textbox style="mso-fit-shape-to-text:t">
                  <w:txbxContent>
                    <w:p w14:paraId="5D502E44" w14:textId="0F968C52" w:rsidR="00B5448A" w:rsidRPr="00E64C6A" w:rsidRDefault="00B5448A" w:rsidP="00DD14BE">
                      <w:pPr>
                        <w:pBdr>
                          <w:top w:val="single" w:sz="24" w:space="8" w:color="00A9CE" w:themeColor="accent1"/>
                          <w:bottom w:val="single" w:sz="24" w:space="8" w:color="00A9CE" w:themeColor="accent1"/>
                        </w:pBdr>
                        <w:spacing w:after="0"/>
                        <w:rPr>
                          <w:i/>
                          <w:iCs/>
                          <w:color w:val="00A9CE" w:themeColor="accent1"/>
                          <w:sz w:val="24"/>
                          <w:szCs w:val="24"/>
                        </w:rPr>
                      </w:pPr>
                      <w:r w:rsidRPr="00DD14BE">
                        <w:rPr>
                          <w:i/>
                          <w:iCs/>
                          <w:color w:val="00A9CE" w:themeColor="accent1"/>
                          <w:sz w:val="24"/>
                          <w:szCs w:val="24"/>
                        </w:rPr>
                        <w:t xml:space="preserve">Mining </w:t>
                      </w:r>
                      <w:r>
                        <w:rPr>
                          <w:i/>
                          <w:iCs/>
                          <w:color w:val="00A9CE" w:themeColor="accent1"/>
                          <w:sz w:val="24"/>
                          <w:szCs w:val="24"/>
                        </w:rPr>
                        <w:t xml:space="preserve">companies </w:t>
                      </w:r>
                      <w:r w:rsidRPr="00DD14BE">
                        <w:rPr>
                          <w:i/>
                          <w:iCs/>
                          <w:color w:val="00A9CE" w:themeColor="accent1"/>
                          <w:sz w:val="24"/>
                          <w:szCs w:val="24"/>
                        </w:rPr>
                        <w:t>ranked secon</w:t>
                      </w:r>
                      <w:r>
                        <w:rPr>
                          <w:i/>
                          <w:iCs/>
                          <w:color w:val="00A9CE" w:themeColor="accent1"/>
                          <w:sz w:val="24"/>
                          <w:szCs w:val="24"/>
                        </w:rPr>
                        <w:t xml:space="preserve">d in R&amp;D expenditure only to </w:t>
                      </w:r>
                      <w:r w:rsidRPr="00DD14BE">
                        <w:rPr>
                          <w:i/>
                          <w:iCs/>
                          <w:color w:val="00A9CE" w:themeColor="accent1"/>
                          <w:sz w:val="24"/>
                          <w:szCs w:val="24"/>
                        </w:rPr>
                        <w:t xml:space="preserve">manufacturing </w:t>
                      </w:r>
                      <w:r>
                        <w:rPr>
                          <w:i/>
                          <w:iCs/>
                          <w:color w:val="00A9CE" w:themeColor="accent1"/>
                          <w:sz w:val="24"/>
                          <w:szCs w:val="24"/>
                        </w:rPr>
                        <w:t>enterprises</w:t>
                      </w:r>
                      <w:r w:rsidRPr="00DD14BE">
                        <w:rPr>
                          <w:i/>
                          <w:iCs/>
                          <w:color w:val="00A9CE" w:themeColor="accent1"/>
                          <w:sz w:val="24"/>
                          <w:szCs w:val="24"/>
                        </w:rPr>
                        <w:t xml:space="preserve"> throughout 2005</w:t>
                      </w:r>
                      <w:r>
                        <w:rPr>
                          <w:i/>
                          <w:iCs/>
                          <w:color w:val="00A9CE" w:themeColor="accent1"/>
                          <w:sz w:val="24"/>
                          <w:szCs w:val="24"/>
                        </w:rPr>
                        <w:t>–</w:t>
                      </w:r>
                      <w:r w:rsidRPr="00DD14BE">
                        <w:rPr>
                          <w:i/>
                          <w:iCs/>
                          <w:color w:val="00A9CE" w:themeColor="accent1"/>
                          <w:sz w:val="24"/>
                          <w:szCs w:val="24"/>
                        </w:rPr>
                        <w:t>2012.</w:t>
                      </w:r>
                    </w:p>
                  </w:txbxContent>
                </v:textbox>
                <w10:wrap type="square" anchorx="margin"/>
              </v:shape>
            </w:pict>
          </mc:Fallback>
        </mc:AlternateContent>
      </w:r>
      <w:r w:rsidR="001D7A7A">
        <w:t xml:space="preserve">The mining boom </w:t>
      </w:r>
      <w:r w:rsidR="004C4E3E">
        <w:t>resulted in</w:t>
      </w:r>
      <w:r w:rsidR="001D7A7A">
        <w:t xml:space="preserve"> a higher share of</w:t>
      </w:r>
      <w:r w:rsidR="004C4E3E">
        <w:t xml:space="preserve"> mining</w:t>
      </w:r>
      <w:r w:rsidR="001D7A7A">
        <w:t xml:space="preserve"> business expenditure on research and development out of the national total</w:t>
      </w:r>
      <w:r w:rsidR="00E67EEE">
        <w:t>. M</w:t>
      </w:r>
      <w:r w:rsidR="001D7A7A">
        <w:t xml:space="preserve">ining </w:t>
      </w:r>
      <w:r w:rsidR="00526A75">
        <w:t xml:space="preserve">companies </w:t>
      </w:r>
      <w:r w:rsidR="00E67EEE">
        <w:rPr>
          <w:color w:val="auto"/>
        </w:rPr>
        <w:t>ranked</w:t>
      </w:r>
      <w:r w:rsidR="001D7A7A" w:rsidRPr="004B03D9">
        <w:rPr>
          <w:color w:val="auto"/>
        </w:rPr>
        <w:t xml:space="preserve"> second </w:t>
      </w:r>
      <w:r w:rsidR="001D7A7A">
        <w:t xml:space="preserve">in </w:t>
      </w:r>
      <w:r w:rsidR="0067105C">
        <w:t xml:space="preserve">research and development (R&amp;D) </w:t>
      </w:r>
      <w:r w:rsidR="001D7A7A">
        <w:t>expenditure only to</w:t>
      </w:r>
      <w:r w:rsidR="00526A75">
        <w:t xml:space="preserve"> </w:t>
      </w:r>
      <w:r w:rsidR="001D7A7A">
        <w:t xml:space="preserve">manufacturing </w:t>
      </w:r>
      <w:r w:rsidR="00526A75">
        <w:t xml:space="preserve">enterprises </w:t>
      </w:r>
      <w:r w:rsidR="001D7A7A">
        <w:t>throughout 2005</w:t>
      </w:r>
      <w:r w:rsidR="00024B1A">
        <w:t>–</w:t>
      </w:r>
      <w:r w:rsidR="001D7A7A">
        <w:t>2012</w:t>
      </w:r>
      <w:r w:rsidR="00EC6357">
        <w:t xml:space="preserve"> (F</w:t>
      </w:r>
      <w:r w:rsidR="001F785C">
        <w:t>igure 10</w:t>
      </w:r>
      <w:r w:rsidR="00024B1A">
        <w:t>)</w:t>
      </w:r>
      <w:r w:rsidR="001D7A7A">
        <w:t xml:space="preserve">. </w:t>
      </w:r>
      <w:r w:rsidR="004C4E3E">
        <w:t xml:space="preserve">However, the </w:t>
      </w:r>
      <w:r w:rsidR="001D7A7A">
        <w:t>2015</w:t>
      </w:r>
      <w:r w:rsidR="00EA5DB3">
        <w:t>–</w:t>
      </w:r>
      <w:r w:rsidR="001D7A7A">
        <w:t>16 survey of business R&amp;D expenditure reveals that mining investment ha</w:t>
      </w:r>
      <w:r w:rsidR="00723BF0">
        <w:t>s</w:t>
      </w:r>
      <w:r w:rsidR="001D7A7A">
        <w:t xml:space="preserve"> fallen </w:t>
      </w:r>
      <w:r w:rsidR="009102CB">
        <w:t>to</w:t>
      </w:r>
      <w:r w:rsidR="001D7A7A">
        <w:t xml:space="preserve"> fourth place</w:t>
      </w:r>
      <w:r w:rsidR="00024B1A">
        <w:t>.</w:t>
      </w:r>
      <w:r w:rsidR="001D7A7A">
        <w:t xml:space="preserve"> Nationally, the top three industries in terms of research and development business expenditure are: professional, scientific and technical services; manufacturing</w:t>
      </w:r>
      <w:r w:rsidR="009102CB">
        <w:t>;</w:t>
      </w:r>
      <w:r w:rsidR="001D7A7A">
        <w:t xml:space="preserve"> and financial and insurance services. Agriculture, forestry and fishing R&amp;D expenditure is considerably smaller, being the tenth largest expenditure</w:t>
      </w:r>
      <w:r>
        <w:t>.</w:t>
      </w:r>
    </w:p>
    <w:p w14:paraId="1693EC0B" w14:textId="292542E6" w:rsidR="001D7A7A" w:rsidRDefault="003F58D7" w:rsidP="0062234B">
      <w:pPr>
        <w:pStyle w:val="BodyText"/>
        <w:jc w:val="both"/>
      </w:pPr>
      <w:r>
        <w:t xml:space="preserve">The </w:t>
      </w:r>
      <w:r w:rsidR="004C4E3E">
        <w:t xml:space="preserve">shape of the </w:t>
      </w:r>
      <w:r>
        <w:t xml:space="preserve">national </w:t>
      </w:r>
      <w:r w:rsidR="00024B1A">
        <w:t>R&amp;D expenditure</w:t>
      </w:r>
      <w:r w:rsidR="009102CB">
        <w:t xml:space="preserve"> </w:t>
      </w:r>
      <w:r w:rsidR="00723BF0">
        <w:t>graph</w:t>
      </w:r>
      <w:r w:rsidR="004C4E3E">
        <w:t xml:space="preserve"> </w:t>
      </w:r>
      <w:r w:rsidR="009102CB">
        <w:t>for mining</w:t>
      </w:r>
      <w:r w:rsidR="00024B1A">
        <w:t xml:space="preserve"> </w:t>
      </w:r>
      <w:r w:rsidR="001D7A7A" w:rsidRPr="004C60FB">
        <w:t>is mirrored in Western Australia</w:t>
      </w:r>
      <w:r w:rsidR="0067105C">
        <w:t>, the Northern Territory</w:t>
      </w:r>
      <w:r w:rsidR="001D7A7A">
        <w:t xml:space="preserve"> and to some degree in Queensland</w:t>
      </w:r>
      <w:r w:rsidR="001D7A7A" w:rsidRPr="004C60FB">
        <w:t>, where mining innovation represents the highest share of state-wide R&amp;D expenditure</w:t>
      </w:r>
      <w:r w:rsidR="00CF1EE9">
        <w:t xml:space="preserve"> (F</w:t>
      </w:r>
      <w:r w:rsidR="00024B1A">
        <w:t>igures 1</w:t>
      </w:r>
      <w:r w:rsidR="001F785C">
        <w:t>1</w:t>
      </w:r>
      <w:r w:rsidR="008912A0">
        <w:t>, 1</w:t>
      </w:r>
      <w:r w:rsidR="001F785C">
        <w:t>2</w:t>
      </w:r>
      <w:r w:rsidR="00024B1A">
        <w:t>)</w:t>
      </w:r>
      <w:r w:rsidR="001D7A7A" w:rsidRPr="004C60FB">
        <w:t>.</w:t>
      </w:r>
      <w:r w:rsidR="001D7A7A">
        <w:t xml:space="preserve"> Mining is also the dominant </w:t>
      </w:r>
      <w:r w:rsidR="00723BF0">
        <w:t xml:space="preserve">private sector </w:t>
      </w:r>
      <w:r w:rsidR="001D7A7A">
        <w:t xml:space="preserve">contributor to </w:t>
      </w:r>
      <w:r w:rsidR="001D7A7A" w:rsidRPr="004C60FB">
        <w:t xml:space="preserve">Northern Territory </w:t>
      </w:r>
      <w:r w:rsidR="001D7A7A">
        <w:t>innovation</w:t>
      </w:r>
      <w:r w:rsidR="00D21628">
        <w:t>,</w:t>
      </w:r>
      <w:r w:rsidR="003F2F99">
        <w:t xml:space="preserve"> where m</w:t>
      </w:r>
      <w:r w:rsidR="001D7A7A">
        <w:t xml:space="preserve">ost </w:t>
      </w:r>
      <w:r w:rsidR="0067105C">
        <w:t xml:space="preserve">research and development funds </w:t>
      </w:r>
      <w:r w:rsidR="001D7A7A">
        <w:t xml:space="preserve">throughout 2005 </w:t>
      </w:r>
      <w:r w:rsidR="005F407B">
        <w:t>to</w:t>
      </w:r>
      <w:r w:rsidR="001D7A7A">
        <w:t xml:space="preserve"> 2015 </w:t>
      </w:r>
      <w:r w:rsidR="004C4E3E">
        <w:t>were spent by</w:t>
      </w:r>
      <w:r w:rsidR="0067105C">
        <w:t xml:space="preserve"> </w:t>
      </w:r>
      <w:r w:rsidR="001D7A7A" w:rsidRPr="004C60FB">
        <w:t>the industry</w:t>
      </w:r>
      <w:r w:rsidR="003F2F99">
        <w:t>. H</w:t>
      </w:r>
      <w:r w:rsidR="001D7A7A">
        <w:t>owever in absolute terms, the total am</w:t>
      </w:r>
      <w:r w:rsidR="006A4408">
        <w:t xml:space="preserve">ount spent on innovation in the Northern Territory </w:t>
      </w:r>
      <w:r w:rsidR="001D7A7A">
        <w:t>represents 1% of national R&amp;D expenditure</w:t>
      </w:r>
      <w:r w:rsidR="001D7A7A" w:rsidRPr="004C60FB">
        <w:t xml:space="preserve">. New South Wales </w:t>
      </w:r>
      <w:r w:rsidR="001D7A7A">
        <w:t xml:space="preserve">and </w:t>
      </w:r>
      <w:r w:rsidR="001D7A7A" w:rsidRPr="004C60FB">
        <w:t>Victoria’s</w:t>
      </w:r>
      <w:r w:rsidR="001D7A7A">
        <w:t xml:space="preserve"> investment </w:t>
      </w:r>
      <w:r w:rsidR="00024B1A">
        <w:t xml:space="preserve">appears to reflect </w:t>
      </w:r>
      <w:r w:rsidR="00A21181">
        <w:t xml:space="preserve">the </w:t>
      </w:r>
      <w:r w:rsidR="001D7A7A" w:rsidRPr="00024B1A">
        <w:t xml:space="preserve">underlying </w:t>
      </w:r>
      <w:r w:rsidR="00024B1A">
        <w:t xml:space="preserve">national </w:t>
      </w:r>
      <w:r w:rsidR="001D7A7A" w:rsidRPr="00024B1A">
        <w:t xml:space="preserve">economic </w:t>
      </w:r>
      <w:r w:rsidR="00024B1A">
        <w:t>structure</w:t>
      </w:r>
      <w:r w:rsidR="007A14E6">
        <w:t>:</w:t>
      </w:r>
      <w:r w:rsidR="001D7A7A">
        <w:t xml:space="preserve"> </w:t>
      </w:r>
      <w:r w:rsidR="00024B1A" w:rsidRPr="004C4E3E">
        <w:t xml:space="preserve">a </w:t>
      </w:r>
      <w:r w:rsidR="00A21181" w:rsidRPr="004C4E3E">
        <w:t>growing services sector</w:t>
      </w:r>
      <w:r w:rsidR="00024B1A" w:rsidRPr="004C4E3E">
        <w:t xml:space="preserve"> is seeing a decrease in</w:t>
      </w:r>
      <w:r w:rsidR="00A21181" w:rsidRPr="004C4E3E">
        <w:t xml:space="preserve"> the percentage of </w:t>
      </w:r>
      <w:r w:rsidR="001D7A7A" w:rsidRPr="004C4E3E">
        <w:t>R&amp;D expenditure</w:t>
      </w:r>
      <w:r w:rsidR="00A21181" w:rsidRPr="004C4E3E">
        <w:t xml:space="preserve"> from mining and manufacturing</w:t>
      </w:r>
      <w:r w:rsidR="001D7A7A" w:rsidRPr="004C4E3E">
        <w:t>.</w:t>
      </w:r>
      <w:r w:rsidR="001D7A7A">
        <w:t xml:space="preserve"> The national top three industries for R&amp;D investment are also the </w:t>
      </w:r>
      <w:r w:rsidR="00A21181">
        <w:t xml:space="preserve">largest </w:t>
      </w:r>
      <w:r w:rsidR="001D7A7A">
        <w:t xml:space="preserve">three </w:t>
      </w:r>
      <w:r w:rsidR="00A21181">
        <w:t xml:space="preserve">industries </w:t>
      </w:r>
      <w:r w:rsidR="001D7A7A">
        <w:t>in these two states.</w:t>
      </w:r>
    </w:p>
    <w:p w14:paraId="78DAB50B" w14:textId="77777777" w:rsidR="00024B1A" w:rsidRDefault="00024B1A" w:rsidP="001D7A7A">
      <w:pPr>
        <w:pStyle w:val="BodyText"/>
      </w:pPr>
    </w:p>
    <w:p w14:paraId="43D313C0" w14:textId="77777777" w:rsidR="001D7A7A" w:rsidRDefault="001D7A7A" w:rsidP="001D7A7A">
      <w:pPr>
        <w:pStyle w:val="BodyText"/>
      </w:pPr>
    </w:p>
    <w:p w14:paraId="13A9779B" w14:textId="6B3B9380" w:rsidR="001D7A7A" w:rsidRDefault="001D7A7A" w:rsidP="001D7A7A">
      <w:pPr>
        <w:pStyle w:val="BodyText"/>
      </w:pPr>
      <w:r>
        <w:t xml:space="preserve">(a) </w:t>
      </w:r>
      <w:r>
        <w:tab/>
      </w:r>
      <w:r>
        <w:tab/>
      </w:r>
      <w:r w:rsidR="00987591">
        <w:tab/>
      </w:r>
      <w:r w:rsidR="00987591">
        <w:tab/>
      </w:r>
      <w:r w:rsidR="00987591">
        <w:tab/>
      </w:r>
      <w:r w:rsidR="00987591">
        <w:tab/>
      </w:r>
      <w:r w:rsidR="00987591">
        <w:tab/>
      </w:r>
      <w:r>
        <w:t xml:space="preserve"> (b)</w:t>
      </w:r>
    </w:p>
    <w:p w14:paraId="26C9BDC6" w14:textId="77777777" w:rsidR="009D2CCA" w:rsidRDefault="009D2CCA" w:rsidP="001D7A7A">
      <w:pPr>
        <w:pStyle w:val="BodyText"/>
      </w:pPr>
    </w:p>
    <w:p w14:paraId="675E3A64" w14:textId="44CF0BEE" w:rsidR="001D7A7A" w:rsidRDefault="001D7A7A" w:rsidP="001D7A7A">
      <w:pPr>
        <w:pStyle w:val="BodyText"/>
        <w:keepNext/>
      </w:pPr>
      <w:r>
        <w:t xml:space="preserve"> </w:t>
      </w:r>
      <w:r w:rsidRPr="007B79E5">
        <w:rPr>
          <w:noProof/>
        </w:rPr>
        <w:drawing>
          <wp:inline distT="0" distB="0" distL="0" distR="0" wp14:anchorId="73A9BB87" wp14:editId="56CB22ED">
            <wp:extent cx="2943225" cy="2124075"/>
            <wp:effectExtent l="0" t="0" r="9525" b="9525"/>
            <wp:docPr id="61" name="Picture 61" descr="Graph A shows expenditure in New South Wales for 1) agriculture, forestry and fishing, 2) mining, and 3) manufacturing between 2005-06 to 2015-16." title="Figure 11. Research &amp; development business expenditure ratios of state totals (part 1). Graph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1574" t="881" r="1175" b="1055"/>
                    <a:stretch/>
                  </pic:blipFill>
                  <pic:spPr bwMode="auto">
                    <a:xfrm>
                      <a:off x="0" y="0"/>
                      <a:ext cx="2943225" cy="2124075"/>
                    </a:xfrm>
                    <a:prstGeom prst="rect">
                      <a:avLst/>
                    </a:prstGeom>
                    <a:noFill/>
                    <a:ln>
                      <a:noFill/>
                    </a:ln>
                    <a:extLst>
                      <a:ext uri="{53640926-AAD7-44D8-BBD7-CCE9431645EC}">
                        <a14:shadowObscured xmlns:a14="http://schemas.microsoft.com/office/drawing/2010/main"/>
                      </a:ext>
                    </a:extLst>
                  </pic:spPr>
                </pic:pic>
              </a:graphicData>
            </a:graphic>
          </wp:inline>
        </w:drawing>
      </w:r>
      <w:r w:rsidR="009D2CCA" w:rsidRPr="009D2CCA">
        <w:rPr>
          <w:noProof/>
        </w:rPr>
        <w:drawing>
          <wp:inline distT="0" distB="0" distL="0" distR="0" wp14:anchorId="5FC2E183" wp14:editId="6DE2CE7E">
            <wp:extent cx="3024505" cy="2159635"/>
            <wp:effectExtent l="0" t="0" r="4445" b="0"/>
            <wp:docPr id="18" name="Picture 18" descr="Graph B shows expenditure in Victoria." title="Figure 11. Graph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4505" cy="2159635"/>
                    </a:xfrm>
                    <a:prstGeom prst="rect">
                      <a:avLst/>
                    </a:prstGeom>
                    <a:noFill/>
                    <a:ln>
                      <a:noFill/>
                    </a:ln>
                  </pic:spPr>
                </pic:pic>
              </a:graphicData>
            </a:graphic>
          </wp:inline>
        </w:drawing>
      </w:r>
    </w:p>
    <w:p w14:paraId="24F2FA4D" w14:textId="3D56BB05" w:rsidR="001D7A7A" w:rsidRDefault="001D7A7A" w:rsidP="001D7A7A">
      <w:pPr>
        <w:pStyle w:val="BodyText"/>
      </w:pPr>
      <w:r>
        <w:t xml:space="preserve">(c) </w:t>
      </w:r>
      <w:r>
        <w:tab/>
      </w:r>
      <w:r>
        <w:tab/>
      </w:r>
      <w:r w:rsidR="00987591">
        <w:tab/>
      </w:r>
      <w:r w:rsidR="00987591">
        <w:tab/>
      </w:r>
      <w:r w:rsidR="00987591">
        <w:tab/>
      </w:r>
      <w:r w:rsidR="00987591">
        <w:tab/>
      </w:r>
      <w:r w:rsidR="00987591">
        <w:tab/>
      </w:r>
      <w:r>
        <w:t xml:space="preserve"> (d)</w:t>
      </w:r>
    </w:p>
    <w:p w14:paraId="18792C00" w14:textId="77777777" w:rsidR="001D7A7A" w:rsidRDefault="001D7A7A" w:rsidP="001D7A7A">
      <w:pPr>
        <w:pStyle w:val="BodyText"/>
      </w:pPr>
      <w:r>
        <w:t xml:space="preserve"> </w:t>
      </w:r>
      <w:r w:rsidRPr="007B79E5">
        <w:rPr>
          <w:noProof/>
        </w:rPr>
        <w:drawing>
          <wp:inline distT="0" distB="0" distL="0" distR="0" wp14:anchorId="618348B6" wp14:editId="2FD80237">
            <wp:extent cx="2933700" cy="2105025"/>
            <wp:effectExtent l="0" t="0" r="0" b="9525"/>
            <wp:docPr id="62" name="Picture 62" descr="Graph C shows expenditure in Queensland." title="Figure 11. Graph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a:extLst>
                        <a:ext uri="{28A0092B-C50C-407E-A947-70E740481C1C}">
                          <a14:useLocalDpi xmlns:a14="http://schemas.microsoft.com/office/drawing/2010/main" val="0"/>
                        </a:ext>
                      </a:extLst>
                    </a:blip>
                    <a:srcRect l="1573" t="1759" r="1490" b="1055"/>
                    <a:stretch/>
                  </pic:blipFill>
                  <pic:spPr bwMode="auto">
                    <a:xfrm>
                      <a:off x="0" y="0"/>
                      <a:ext cx="2933700" cy="2105025"/>
                    </a:xfrm>
                    <a:prstGeom prst="rect">
                      <a:avLst/>
                    </a:prstGeom>
                    <a:noFill/>
                    <a:ln>
                      <a:noFill/>
                    </a:ln>
                    <a:extLst>
                      <a:ext uri="{53640926-AAD7-44D8-BBD7-CCE9431645EC}">
                        <a14:shadowObscured xmlns:a14="http://schemas.microsoft.com/office/drawing/2010/main"/>
                      </a:ext>
                    </a:extLst>
                  </pic:spPr>
                </pic:pic>
              </a:graphicData>
            </a:graphic>
          </wp:inline>
        </w:drawing>
      </w:r>
      <w:r w:rsidRPr="007B79E5">
        <w:rPr>
          <w:noProof/>
        </w:rPr>
        <w:drawing>
          <wp:inline distT="0" distB="0" distL="0" distR="0" wp14:anchorId="2466137A" wp14:editId="272F7C7E">
            <wp:extent cx="2962275" cy="2066925"/>
            <wp:effectExtent l="0" t="0" r="9525" b="9525"/>
            <wp:docPr id="63" name="Picture 63" descr="Graph D shows expenditure in South Australia." title="Figure 11. Graph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a:extLst>
                        <a:ext uri="{28A0092B-C50C-407E-A947-70E740481C1C}">
                          <a14:useLocalDpi xmlns:a14="http://schemas.microsoft.com/office/drawing/2010/main" val="0"/>
                        </a:ext>
                      </a:extLst>
                    </a:blip>
                    <a:srcRect l="628" t="1759" r="1839" b="2814"/>
                    <a:stretch/>
                  </pic:blipFill>
                  <pic:spPr bwMode="auto">
                    <a:xfrm>
                      <a:off x="0" y="0"/>
                      <a:ext cx="2962275" cy="2066925"/>
                    </a:xfrm>
                    <a:prstGeom prst="rect">
                      <a:avLst/>
                    </a:prstGeom>
                    <a:noFill/>
                    <a:ln>
                      <a:noFill/>
                    </a:ln>
                    <a:extLst>
                      <a:ext uri="{53640926-AAD7-44D8-BBD7-CCE9431645EC}">
                        <a14:shadowObscured xmlns:a14="http://schemas.microsoft.com/office/drawing/2010/main"/>
                      </a:ext>
                    </a:extLst>
                  </pic:spPr>
                </pic:pic>
              </a:graphicData>
            </a:graphic>
          </wp:inline>
        </w:drawing>
      </w:r>
    </w:p>
    <w:p w14:paraId="7B99AF2C" w14:textId="77777777" w:rsidR="001D7A7A" w:rsidRDefault="001D7A7A" w:rsidP="001D7A7A">
      <w:pPr>
        <w:pStyle w:val="Caption"/>
      </w:pPr>
      <w:bookmarkStart w:id="24" w:name="_Toc515031474"/>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11</w:t>
      </w:r>
      <w:r w:rsidR="00B5448A">
        <w:rPr>
          <w:noProof/>
        </w:rPr>
        <w:fldChar w:fldCharType="end"/>
      </w:r>
      <w:r>
        <w:t xml:space="preserve">. </w:t>
      </w:r>
      <w:r w:rsidRPr="006840BC">
        <w:t>Research &amp; development business expenditure ratios of state totals</w:t>
      </w:r>
      <w:r>
        <w:t xml:space="preserve"> (part 1)</w:t>
      </w:r>
      <w:bookmarkEnd w:id="24"/>
    </w:p>
    <w:p w14:paraId="51E22D82" w14:textId="57A5B157" w:rsidR="001D7A7A" w:rsidRDefault="001D7A7A" w:rsidP="00867031">
      <w:pPr>
        <w:pStyle w:val="FootnoteText"/>
      </w:pPr>
      <w:r>
        <w:t>Note</w:t>
      </w:r>
      <w:r w:rsidR="008846BC">
        <w:t>s</w:t>
      </w:r>
      <w:r>
        <w:t xml:space="preserve">: </w:t>
      </w:r>
      <w:r w:rsidR="007C2AA4">
        <w:t xml:space="preserve">(a) </w:t>
      </w:r>
      <w:r>
        <w:t>A,F &amp; F stands for Agri</w:t>
      </w:r>
      <w:r w:rsidR="007C2AA4">
        <w:t>culture, Forestry and Fisheries; (b) survey data does not exist for 2012</w:t>
      </w:r>
      <w:r w:rsidR="00EA5DB3">
        <w:t>–</w:t>
      </w:r>
      <w:r w:rsidR="007C2AA4">
        <w:t xml:space="preserve">13. </w:t>
      </w:r>
      <w:r w:rsidR="008846BC">
        <w:t>Data s</w:t>
      </w:r>
      <w:r w:rsidRPr="00613B64">
        <w:t xml:space="preserve">ource: </w:t>
      </w:r>
      <w:r w:rsidRPr="00613B64">
        <w:fldChar w:fldCharType="begin"/>
      </w:r>
      <w:r w:rsidR="00472DAC">
        <w:instrText xml:space="preserve"> ADDIN EN.CITE &lt;EndNote&gt;&lt;Cite AuthorYear="1"&gt;&lt;Author&gt;Australian Bureau of Statistics&lt;/Author&gt;&lt;Year&gt;2017&lt;/Year&gt;&lt;RecNum&gt;2937&lt;/RecNum&gt;&lt;DisplayText&gt;Australian Bureau of Statistics (2017e)&lt;/DisplayText&gt;&lt;record&gt;&lt;rec-number&gt;2937&lt;/rec-number&gt;&lt;foreign-keys&gt;&lt;key app="EN" db-id="vzav25azvd0fxjextfzvax229ff0apaprtda" timestamp="1503017432"&gt;2937&lt;/key&gt;&lt;/foreign-keys&gt;&lt;ref-type name="Dataset"&gt;59&lt;/ref-type&gt;&lt;contributors&gt;&lt;authors&gt;&lt;author&gt;Australian Bureau of Statistics,&lt;/author&gt;&lt;/authors&gt;&lt;/contributors&gt;&lt;titles&gt;&lt;title&gt;Research and Experimental Development, Businesses, Australia, cat. no. 8104.0&lt;/title&gt;&lt;/titles&gt;&lt;edition&gt;15.09.2015&lt;/edition&gt;&lt;dates&gt;&lt;year&gt;2017&lt;/year&gt;&lt;pub-dates&gt;&lt;date&gt;20.08.2017&lt;/date&gt;&lt;/pub-dates&gt;&lt;/dates&gt;&lt;pub-location&gt;Canberra&lt;/pub-location&gt;&lt;urls&gt;&lt;related-urls&gt;&lt;url&gt;http://www.abs.gov.au&lt;/url&gt;&lt;/related-urls&gt;&lt;/urls&gt;&lt;/record&gt;&lt;/Cite&gt;&lt;/EndNote&gt;</w:instrText>
      </w:r>
      <w:r w:rsidRPr="00613B64">
        <w:fldChar w:fldCharType="separate"/>
      </w:r>
      <w:r w:rsidR="00472DAC">
        <w:rPr>
          <w:noProof/>
        </w:rPr>
        <w:t>Australian Bureau of Statistics (2017e)</w:t>
      </w:r>
      <w:r w:rsidRPr="00613B64">
        <w:fldChar w:fldCharType="end"/>
      </w:r>
    </w:p>
    <w:p w14:paraId="1DA777EA" w14:textId="23A191B3" w:rsidR="001D7A7A" w:rsidRDefault="001D7A7A" w:rsidP="007A14E6">
      <w:pPr>
        <w:pStyle w:val="BodyText"/>
        <w:jc w:val="both"/>
      </w:pPr>
      <w:r>
        <w:t xml:space="preserve">Mining in South Australia </w:t>
      </w:r>
      <w:r w:rsidR="00182899">
        <w:t>was</w:t>
      </w:r>
      <w:r>
        <w:t xml:space="preserve"> </w:t>
      </w:r>
      <w:r w:rsidR="002D05D8">
        <w:t>typically</w:t>
      </w:r>
      <w:r>
        <w:t xml:space="preserve"> the second or third </w:t>
      </w:r>
      <w:r w:rsidR="00182899">
        <w:t xml:space="preserve">largest </w:t>
      </w:r>
      <w:r>
        <w:t xml:space="preserve">contributor to </w:t>
      </w:r>
      <w:r w:rsidR="002B32B2">
        <w:t xml:space="preserve">private enterprises </w:t>
      </w:r>
      <w:r>
        <w:t>innovation investment over the period 2005</w:t>
      </w:r>
      <w:r w:rsidR="00AA6973">
        <w:t xml:space="preserve"> to </w:t>
      </w:r>
      <w:r>
        <w:t xml:space="preserve">2016. South Australian R&amp;D investment is a constant of three industries being at the top throughout the period: </w:t>
      </w:r>
      <w:r w:rsidR="007A14E6">
        <w:t>m</w:t>
      </w:r>
      <w:r>
        <w:t xml:space="preserve">anufacturing continuously dominates </w:t>
      </w:r>
      <w:r w:rsidR="007A14E6">
        <w:t>m</w:t>
      </w:r>
      <w:r>
        <w:t xml:space="preserve">ining and </w:t>
      </w:r>
      <w:r w:rsidR="007A14E6">
        <w:t>p</w:t>
      </w:r>
      <w:r>
        <w:t>rofessional services</w:t>
      </w:r>
      <w:r w:rsidR="002D05D8">
        <w:t>. In</w:t>
      </w:r>
      <w:r>
        <w:t xml:space="preserve"> Tasm</w:t>
      </w:r>
      <w:r w:rsidR="002D05D8">
        <w:t>ania</w:t>
      </w:r>
      <w:r w:rsidR="007A14E6">
        <w:t>, m</w:t>
      </w:r>
      <w:r>
        <w:t xml:space="preserve">ining is either the third or fourth highest industry to invest in innovation. </w:t>
      </w:r>
      <w:r w:rsidR="007A14E6">
        <w:t>While m</w:t>
      </w:r>
      <w:r w:rsidRPr="00D10A67">
        <w:t>anufacturing traditionally is the top innovation investor</w:t>
      </w:r>
      <w:r w:rsidR="00A21181">
        <w:t xml:space="preserve"> in Tasmania</w:t>
      </w:r>
      <w:r w:rsidRPr="00D10A67">
        <w:t xml:space="preserve">, the latest survey showed </w:t>
      </w:r>
      <w:r w:rsidR="00A21181">
        <w:t>manufacturing</w:t>
      </w:r>
      <w:r w:rsidR="002D05D8">
        <w:t xml:space="preserve"> almost</w:t>
      </w:r>
      <w:r w:rsidR="00A21181">
        <w:t xml:space="preserve"> converging with </w:t>
      </w:r>
      <w:r w:rsidR="007A14E6">
        <w:t>a</w:t>
      </w:r>
      <w:r w:rsidRPr="00D10A67">
        <w:t xml:space="preserve">griculture, </w:t>
      </w:r>
      <w:r w:rsidR="007A14E6">
        <w:t>forestry and f</w:t>
      </w:r>
      <w:r w:rsidRPr="00D10A67">
        <w:t>isheries.</w:t>
      </w:r>
      <w:r>
        <w:rPr>
          <w:rStyle w:val="FootnoteReference"/>
        </w:rPr>
        <w:footnoteReference w:id="15"/>
      </w:r>
    </w:p>
    <w:p w14:paraId="3CB01DC1" w14:textId="77777777" w:rsidR="001D7A7A" w:rsidRDefault="001D7A7A" w:rsidP="001D7A7A">
      <w:pPr>
        <w:pStyle w:val="BodyText"/>
      </w:pPr>
    </w:p>
    <w:p w14:paraId="4B725578" w14:textId="77777777" w:rsidR="001D7A7A" w:rsidRDefault="001D7A7A" w:rsidP="001D7A7A">
      <w:pPr>
        <w:pStyle w:val="BodyText"/>
      </w:pPr>
    </w:p>
    <w:p w14:paraId="11D5D563" w14:textId="77777777" w:rsidR="00DD14BE" w:rsidRDefault="00DD14BE" w:rsidP="001D7A7A">
      <w:pPr>
        <w:pStyle w:val="BodyText"/>
      </w:pPr>
    </w:p>
    <w:p w14:paraId="7C45CD0F" w14:textId="6ABD0696" w:rsidR="001D7A7A" w:rsidRDefault="001D7A7A" w:rsidP="001D7A7A">
      <w:pPr>
        <w:pStyle w:val="BodyText"/>
      </w:pPr>
      <w:r>
        <w:t xml:space="preserve">(e) </w:t>
      </w:r>
      <w:r>
        <w:tab/>
      </w:r>
      <w:r>
        <w:tab/>
        <w:t xml:space="preserve"> </w:t>
      </w:r>
      <w:r w:rsidR="0005130A">
        <w:tab/>
      </w:r>
      <w:r w:rsidR="0005130A">
        <w:tab/>
      </w:r>
      <w:r w:rsidR="0005130A">
        <w:tab/>
      </w:r>
      <w:r w:rsidR="0005130A">
        <w:tab/>
      </w:r>
      <w:r w:rsidR="0005130A">
        <w:tab/>
      </w:r>
      <w:r>
        <w:t>(f)</w:t>
      </w:r>
    </w:p>
    <w:p w14:paraId="1CD8AAF1" w14:textId="77777777" w:rsidR="001D7A7A" w:rsidRDefault="001D7A7A" w:rsidP="001D7A7A">
      <w:pPr>
        <w:pStyle w:val="BodyText"/>
      </w:pPr>
      <w:r w:rsidRPr="007B79E5">
        <w:rPr>
          <w:noProof/>
        </w:rPr>
        <w:drawing>
          <wp:inline distT="0" distB="0" distL="0" distR="0" wp14:anchorId="2D3C0DE0" wp14:editId="13DCF0E2">
            <wp:extent cx="2952750" cy="2047875"/>
            <wp:effectExtent l="0" t="0" r="0" b="9525"/>
            <wp:docPr id="65" name="Picture 65" descr="Graph E shows expenditure in Western Australia." title="Figure 12. Research &amp; development business expenditure ratios of state totals (part 2). Graph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a:extLst>
                        <a:ext uri="{28A0092B-C50C-407E-A947-70E740481C1C}">
                          <a14:useLocalDpi xmlns:a14="http://schemas.microsoft.com/office/drawing/2010/main" val="0"/>
                        </a:ext>
                      </a:extLst>
                    </a:blip>
                    <a:srcRect l="944" t="2639" r="1488" b="2815"/>
                    <a:stretch/>
                  </pic:blipFill>
                  <pic:spPr bwMode="auto">
                    <a:xfrm>
                      <a:off x="0" y="0"/>
                      <a:ext cx="2952750" cy="2047875"/>
                    </a:xfrm>
                    <a:prstGeom prst="rect">
                      <a:avLst/>
                    </a:prstGeom>
                    <a:noFill/>
                    <a:ln>
                      <a:noFill/>
                    </a:ln>
                    <a:extLst>
                      <a:ext uri="{53640926-AAD7-44D8-BBD7-CCE9431645EC}">
                        <a14:shadowObscured xmlns:a14="http://schemas.microsoft.com/office/drawing/2010/main"/>
                      </a:ext>
                    </a:extLst>
                  </pic:spPr>
                </pic:pic>
              </a:graphicData>
            </a:graphic>
          </wp:inline>
        </w:drawing>
      </w:r>
      <w:r w:rsidRPr="007B79E5">
        <w:t xml:space="preserve"> </w:t>
      </w:r>
      <w:r w:rsidRPr="007B79E5">
        <w:rPr>
          <w:noProof/>
        </w:rPr>
        <w:drawing>
          <wp:inline distT="0" distB="0" distL="0" distR="0" wp14:anchorId="6A4B7265" wp14:editId="1E9999FC">
            <wp:extent cx="2952750" cy="2105025"/>
            <wp:effectExtent l="0" t="0" r="0" b="9525"/>
            <wp:docPr id="66" name="Picture 66" descr="Graph F shows expenditure in Tasmania." title="Figure 12. Graph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
                      <a:extLst>
                        <a:ext uri="{28A0092B-C50C-407E-A947-70E740481C1C}">
                          <a14:useLocalDpi xmlns:a14="http://schemas.microsoft.com/office/drawing/2010/main" val="0"/>
                        </a:ext>
                      </a:extLst>
                    </a:blip>
                    <a:srcRect l="945" t="1319" r="1487" b="1496"/>
                    <a:stretch/>
                  </pic:blipFill>
                  <pic:spPr bwMode="auto">
                    <a:xfrm>
                      <a:off x="0" y="0"/>
                      <a:ext cx="2952750" cy="2105025"/>
                    </a:xfrm>
                    <a:prstGeom prst="rect">
                      <a:avLst/>
                    </a:prstGeom>
                    <a:noFill/>
                    <a:ln>
                      <a:noFill/>
                    </a:ln>
                    <a:extLst>
                      <a:ext uri="{53640926-AAD7-44D8-BBD7-CCE9431645EC}">
                        <a14:shadowObscured xmlns:a14="http://schemas.microsoft.com/office/drawing/2010/main"/>
                      </a:ext>
                    </a:extLst>
                  </pic:spPr>
                </pic:pic>
              </a:graphicData>
            </a:graphic>
          </wp:inline>
        </w:drawing>
      </w:r>
    </w:p>
    <w:p w14:paraId="3F22A802" w14:textId="0A82634E" w:rsidR="001D7A7A" w:rsidRDefault="001D7A7A" w:rsidP="001D7A7A">
      <w:pPr>
        <w:pStyle w:val="BodyText"/>
      </w:pPr>
      <w:r>
        <w:t xml:space="preserve">(g) </w:t>
      </w:r>
      <w:r>
        <w:tab/>
      </w:r>
      <w:r>
        <w:tab/>
      </w:r>
    </w:p>
    <w:p w14:paraId="2F942101" w14:textId="77777777" w:rsidR="001D7A7A" w:rsidRDefault="001D7A7A" w:rsidP="001D7A7A">
      <w:pPr>
        <w:pStyle w:val="BodyText"/>
        <w:keepNext/>
      </w:pPr>
      <w:r>
        <w:t xml:space="preserve"> </w:t>
      </w:r>
      <w:r w:rsidRPr="007B79E5">
        <w:rPr>
          <w:noProof/>
        </w:rPr>
        <w:drawing>
          <wp:inline distT="0" distB="0" distL="0" distR="0" wp14:anchorId="5373318F" wp14:editId="051B09A5">
            <wp:extent cx="2933700" cy="2076450"/>
            <wp:effectExtent l="0" t="0" r="0" b="0"/>
            <wp:docPr id="69" name="Picture 69" descr="Graph G shows expenditure in Northern Territory." title="Figure 12. Graph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a:extLst>
                        <a:ext uri="{28A0092B-C50C-407E-A947-70E740481C1C}">
                          <a14:useLocalDpi xmlns:a14="http://schemas.microsoft.com/office/drawing/2010/main" val="0"/>
                        </a:ext>
                      </a:extLst>
                    </a:blip>
                    <a:srcRect l="1888" t="2639" r="1175" b="1496"/>
                    <a:stretch/>
                  </pic:blipFill>
                  <pic:spPr bwMode="auto">
                    <a:xfrm>
                      <a:off x="0" y="0"/>
                      <a:ext cx="2933700" cy="2076450"/>
                    </a:xfrm>
                    <a:prstGeom prst="rect">
                      <a:avLst/>
                    </a:prstGeom>
                    <a:noFill/>
                    <a:ln>
                      <a:noFill/>
                    </a:ln>
                    <a:extLst>
                      <a:ext uri="{53640926-AAD7-44D8-BBD7-CCE9431645EC}">
                        <a14:shadowObscured xmlns:a14="http://schemas.microsoft.com/office/drawing/2010/main"/>
                      </a:ext>
                    </a:extLst>
                  </pic:spPr>
                </pic:pic>
              </a:graphicData>
            </a:graphic>
          </wp:inline>
        </w:drawing>
      </w:r>
    </w:p>
    <w:p w14:paraId="60C2F9C1" w14:textId="77777777" w:rsidR="001D7A7A" w:rsidRDefault="001D7A7A" w:rsidP="001D7A7A">
      <w:pPr>
        <w:pStyle w:val="Caption"/>
      </w:pPr>
      <w:bookmarkStart w:id="25" w:name="_Toc515031475"/>
      <w:r>
        <w:t xml:space="preserve">Figure </w:t>
      </w:r>
      <w:r w:rsidR="00B5448A">
        <w:rPr>
          <w:noProof/>
        </w:rPr>
        <w:fldChar w:fldCharType="begin"/>
      </w:r>
      <w:r w:rsidR="00B5448A">
        <w:rPr>
          <w:noProof/>
        </w:rPr>
        <w:instrText xml:space="preserve"> SEQ Figure \* ARABIC </w:instrText>
      </w:r>
      <w:r w:rsidR="00B5448A">
        <w:rPr>
          <w:noProof/>
        </w:rPr>
        <w:fldChar w:fldCharType="separate"/>
      </w:r>
      <w:r w:rsidR="0083361D">
        <w:rPr>
          <w:noProof/>
        </w:rPr>
        <w:t>12</w:t>
      </w:r>
      <w:r w:rsidR="00B5448A">
        <w:rPr>
          <w:noProof/>
        </w:rPr>
        <w:fldChar w:fldCharType="end"/>
      </w:r>
      <w:r>
        <w:t xml:space="preserve">. </w:t>
      </w:r>
      <w:r w:rsidRPr="006840BC">
        <w:t>Research &amp; development business expenditure ratios of state totals</w:t>
      </w:r>
      <w:r>
        <w:t xml:space="preserve"> (part 2)</w:t>
      </w:r>
      <w:bookmarkEnd w:id="25"/>
    </w:p>
    <w:p w14:paraId="32F44B83" w14:textId="6D2ABA6D" w:rsidR="001D7A7A" w:rsidRDefault="007C2AA4" w:rsidP="001449AB">
      <w:pPr>
        <w:pStyle w:val="FootnoteText"/>
      </w:pPr>
      <w:r>
        <w:t>Note</w:t>
      </w:r>
      <w:r w:rsidR="008846BC">
        <w:t>s</w:t>
      </w:r>
      <w:r>
        <w:t>: (a) A,F &amp; F stands for Agriculture, Forestry and Fisheries; (b) survey data does not exist for 2012</w:t>
      </w:r>
      <w:r w:rsidR="00EA5DB3">
        <w:t>–</w:t>
      </w:r>
      <w:r>
        <w:t xml:space="preserve">13. </w:t>
      </w:r>
      <w:r w:rsidR="008846BC">
        <w:t>Data s</w:t>
      </w:r>
      <w:r w:rsidR="001D7A7A" w:rsidRPr="00613B64">
        <w:t xml:space="preserve">ource: </w:t>
      </w:r>
      <w:r w:rsidR="001D7A7A" w:rsidRPr="00613B64">
        <w:fldChar w:fldCharType="begin"/>
      </w:r>
      <w:r w:rsidR="00472DAC">
        <w:instrText xml:space="preserve"> ADDIN EN.CITE &lt;EndNote&gt;&lt;Cite AuthorYear="1"&gt;&lt;Author&gt;Australian Bureau of Statistics&lt;/Author&gt;&lt;Year&gt;2017&lt;/Year&gt;&lt;RecNum&gt;2937&lt;/RecNum&gt;&lt;DisplayText&gt;Australian Bureau of Statistics (2017e)&lt;/DisplayText&gt;&lt;record&gt;&lt;rec-number&gt;2937&lt;/rec-number&gt;&lt;foreign-keys&gt;&lt;key app="EN" db-id="vzav25azvd0fxjextfzvax229ff0apaprtda" timestamp="1503017432"&gt;2937&lt;/key&gt;&lt;/foreign-keys&gt;&lt;ref-type name="Dataset"&gt;59&lt;/ref-type&gt;&lt;contributors&gt;&lt;authors&gt;&lt;author&gt;Australian Bureau of Statistics,&lt;/author&gt;&lt;/authors&gt;&lt;/contributors&gt;&lt;titles&gt;&lt;title&gt;Research and Experimental Development, Businesses, Australia, cat. no. 8104.0&lt;/title&gt;&lt;/titles&gt;&lt;edition&gt;15.09.2015&lt;/edition&gt;&lt;dates&gt;&lt;year&gt;2017&lt;/year&gt;&lt;pub-dates&gt;&lt;date&gt;20.08.2017&lt;/date&gt;&lt;/pub-dates&gt;&lt;/dates&gt;&lt;pub-location&gt;Canberra&lt;/pub-location&gt;&lt;urls&gt;&lt;related-urls&gt;&lt;url&gt;http://www.abs.gov.au&lt;/url&gt;&lt;/related-urls&gt;&lt;/urls&gt;&lt;/record&gt;&lt;/Cite&gt;&lt;/EndNote&gt;</w:instrText>
      </w:r>
      <w:r w:rsidR="001D7A7A" w:rsidRPr="00613B64">
        <w:fldChar w:fldCharType="separate"/>
      </w:r>
      <w:r w:rsidR="00472DAC">
        <w:rPr>
          <w:noProof/>
        </w:rPr>
        <w:t>Australian Bureau of Statistics (2017e)</w:t>
      </w:r>
      <w:r w:rsidR="001D7A7A" w:rsidRPr="00613B64">
        <w:fldChar w:fldCharType="end"/>
      </w:r>
    </w:p>
    <w:p w14:paraId="6101B7BB" w14:textId="77777777" w:rsidR="001D7A7A" w:rsidRDefault="001D7A7A" w:rsidP="001D7A7A">
      <w:pPr>
        <w:pStyle w:val="BodyText"/>
      </w:pPr>
    </w:p>
    <w:p w14:paraId="19F2644B" w14:textId="77777777" w:rsidR="001D7A7A" w:rsidRPr="00FD4750" w:rsidRDefault="001D7A7A" w:rsidP="001D7A7A">
      <w:pPr>
        <w:pStyle w:val="BodyText"/>
      </w:pPr>
    </w:p>
    <w:p w14:paraId="02FE3F2E" w14:textId="77777777" w:rsidR="001D7A7A" w:rsidRDefault="001D7A7A" w:rsidP="001D7A7A">
      <w:pPr>
        <w:pStyle w:val="BodyText"/>
      </w:pPr>
    </w:p>
    <w:p w14:paraId="6ECA8872" w14:textId="77777777" w:rsidR="001D7A7A" w:rsidRDefault="001D7A7A" w:rsidP="001D7A7A">
      <w:pPr>
        <w:pStyle w:val="BodyText"/>
      </w:pPr>
    </w:p>
    <w:p w14:paraId="6AE17B38" w14:textId="77777777" w:rsidR="001D7A7A" w:rsidRPr="00A861F6" w:rsidRDefault="001D7A7A" w:rsidP="001D7A7A">
      <w:pPr>
        <w:spacing w:after="0"/>
      </w:pPr>
    </w:p>
    <w:p w14:paraId="67410336" w14:textId="77777777" w:rsidR="001D7A7A" w:rsidRPr="009836EF" w:rsidRDefault="001D7A7A" w:rsidP="001D7A7A">
      <w:pPr>
        <w:pStyle w:val="BodyText"/>
        <w:rPr>
          <w:b/>
        </w:rPr>
      </w:pPr>
    </w:p>
    <w:p w14:paraId="44250FCD" w14:textId="77777777" w:rsidR="001D7A7A" w:rsidRDefault="001D7A7A" w:rsidP="001D7A7A">
      <w:pPr>
        <w:spacing w:after="0"/>
        <w:rPr>
          <w:sz w:val="24"/>
        </w:rPr>
      </w:pPr>
      <w:r>
        <w:br w:type="page"/>
      </w:r>
    </w:p>
    <w:p w14:paraId="335334CE" w14:textId="2A39A49B" w:rsidR="006A2566" w:rsidRDefault="00DC73D2" w:rsidP="006A2566">
      <w:pPr>
        <w:pStyle w:val="Heading2"/>
      </w:pPr>
      <w:bookmarkStart w:id="26" w:name="_Toc515031459"/>
      <w:r>
        <w:lastRenderedPageBreak/>
        <w:t xml:space="preserve">Enablers </w:t>
      </w:r>
      <w:r w:rsidR="006A2566">
        <w:t>and barriers to innovation in Australian mining</w:t>
      </w:r>
      <w:bookmarkEnd w:id="26"/>
    </w:p>
    <w:p w14:paraId="29390C2B" w14:textId="593427A3" w:rsidR="00781361" w:rsidRDefault="00743E55" w:rsidP="001C776D">
      <w:pPr>
        <w:pStyle w:val="BodyText"/>
        <w:jc w:val="both"/>
        <w:rPr>
          <w:rFonts w:asciiTheme="minorHAnsi" w:eastAsia="Times New Roman" w:hAnsiTheme="minorHAnsi"/>
          <w:color w:val="auto"/>
          <w:szCs w:val="24"/>
          <w:lang w:eastAsia="en-US"/>
        </w:rPr>
      </w:pPr>
      <w:r>
        <w:t xml:space="preserve">Innovation is crucial to maintain Australia’s </w:t>
      </w:r>
      <w:r w:rsidR="001C776D">
        <w:t xml:space="preserve">mining industry </w:t>
      </w:r>
      <w:r>
        <w:t xml:space="preserve">competitiveness </w:t>
      </w:r>
      <w:r w:rsidR="001C776D">
        <w:t>globally</w:t>
      </w:r>
      <w:r>
        <w:t xml:space="preserve">. </w:t>
      </w:r>
      <w:r w:rsidR="001C776D">
        <w:t xml:space="preserve">It can occur </w:t>
      </w:r>
      <w:r w:rsidR="00462638">
        <w:t xml:space="preserve">with regard to product, production processes, marketing or organisational methods </w:t>
      </w:r>
      <w:r w:rsidR="00774029">
        <w:fldChar w:fldCharType="begin"/>
      </w:r>
      <w:r w:rsidR="00774029">
        <w:instrText xml:space="preserve"> ADDIN EN.CITE &lt;EndNote&gt;&lt;Cite&gt;&lt;Author&gt;OECD&lt;/Author&gt;&lt;Year&gt;2005&lt;/Year&gt;&lt;RecNum&gt;3107&lt;/RecNum&gt;&lt;DisplayText&gt;(OECD, 2005)&lt;/DisplayText&gt;&lt;record&gt;&lt;rec-number&gt;3107&lt;/rec-number&gt;&lt;foreign-keys&gt;&lt;key app="EN" db-id="vzav25azvd0fxjextfzvax229ff0apaprtda" timestamp="1507612354"&gt;3107&lt;/key&gt;&lt;/foreign-keys&gt;&lt;ref-type name="Web Page"&gt;12&lt;/ref-type&gt;&lt;contributors&gt;&lt;authors&gt;&lt;author&gt;OECD,&lt;/author&gt;&lt;/authors&gt;&lt;/contributors&gt;&lt;titles&gt;&lt;title&gt;Glossary of Statistical Terms&lt;/title&gt;&lt;/titles&gt;&lt;number&gt;10.08.2017&lt;/number&gt;&lt;dates&gt;&lt;year&gt;2005&lt;/year&gt;&lt;/dates&gt;&lt;urls&gt;&lt;related-urls&gt;&lt;url&gt;https://stats.oecd.org/glossary/&lt;/url&gt;&lt;/related-urls&gt;&lt;/urls&gt;&lt;/record&gt;&lt;/Cite&gt;&lt;/EndNote&gt;</w:instrText>
      </w:r>
      <w:r w:rsidR="00774029">
        <w:fldChar w:fldCharType="separate"/>
      </w:r>
      <w:r w:rsidR="00774029">
        <w:rPr>
          <w:noProof/>
        </w:rPr>
        <w:t>(OECD, 2005)</w:t>
      </w:r>
      <w:r w:rsidR="00774029">
        <w:fldChar w:fldCharType="end"/>
      </w:r>
      <w:r w:rsidR="00462638">
        <w:t>.</w:t>
      </w:r>
      <w:r w:rsidR="00F457A0">
        <w:t xml:space="preserve"> </w:t>
      </w:r>
      <w:r w:rsidR="00721531">
        <w:rPr>
          <w:rFonts w:asciiTheme="minorHAnsi" w:eastAsia="Times New Roman" w:hAnsiTheme="minorHAnsi"/>
          <w:color w:val="auto"/>
          <w:szCs w:val="24"/>
          <w:lang w:eastAsia="en-US"/>
        </w:rPr>
        <w:t>More than a third of mining businesses are innovating, according to the Business Characteristics Survey for 2014</w:t>
      </w:r>
      <w:r w:rsidR="00EA5DB3">
        <w:rPr>
          <w:rFonts w:asciiTheme="minorHAnsi" w:eastAsia="Times New Roman" w:hAnsiTheme="minorHAnsi"/>
          <w:color w:val="auto"/>
          <w:szCs w:val="24"/>
          <w:lang w:eastAsia="en-US"/>
        </w:rPr>
        <w:t>–</w:t>
      </w:r>
      <w:r w:rsidR="00721531">
        <w:rPr>
          <w:rFonts w:asciiTheme="minorHAnsi" w:eastAsia="Times New Roman" w:hAnsiTheme="minorHAnsi"/>
          <w:color w:val="auto"/>
          <w:szCs w:val="24"/>
          <w:lang w:eastAsia="en-US"/>
        </w:rPr>
        <w:t xml:space="preserve">15 </w:t>
      </w:r>
      <w:r w:rsidR="00721531">
        <w:rPr>
          <w:rFonts w:asciiTheme="minorHAnsi" w:eastAsia="Times New Roman" w:hAnsiTheme="minorHAnsi"/>
          <w:color w:val="auto"/>
          <w:szCs w:val="24"/>
          <w:lang w:eastAsia="en-US"/>
        </w:rPr>
        <w:fldChar w:fldCharType="begin"/>
      </w:r>
      <w:r w:rsidR="00BF1876">
        <w:rPr>
          <w:rFonts w:asciiTheme="minorHAnsi" w:eastAsia="Times New Roman" w:hAnsiTheme="minorHAnsi"/>
          <w:color w:val="auto"/>
          <w:szCs w:val="24"/>
          <w:lang w:eastAsia="en-US"/>
        </w:rPr>
        <w:instrText xml:space="preserve"> ADDIN EN.CITE &lt;EndNote&gt;&lt;Cite&gt;&lt;Author&gt;Australian Bureau of Statistics&lt;/Author&gt;&lt;Year&gt;2016&lt;/Year&gt;&lt;RecNum&gt;3109&lt;/RecNum&gt;&lt;DisplayText&gt;(Australian Bureau of Statistics, 2016b)&lt;/DisplayText&gt;&lt;record&gt;&lt;rec-number&gt;3109&lt;/rec-number&gt;&lt;foreign-keys&gt;&lt;key app="EN" db-id="vzav25azvd0fxjextfzvax229ff0apaprtda" timestamp="1507616230"&gt;3109&lt;/key&gt;&lt;/foreign-keys&gt;&lt;ref-type name="Dataset"&gt;59&lt;/ref-type&gt;&lt;contributors&gt;&lt;authors&gt;&lt;author&gt;Australian Bureau of Statistics,&lt;/author&gt;&lt;/authors&gt;&lt;secondary-authors&gt;&lt;author&gt;Australian Bureau of Statistics,&lt;/author&gt;&lt;/secondary-authors&gt;&lt;/contributors&gt;&lt;titles&gt;&lt;title&gt;8158.0 - Innovation in Australian Business, 2014-15&lt;/title&gt;&lt;/titles&gt;&lt;edition&gt;July 2016&lt;/edition&gt;&lt;dates&gt;&lt;year&gt;2016&lt;/year&gt;&lt;/dates&gt;&lt;pub-location&gt;Canberra&lt;/pub-location&gt;&lt;publisher&gt;Australian Bureau of Statistics&lt;/publisher&gt;&lt;urls&gt;&lt;related-urls&gt;&lt;url&gt;http://www.abs.gov.au/AUSSTATS/abs@.nsf/productsbyCatalogue/06B08353E0EABA96CA25712A00161216?OpenDocument&lt;/url&gt;&lt;/related-urls&gt;&lt;/urls&gt;&lt;access-date&gt;01.10.2017&lt;/access-date&gt;&lt;/record&gt;&lt;/Cite&gt;&lt;/EndNote&gt;</w:instrText>
      </w:r>
      <w:r w:rsidR="00721531">
        <w:rPr>
          <w:rFonts w:asciiTheme="minorHAnsi" w:eastAsia="Times New Roman" w:hAnsiTheme="minorHAnsi"/>
          <w:color w:val="auto"/>
          <w:szCs w:val="24"/>
          <w:lang w:eastAsia="en-US"/>
        </w:rPr>
        <w:fldChar w:fldCharType="separate"/>
      </w:r>
      <w:r w:rsidR="00BF1876">
        <w:rPr>
          <w:rFonts w:asciiTheme="minorHAnsi" w:eastAsia="Times New Roman" w:hAnsiTheme="minorHAnsi"/>
          <w:noProof/>
          <w:color w:val="auto"/>
          <w:szCs w:val="24"/>
          <w:lang w:eastAsia="en-US"/>
        </w:rPr>
        <w:t>(Australian Bureau of Statistics, 2016b)</w:t>
      </w:r>
      <w:r w:rsidR="00721531">
        <w:rPr>
          <w:rFonts w:asciiTheme="minorHAnsi" w:eastAsia="Times New Roman" w:hAnsiTheme="minorHAnsi"/>
          <w:color w:val="auto"/>
          <w:szCs w:val="24"/>
          <w:lang w:eastAsia="en-US"/>
        </w:rPr>
        <w:fldChar w:fldCharType="end"/>
      </w:r>
      <w:r w:rsidR="00721531">
        <w:rPr>
          <w:rFonts w:asciiTheme="minorHAnsi" w:eastAsia="Times New Roman" w:hAnsiTheme="minorHAnsi"/>
          <w:color w:val="auto"/>
          <w:szCs w:val="24"/>
          <w:lang w:eastAsia="en-US"/>
        </w:rPr>
        <w:t>.</w:t>
      </w:r>
      <w:r w:rsidR="00004FB7">
        <w:rPr>
          <w:rFonts w:asciiTheme="minorHAnsi" w:eastAsia="Times New Roman" w:hAnsiTheme="minorHAnsi"/>
          <w:color w:val="auto"/>
          <w:szCs w:val="24"/>
          <w:lang w:eastAsia="en-US"/>
        </w:rPr>
        <w:t xml:space="preserve"> </w:t>
      </w:r>
      <w:r w:rsidR="00721531">
        <w:rPr>
          <w:rFonts w:asciiTheme="minorHAnsi" w:eastAsia="Times New Roman" w:hAnsiTheme="minorHAnsi"/>
          <w:color w:val="auto"/>
          <w:szCs w:val="24"/>
          <w:lang w:eastAsia="en-US"/>
        </w:rPr>
        <w:t>I</w:t>
      </w:r>
      <w:r w:rsidR="00292997">
        <w:rPr>
          <w:rFonts w:asciiTheme="minorHAnsi" w:eastAsia="Times New Roman" w:hAnsiTheme="minorHAnsi"/>
          <w:color w:val="auto"/>
          <w:szCs w:val="24"/>
          <w:lang w:eastAsia="en-US"/>
        </w:rPr>
        <w:t>nnovation</w:t>
      </w:r>
      <w:r w:rsidR="00F457A0" w:rsidRPr="00194943">
        <w:rPr>
          <w:rFonts w:asciiTheme="minorHAnsi" w:eastAsia="Times New Roman" w:hAnsiTheme="minorHAnsi"/>
          <w:color w:val="auto"/>
          <w:szCs w:val="24"/>
          <w:lang w:eastAsia="en-US"/>
        </w:rPr>
        <w:t xml:space="preserve"> can increase productivity by reducing costs of operation, lead</w:t>
      </w:r>
      <w:r w:rsidR="001C7AA7">
        <w:rPr>
          <w:rFonts w:asciiTheme="minorHAnsi" w:eastAsia="Times New Roman" w:hAnsiTheme="minorHAnsi"/>
          <w:color w:val="auto"/>
          <w:szCs w:val="24"/>
          <w:lang w:eastAsia="en-US"/>
        </w:rPr>
        <w:t>ing</w:t>
      </w:r>
      <w:r w:rsidR="00F457A0" w:rsidRPr="00194943">
        <w:rPr>
          <w:rFonts w:asciiTheme="minorHAnsi" w:eastAsia="Times New Roman" w:hAnsiTheme="minorHAnsi"/>
          <w:color w:val="auto"/>
          <w:szCs w:val="24"/>
          <w:lang w:eastAsia="en-US"/>
        </w:rPr>
        <w:t xml:space="preserve"> to higher yields and longer life of mines,</w:t>
      </w:r>
      <w:r w:rsidR="009B05AE">
        <w:rPr>
          <w:rFonts w:asciiTheme="minorHAnsi" w:eastAsia="Times New Roman" w:hAnsiTheme="minorHAnsi"/>
          <w:color w:val="auto"/>
          <w:szCs w:val="24"/>
          <w:lang w:eastAsia="en-US"/>
        </w:rPr>
        <w:t xml:space="preserve"> and </w:t>
      </w:r>
      <w:r w:rsidR="00F457A0" w:rsidRPr="00194943">
        <w:rPr>
          <w:rFonts w:asciiTheme="minorHAnsi" w:eastAsia="Times New Roman" w:hAnsiTheme="minorHAnsi"/>
          <w:color w:val="auto"/>
          <w:szCs w:val="24"/>
          <w:lang w:eastAsia="en-US"/>
        </w:rPr>
        <w:t>increas</w:t>
      </w:r>
      <w:r w:rsidR="009B05AE">
        <w:rPr>
          <w:rFonts w:asciiTheme="minorHAnsi" w:eastAsia="Times New Roman" w:hAnsiTheme="minorHAnsi"/>
          <w:color w:val="auto"/>
          <w:szCs w:val="24"/>
          <w:lang w:eastAsia="en-US"/>
        </w:rPr>
        <w:t>ing</w:t>
      </w:r>
      <w:r w:rsidR="00F457A0" w:rsidRPr="00194943">
        <w:rPr>
          <w:rFonts w:asciiTheme="minorHAnsi" w:eastAsia="Times New Roman" w:hAnsiTheme="minorHAnsi"/>
          <w:color w:val="auto"/>
          <w:szCs w:val="24"/>
          <w:lang w:eastAsia="en-US"/>
        </w:rPr>
        <w:t xml:space="preserve"> safety. Innovation in exploration, extraction, enterprise systems and safety processes can </w:t>
      </w:r>
      <w:r w:rsidR="00F743E3">
        <w:rPr>
          <w:rFonts w:asciiTheme="minorHAnsi" w:eastAsia="Times New Roman" w:hAnsiTheme="minorHAnsi"/>
          <w:color w:val="auto"/>
          <w:szCs w:val="24"/>
          <w:lang w:eastAsia="en-US"/>
        </w:rPr>
        <w:t xml:space="preserve">also </w:t>
      </w:r>
      <w:r w:rsidR="00F457A0" w:rsidRPr="00194943">
        <w:rPr>
          <w:rFonts w:asciiTheme="minorHAnsi" w:eastAsia="Times New Roman" w:hAnsiTheme="minorHAnsi"/>
          <w:color w:val="auto"/>
          <w:szCs w:val="24"/>
          <w:lang w:eastAsia="en-US"/>
        </w:rPr>
        <w:t>provide opportunities for new markets in the form of knowledge exports.</w:t>
      </w:r>
    </w:p>
    <w:p w14:paraId="28984C75" w14:textId="030CD2DF" w:rsidR="00292997" w:rsidRDefault="00987591" w:rsidP="00916B33">
      <w:pPr>
        <w:pStyle w:val="BodyText"/>
        <w:jc w:val="both"/>
        <w:rPr>
          <w:rFonts w:asciiTheme="minorHAnsi" w:eastAsia="Times New Roman" w:hAnsiTheme="minorHAnsi"/>
          <w:color w:val="auto"/>
          <w:szCs w:val="24"/>
          <w:lang w:eastAsia="en-US"/>
        </w:rPr>
      </w:pPr>
      <w:r>
        <w:rPr>
          <w:noProof/>
        </w:rPr>
        <mc:AlternateContent>
          <mc:Choice Requires="wps">
            <w:drawing>
              <wp:anchor distT="91440" distB="91440" distL="114300" distR="114300" simplePos="0" relativeHeight="251827712" behindDoc="0" locked="0" layoutInCell="1" allowOverlap="1" wp14:anchorId="28C45185" wp14:editId="241B5B89">
                <wp:simplePos x="0" y="0"/>
                <wp:positionH relativeFrom="margin">
                  <wp:posOffset>-153670</wp:posOffset>
                </wp:positionH>
                <wp:positionV relativeFrom="paragraph">
                  <wp:posOffset>84455</wp:posOffset>
                </wp:positionV>
                <wp:extent cx="2812415" cy="1403985"/>
                <wp:effectExtent l="0" t="0" r="0" b="0"/>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403985"/>
                        </a:xfrm>
                        <a:prstGeom prst="rect">
                          <a:avLst/>
                        </a:prstGeom>
                        <a:noFill/>
                        <a:ln w="9525">
                          <a:noFill/>
                          <a:miter lim="800000"/>
                          <a:headEnd/>
                          <a:tailEnd/>
                        </a:ln>
                      </wps:spPr>
                      <wps:txbx>
                        <w:txbxContent>
                          <w:p w14:paraId="39DB2DD9" w14:textId="5E7BE867" w:rsidR="00B5448A" w:rsidRPr="00E64C6A" w:rsidRDefault="00B5448A" w:rsidP="0013514C">
                            <w:pPr>
                              <w:pBdr>
                                <w:top w:val="single" w:sz="24" w:space="8" w:color="00A9CE" w:themeColor="accent1"/>
                                <w:bottom w:val="single" w:sz="24" w:space="8" w:color="00A9CE" w:themeColor="accent1"/>
                              </w:pBdr>
                              <w:spacing w:after="0"/>
                              <w:rPr>
                                <w:i/>
                                <w:iCs/>
                                <w:color w:val="00A9CE" w:themeColor="accent1"/>
                                <w:sz w:val="24"/>
                                <w:szCs w:val="24"/>
                              </w:rPr>
                            </w:pPr>
                            <w:r w:rsidRPr="0013514C">
                              <w:rPr>
                                <w:i/>
                                <w:iCs/>
                                <w:color w:val="00A9CE" w:themeColor="accent1"/>
                                <w:sz w:val="24"/>
                                <w:szCs w:val="24"/>
                              </w:rPr>
                              <w:t>Innovation</w:t>
                            </w:r>
                            <w:r>
                              <w:rPr>
                                <w:i/>
                                <w:iCs/>
                                <w:color w:val="00A9CE" w:themeColor="accent1"/>
                                <w:sz w:val="24"/>
                                <w:szCs w:val="24"/>
                              </w:rPr>
                              <w:t>s</w:t>
                            </w:r>
                            <w:r w:rsidRPr="0013514C">
                              <w:rPr>
                                <w:i/>
                                <w:iCs/>
                                <w:color w:val="00A9CE" w:themeColor="accent1"/>
                                <w:sz w:val="24"/>
                                <w:szCs w:val="24"/>
                              </w:rPr>
                              <w:t xml:space="preserve"> in extraction, processing and transport are </w:t>
                            </w:r>
                            <w:r>
                              <w:rPr>
                                <w:i/>
                                <w:iCs/>
                                <w:color w:val="00A9CE" w:themeColor="accent1"/>
                                <w:sz w:val="24"/>
                                <w:szCs w:val="24"/>
                              </w:rPr>
                              <w:t xml:space="preserve">gradually </w:t>
                            </w:r>
                            <w:r w:rsidRPr="0013514C">
                              <w:rPr>
                                <w:i/>
                                <w:iCs/>
                                <w:color w:val="00A9CE" w:themeColor="accent1"/>
                                <w:sz w:val="24"/>
                                <w:szCs w:val="24"/>
                              </w:rPr>
                              <w:t>changing the way mining operations are conducted</w:t>
                            </w:r>
                            <w:r>
                              <w:rPr>
                                <w:i/>
                                <w:iCs/>
                                <w:color w:val="00A9CE" w:themeColor="accent1"/>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C45185" id="_x0000_s1053" type="#_x0000_t202" style="position:absolute;left:0;text-align:left;margin-left:-12.1pt;margin-top:6.65pt;width:221.45pt;height:110.55pt;z-index:251827712;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" filled="f" stroked="f">
                <v:textbox style="mso-fit-shape-to-text:t">
                  <w:txbxContent>
                    <w:p w14:paraId="39DB2DD9" w14:textId="5E7BE867" w:rsidR="00B5448A" w:rsidRPr="00E64C6A" w:rsidRDefault="00B5448A" w:rsidP="0013514C">
                      <w:pPr>
                        <w:pBdr>
                          <w:top w:val="single" w:sz="24" w:space="8" w:color="00A9CE" w:themeColor="accent1"/>
                          <w:bottom w:val="single" w:sz="24" w:space="8" w:color="00A9CE" w:themeColor="accent1"/>
                        </w:pBdr>
                        <w:spacing w:after="0"/>
                        <w:rPr>
                          <w:i/>
                          <w:iCs/>
                          <w:color w:val="00A9CE" w:themeColor="accent1"/>
                          <w:sz w:val="24"/>
                          <w:szCs w:val="24"/>
                        </w:rPr>
                      </w:pPr>
                      <w:r w:rsidRPr="0013514C">
                        <w:rPr>
                          <w:i/>
                          <w:iCs/>
                          <w:color w:val="00A9CE" w:themeColor="accent1"/>
                          <w:sz w:val="24"/>
                          <w:szCs w:val="24"/>
                        </w:rPr>
                        <w:t>Innovation</w:t>
                      </w:r>
                      <w:r>
                        <w:rPr>
                          <w:i/>
                          <w:iCs/>
                          <w:color w:val="00A9CE" w:themeColor="accent1"/>
                          <w:sz w:val="24"/>
                          <w:szCs w:val="24"/>
                        </w:rPr>
                        <w:t>s</w:t>
                      </w:r>
                      <w:r w:rsidRPr="0013514C">
                        <w:rPr>
                          <w:i/>
                          <w:iCs/>
                          <w:color w:val="00A9CE" w:themeColor="accent1"/>
                          <w:sz w:val="24"/>
                          <w:szCs w:val="24"/>
                        </w:rPr>
                        <w:t xml:space="preserve"> in extraction, processing and transport are </w:t>
                      </w:r>
                      <w:r>
                        <w:rPr>
                          <w:i/>
                          <w:iCs/>
                          <w:color w:val="00A9CE" w:themeColor="accent1"/>
                          <w:sz w:val="24"/>
                          <w:szCs w:val="24"/>
                        </w:rPr>
                        <w:t xml:space="preserve">gradually </w:t>
                      </w:r>
                      <w:r w:rsidRPr="0013514C">
                        <w:rPr>
                          <w:i/>
                          <w:iCs/>
                          <w:color w:val="00A9CE" w:themeColor="accent1"/>
                          <w:sz w:val="24"/>
                          <w:szCs w:val="24"/>
                        </w:rPr>
                        <w:t>changing the way mining operations are conducted</w:t>
                      </w:r>
                      <w:r>
                        <w:rPr>
                          <w:i/>
                          <w:iCs/>
                          <w:color w:val="00A9CE" w:themeColor="accent1"/>
                          <w:sz w:val="24"/>
                          <w:szCs w:val="24"/>
                        </w:rPr>
                        <w:t>.</w:t>
                      </w:r>
                    </w:p>
                  </w:txbxContent>
                </v:textbox>
                <w10:wrap type="square" anchorx="margin"/>
              </v:shape>
            </w:pict>
          </mc:Fallback>
        </mc:AlternateContent>
      </w:r>
      <w:r w:rsidR="00096EDA">
        <w:rPr>
          <w:rFonts w:asciiTheme="minorHAnsi" w:eastAsia="Times New Roman" w:hAnsiTheme="minorHAnsi"/>
          <w:color w:val="auto"/>
          <w:szCs w:val="24"/>
          <w:lang w:eastAsia="en-US"/>
        </w:rPr>
        <w:t>Innovation</w:t>
      </w:r>
      <w:r w:rsidR="001C7AA7">
        <w:rPr>
          <w:rFonts w:asciiTheme="minorHAnsi" w:eastAsia="Times New Roman" w:hAnsiTheme="minorHAnsi"/>
          <w:color w:val="auto"/>
          <w:szCs w:val="24"/>
          <w:lang w:eastAsia="en-US"/>
        </w:rPr>
        <w:t>s</w:t>
      </w:r>
      <w:r w:rsidR="00096EDA">
        <w:rPr>
          <w:rFonts w:asciiTheme="minorHAnsi" w:eastAsia="Times New Roman" w:hAnsiTheme="minorHAnsi"/>
          <w:color w:val="auto"/>
          <w:szCs w:val="24"/>
          <w:lang w:eastAsia="en-US"/>
        </w:rPr>
        <w:t xml:space="preserve"> in extraction, processing and </w:t>
      </w:r>
      <w:r w:rsidR="007F287C">
        <w:rPr>
          <w:rFonts w:asciiTheme="minorHAnsi" w:eastAsia="Times New Roman" w:hAnsiTheme="minorHAnsi"/>
          <w:color w:val="auto"/>
          <w:szCs w:val="24"/>
          <w:lang w:eastAsia="en-US"/>
        </w:rPr>
        <w:t xml:space="preserve">transport are </w:t>
      </w:r>
      <w:r w:rsidR="00226A21">
        <w:rPr>
          <w:rFonts w:asciiTheme="minorHAnsi" w:eastAsia="Times New Roman" w:hAnsiTheme="minorHAnsi"/>
          <w:color w:val="auto"/>
          <w:szCs w:val="24"/>
          <w:lang w:eastAsia="en-US"/>
        </w:rPr>
        <w:t xml:space="preserve">gradually </w:t>
      </w:r>
      <w:r w:rsidR="007F287C">
        <w:rPr>
          <w:rFonts w:asciiTheme="minorHAnsi" w:eastAsia="Times New Roman" w:hAnsiTheme="minorHAnsi"/>
          <w:color w:val="auto"/>
          <w:szCs w:val="24"/>
          <w:lang w:eastAsia="en-US"/>
        </w:rPr>
        <w:t xml:space="preserve">changing the way </w:t>
      </w:r>
      <w:r w:rsidR="00226A21">
        <w:rPr>
          <w:rFonts w:asciiTheme="minorHAnsi" w:eastAsia="Times New Roman" w:hAnsiTheme="minorHAnsi"/>
          <w:color w:val="auto"/>
          <w:szCs w:val="24"/>
          <w:lang w:eastAsia="en-US"/>
        </w:rPr>
        <w:t>mining operations are conducted</w:t>
      </w:r>
      <w:r w:rsidR="0068458F">
        <w:rPr>
          <w:rFonts w:asciiTheme="minorHAnsi" w:eastAsia="Times New Roman" w:hAnsiTheme="minorHAnsi"/>
          <w:color w:val="auto"/>
          <w:szCs w:val="24"/>
          <w:lang w:eastAsia="en-US"/>
        </w:rPr>
        <w:t xml:space="preserve">. Technology is improving processes at every stage of mining operations. There are advances in communication technology, sensing </w:t>
      </w:r>
      <w:r w:rsidR="005F48AB">
        <w:rPr>
          <w:rFonts w:asciiTheme="minorHAnsi" w:eastAsia="Times New Roman" w:hAnsiTheme="minorHAnsi"/>
          <w:color w:val="auto"/>
          <w:szCs w:val="24"/>
          <w:lang w:eastAsia="en-US"/>
        </w:rPr>
        <w:t xml:space="preserve">and </w:t>
      </w:r>
      <w:r w:rsidR="0068458F">
        <w:rPr>
          <w:rFonts w:asciiTheme="minorHAnsi" w:eastAsia="Times New Roman" w:hAnsiTheme="minorHAnsi"/>
          <w:color w:val="auto"/>
          <w:szCs w:val="24"/>
          <w:lang w:eastAsia="en-US"/>
        </w:rPr>
        <w:t>navigation tech</w:t>
      </w:r>
      <w:r w:rsidR="005F48AB">
        <w:rPr>
          <w:rFonts w:asciiTheme="minorHAnsi" w:eastAsia="Times New Roman" w:hAnsiTheme="minorHAnsi"/>
          <w:color w:val="auto"/>
          <w:szCs w:val="24"/>
          <w:lang w:eastAsia="en-US"/>
        </w:rPr>
        <w:t>nology</w:t>
      </w:r>
      <w:r w:rsidR="0068458F">
        <w:rPr>
          <w:rFonts w:asciiTheme="minorHAnsi" w:eastAsia="Times New Roman" w:hAnsiTheme="minorHAnsi"/>
          <w:color w:val="auto"/>
          <w:szCs w:val="24"/>
          <w:lang w:eastAsia="en-US"/>
        </w:rPr>
        <w:t>, system</w:t>
      </w:r>
      <w:r w:rsidR="001C7AA7">
        <w:rPr>
          <w:rFonts w:asciiTheme="minorHAnsi" w:eastAsia="Times New Roman" w:hAnsiTheme="minorHAnsi"/>
          <w:color w:val="auto"/>
          <w:szCs w:val="24"/>
          <w:lang w:eastAsia="en-US"/>
        </w:rPr>
        <w:t>s</w:t>
      </w:r>
      <w:r w:rsidR="0068458F">
        <w:rPr>
          <w:rFonts w:asciiTheme="minorHAnsi" w:eastAsia="Times New Roman" w:hAnsiTheme="minorHAnsi"/>
          <w:color w:val="auto"/>
          <w:szCs w:val="24"/>
          <w:lang w:eastAsia="en-US"/>
        </w:rPr>
        <w:t xml:space="preserve"> and control processes</w:t>
      </w:r>
      <w:r w:rsidR="000E1EEE">
        <w:rPr>
          <w:rFonts w:asciiTheme="minorHAnsi" w:eastAsia="Times New Roman" w:hAnsiTheme="minorHAnsi"/>
          <w:color w:val="auto"/>
          <w:szCs w:val="24"/>
          <w:lang w:eastAsia="en-US"/>
        </w:rPr>
        <w:t xml:space="preserve"> </w:t>
      </w:r>
      <w:r w:rsidR="000E1EEE">
        <w:rPr>
          <w:rFonts w:asciiTheme="minorHAnsi" w:eastAsia="Times New Roman" w:hAnsiTheme="minorHAnsi"/>
          <w:color w:val="auto"/>
          <w:szCs w:val="24"/>
          <w:lang w:eastAsia="en-US"/>
        </w:rPr>
        <w:fldChar w:fldCharType="begin"/>
      </w:r>
      <w:r w:rsidR="000E1EEE">
        <w:rPr>
          <w:rFonts w:asciiTheme="minorHAnsi" w:eastAsia="Times New Roman" w:hAnsiTheme="minorHAnsi"/>
          <w:color w:val="auto"/>
          <w:szCs w:val="24"/>
          <w:lang w:eastAsia="en-US"/>
        </w:rPr>
        <w:instrText xml:space="preserve"> ADDIN EN.CITE &lt;EndNote&gt;&lt;Cite&gt;&lt;Author&gt;McNab&lt;/Author&gt;&lt;Year&gt;2011&lt;/Year&gt;&lt;RecNum&gt;3137&lt;/RecNum&gt;&lt;DisplayText&gt;(McNab and Garcia-Vasquez, 2011)&lt;/DisplayText&gt;&lt;record&gt;&lt;rec-number&gt;3137&lt;/rec-number&gt;&lt;foreign-keys&gt;&lt;key app="EN" db-id="vzav25azvd0fxjextfzvax229ff0apaprtda" timestamp="1508719812"&gt;3137&lt;/key&gt;&lt;/foreign-keys&gt;&lt;ref-type name="Report"&gt;27&lt;/ref-type&gt;&lt;contributors&gt;&lt;authors&gt;&lt;author&gt;McNab, Karen&lt;/author&gt;&lt;author&gt;Garcia-Vasquez, Magaly&lt;/author&gt;&lt;/authors&gt;&lt;/contributors&gt;&lt;titles&gt;&lt;title&gt;Autonomous and remote operation technologies in Australian mining&lt;/title&gt;&lt;/titles&gt;&lt;number&gt;Cluster research report, no 2.5&lt;/number&gt;&lt;dates&gt;&lt;year&gt;2011&lt;/year&gt;&lt;/dates&gt;&lt;pub-location&gt;Australia&lt;/pub-location&gt;&lt;publisher&gt;CSIRO Minerals Down Under National Research Flagship&lt;/publisher&gt;&lt;urls&gt;&lt;pdf-urls&gt;&lt;url&gt;file://C:\Users\por083\Documents\EndNote\20170808-LP-Lib.Data\PDF\McNab and Garcia-Vasquez-2011-AutonomousRemoteOperationTechnologies.pdf&lt;/url&gt;&lt;/pdf-urls&gt;&lt;/urls&gt;&lt;/record&gt;&lt;/Cite&gt;&lt;/EndNote&gt;</w:instrText>
      </w:r>
      <w:r w:rsidR="000E1EEE">
        <w:rPr>
          <w:rFonts w:asciiTheme="minorHAnsi" w:eastAsia="Times New Roman" w:hAnsiTheme="minorHAnsi"/>
          <w:color w:val="auto"/>
          <w:szCs w:val="24"/>
          <w:lang w:eastAsia="en-US"/>
        </w:rPr>
        <w:fldChar w:fldCharType="separate"/>
      </w:r>
      <w:r w:rsidR="000E1EEE">
        <w:rPr>
          <w:rFonts w:asciiTheme="minorHAnsi" w:eastAsia="Times New Roman" w:hAnsiTheme="minorHAnsi"/>
          <w:noProof/>
          <w:color w:val="auto"/>
          <w:szCs w:val="24"/>
          <w:lang w:eastAsia="en-US"/>
        </w:rPr>
        <w:t>(McNab and Garcia-Vasquez, 2011)</w:t>
      </w:r>
      <w:r w:rsidR="000E1EEE">
        <w:rPr>
          <w:rFonts w:asciiTheme="minorHAnsi" w:eastAsia="Times New Roman" w:hAnsiTheme="minorHAnsi"/>
          <w:color w:val="auto"/>
          <w:szCs w:val="24"/>
          <w:lang w:eastAsia="en-US"/>
        </w:rPr>
        <w:fldChar w:fldCharType="end"/>
      </w:r>
      <w:r w:rsidR="0068458F">
        <w:rPr>
          <w:rFonts w:asciiTheme="minorHAnsi" w:eastAsia="Times New Roman" w:hAnsiTheme="minorHAnsi"/>
          <w:color w:val="auto"/>
          <w:szCs w:val="24"/>
          <w:lang w:eastAsia="en-US"/>
        </w:rPr>
        <w:t xml:space="preserve">. </w:t>
      </w:r>
      <w:r w:rsidR="003A5005">
        <w:rPr>
          <w:rFonts w:asciiTheme="minorHAnsi" w:eastAsia="Times New Roman" w:hAnsiTheme="minorHAnsi"/>
          <w:color w:val="auto"/>
          <w:szCs w:val="24"/>
          <w:lang w:eastAsia="en-US"/>
        </w:rPr>
        <w:t xml:space="preserve">Driverless trucks, drills </w:t>
      </w:r>
      <w:r w:rsidR="001C7AA7">
        <w:rPr>
          <w:rFonts w:asciiTheme="minorHAnsi" w:eastAsia="Times New Roman" w:hAnsiTheme="minorHAnsi"/>
          <w:color w:val="auto"/>
          <w:szCs w:val="24"/>
          <w:lang w:eastAsia="en-US"/>
        </w:rPr>
        <w:t xml:space="preserve">and </w:t>
      </w:r>
      <w:r w:rsidR="003A5005">
        <w:rPr>
          <w:rFonts w:asciiTheme="minorHAnsi" w:eastAsia="Times New Roman" w:hAnsiTheme="minorHAnsi"/>
          <w:color w:val="auto"/>
          <w:szCs w:val="24"/>
          <w:lang w:eastAsia="en-US"/>
        </w:rPr>
        <w:t>trains are some of the common technological solutions adopte</w:t>
      </w:r>
      <w:r w:rsidR="002E5F97">
        <w:rPr>
          <w:rFonts w:asciiTheme="minorHAnsi" w:eastAsia="Times New Roman" w:hAnsiTheme="minorHAnsi"/>
          <w:color w:val="auto"/>
          <w:szCs w:val="24"/>
          <w:lang w:eastAsia="en-US"/>
        </w:rPr>
        <w:t>d by mining companies</w:t>
      </w:r>
      <w:r w:rsidR="003A5005">
        <w:rPr>
          <w:rFonts w:asciiTheme="minorHAnsi" w:eastAsia="Times New Roman" w:hAnsiTheme="minorHAnsi"/>
          <w:color w:val="auto"/>
          <w:szCs w:val="24"/>
          <w:lang w:eastAsia="en-US"/>
        </w:rPr>
        <w:t>.</w:t>
      </w:r>
      <w:r w:rsidR="005172F9">
        <w:rPr>
          <w:rFonts w:asciiTheme="minorHAnsi" w:eastAsia="Times New Roman" w:hAnsiTheme="minorHAnsi"/>
          <w:color w:val="auto"/>
          <w:szCs w:val="24"/>
          <w:lang w:eastAsia="en-US"/>
        </w:rPr>
        <w:t xml:space="preserve"> These changes mean that remote operations centres are and will continue to be established </w:t>
      </w:r>
      <w:r w:rsidR="00292997" w:rsidRPr="00444239">
        <w:rPr>
          <w:rFonts w:asciiTheme="minorHAnsi" w:eastAsia="Times New Roman" w:hAnsiTheme="minorHAnsi"/>
          <w:color w:val="auto"/>
          <w:szCs w:val="24"/>
          <w:lang w:eastAsia="en-US"/>
        </w:rPr>
        <w:t xml:space="preserve">in </w:t>
      </w:r>
      <w:r w:rsidR="00444239">
        <w:rPr>
          <w:rFonts w:asciiTheme="minorHAnsi" w:eastAsia="Times New Roman" w:hAnsiTheme="minorHAnsi"/>
          <w:color w:val="auto"/>
          <w:szCs w:val="24"/>
          <w:lang w:eastAsia="en-US"/>
        </w:rPr>
        <w:t>cities</w:t>
      </w:r>
      <w:r w:rsidR="005172F9" w:rsidRPr="00444239">
        <w:rPr>
          <w:rFonts w:asciiTheme="minorHAnsi" w:eastAsia="Times New Roman" w:hAnsiTheme="minorHAnsi"/>
          <w:color w:val="auto"/>
          <w:szCs w:val="24"/>
          <w:lang w:eastAsia="en-US"/>
        </w:rPr>
        <w:t>.</w:t>
      </w:r>
      <w:r w:rsidR="005172F9">
        <w:rPr>
          <w:rFonts w:asciiTheme="minorHAnsi" w:eastAsia="Times New Roman" w:hAnsiTheme="minorHAnsi"/>
          <w:color w:val="auto"/>
          <w:szCs w:val="24"/>
          <w:lang w:eastAsia="en-US"/>
        </w:rPr>
        <w:t xml:space="preserve"> </w:t>
      </w:r>
      <w:r w:rsidR="00EE3991">
        <w:rPr>
          <w:rFonts w:asciiTheme="minorHAnsi" w:eastAsia="Times New Roman" w:hAnsiTheme="minorHAnsi"/>
          <w:color w:val="auto"/>
          <w:szCs w:val="24"/>
          <w:lang w:eastAsia="en-US"/>
        </w:rPr>
        <w:t xml:space="preserve">For example, </w:t>
      </w:r>
      <w:r w:rsidR="005172F9">
        <w:rPr>
          <w:rFonts w:asciiTheme="minorHAnsi" w:eastAsia="Times New Roman" w:hAnsiTheme="minorHAnsi"/>
          <w:color w:val="auto"/>
          <w:szCs w:val="24"/>
          <w:lang w:eastAsia="en-US"/>
        </w:rPr>
        <w:t xml:space="preserve">Rio Tinto’s Operations Centre for the Pilbara iron ore </w:t>
      </w:r>
      <w:r w:rsidR="00842BB6">
        <w:rPr>
          <w:rFonts w:asciiTheme="minorHAnsi" w:eastAsia="Times New Roman" w:hAnsiTheme="minorHAnsi"/>
          <w:color w:val="auto"/>
          <w:szCs w:val="24"/>
          <w:lang w:eastAsia="en-US"/>
        </w:rPr>
        <w:t xml:space="preserve">network </w:t>
      </w:r>
      <w:r w:rsidR="00EE3991">
        <w:rPr>
          <w:rFonts w:asciiTheme="minorHAnsi" w:eastAsia="Times New Roman" w:hAnsiTheme="minorHAnsi"/>
          <w:color w:val="auto"/>
          <w:szCs w:val="24"/>
          <w:lang w:eastAsia="en-US"/>
        </w:rPr>
        <w:t>is located in Perth</w:t>
      </w:r>
      <w:r w:rsidR="00292997">
        <w:rPr>
          <w:rFonts w:asciiTheme="minorHAnsi" w:eastAsia="Times New Roman" w:hAnsiTheme="minorHAnsi"/>
          <w:color w:val="auto"/>
          <w:szCs w:val="24"/>
          <w:lang w:eastAsia="en-US"/>
        </w:rPr>
        <w:t>. At the Rio Tinto’s Operations C</w:t>
      </w:r>
      <w:r w:rsidR="005172F9">
        <w:rPr>
          <w:rFonts w:asciiTheme="minorHAnsi" w:eastAsia="Times New Roman" w:hAnsiTheme="minorHAnsi"/>
          <w:color w:val="auto"/>
          <w:szCs w:val="24"/>
          <w:lang w:eastAsia="en-US"/>
        </w:rPr>
        <w:t>entre more than 400 workers manage 15 mines, four port t</w:t>
      </w:r>
      <w:r w:rsidR="00292997">
        <w:rPr>
          <w:rFonts w:asciiTheme="minorHAnsi" w:eastAsia="Times New Roman" w:hAnsiTheme="minorHAnsi"/>
          <w:color w:val="auto"/>
          <w:szCs w:val="24"/>
          <w:lang w:eastAsia="en-US"/>
        </w:rPr>
        <w:t xml:space="preserve">erminals, </w:t>
      </w:r>
      <w:r w:rsidR="00842BB6">
        <w:rPr>
          <w:rFonts w:asciiTheme="minorHAnsi" w:eastAsia="Times New Roman" w:hAnsiTheme="minorHAnsi"/>
          <w:color w:val="auto"/>
          <w:szCs w:val="24"/>
          <w:lang w:eastAsia="en-US"/>
        </w:rPr>
        <w:t>1700</w:t>
      </w:r>
      <w:r w:rsidR="00A9230D">
        <w:rPr>
          <w:rFonts w:asciiTheme="minorHAnsi" w:eastAsia="Times New Roman" w:hAnsiTheme="minorHAnsi"/>
          <w:color w:val="auto"/>
          <w:szCs w:val="24"/>
          <w:lang w:eastAsia="en-US"/>
        </w:rPr>
        <w:t> </w:t>
      </w:r>
      <w:r w:rsidR="00842BB6">
        <w:rPr>
          <w:rFonts w:asciiTheme="minorHAnsi" w:eastAsia="Times New Roman" w:hAnsiTheme="minorHAnsi"/>
          <w:color w:val="auto"/>
          <w:szCs w:val="24"/>
          <w:lang w:eastAsia="en-US"/>
        </w:rPr>
        <w:t>km of railway</w:t>
      </w:r>
      <w:r w:rsidR="00F743E3">
        <w:rPr>
          <w:rFonts w:asciiTheme="minorHAnsi" w:eastAsia="Times New Roman" w:hAnsiTheme="minorHAnsi"/>
          <w:color w:val="auto"/>
          <w:szCs w:val="24"/>
          <w:lang w:eastAsia="en-US"/>
        </w:rPr>
        <w:t>,</w:t>
      </w:r>
      <w:r w:rsidR="00842BB6">
        <w:rPr>
          <w:rFonts w:asciiTheme="minorHAnsi" w:eastAsia="Times New Roman" w:hAnsiTheme="minorHAnsi"/>
          <w:color w:val="auto"/>
          <w:szCs w:val="24"/>
          <w:lang w:eastAsia="en-US"/>
        </w:rPr>
        <w:t xml:space="preserve"> and carry out site data </w:t>
      </w:r>
      <w:r w:rsidR="005172F9">
        <w:rPr>
          <w:rFonts w:asciiTheme="minorHAnsi" w:eastAsia="Times New Roman" w:hAnsiTheme="minorHAnsi"/>
          <w:color w:val="auto"/>
          <w:szCs w:val="24"/>
          <w:lang w:eastAsia="en-US"/>
        </w:rPr>
        <w:t>analysis</w:t>
      </w:r>
      <w:r w:rsidR="00842BB6">
        <w:rPr>
          <w:rFonts w:asciiTheme="minorHAnsi" w:eastAsia="Times New Roman" w:hAnsiTheme="minorHAnsi"/>
          <w:color w:val="auto"/>
          <w:szCs w:val="24"/>
          <w:lang w:eastAsia="en-US"/>
        </w:rPr>
        <w:t xml:space="preserve"> and process adjustment</w:t>
      </w:r>
      <w:r w:rsidR="000132C1">
        <w:rPr>
          <w:rFonts w:asciiTheme="minorHAnsi" w:eastAsia="Times New Roman" w:hAnsiTheme="minorHAnsi"/>
          <w:color w:val="auto"/>
          <w:szCs w:val="24"/>
          <w:lang w:eastAsia="en-US"/>
        </w:rPr>
        <w:t>s</w:t>
      </w:r>
      <w:r w:rsidR="00842BB6">
        <w:rPr>
          <w:rFonts w:asciiTheme="minorHAnsi" w:eastAsia="Times New Roman" w:hAnsiTheme="minorHAnsi"/>
          <w:color w:val="auto"/>
          <w:szCs w:val="24"/>
          <w:lang w:eastAsia="en-US"/>
        </w:rPr>
        <w:t xml:space="preserve"> </w:t>
      </w:r>
      <w:r w:rsidR="002E5F97">
        <w:rPr>
          <w:rFonts w:asciiTheme="minorHAnsi" w:eastAsia="Times New Roman" w:hAnsiTheme="minorHAnsi"/>
          <w:color w:val="auto"/>
          <w:szCs w:val="24"/>
          <w:lang w:eastAsia="en-US"/>
        </w:rPr>
        <w:fldChar w:fldCharType="begin"/>
      </w:r>
      <w:r w:rsidR="000F5F6E">
        <w:rPr>
          <w:rFonts w:asciiTheme="minorHAnsi" w:eastAsia="Times New Roman" w:hAnsiTheme="minorHAnsi"/>
          <w:color w:val="auto"/>
          <w:szCs w:val="24"/>
          <w:lang w:eastAsia="en-US"/>
        </w:rPr>
        <w:instrText xml:space="preserve"> ADDIN EN.CITE &lt;EndNote&gt;&lt;Cite&gt;&lt;Author&gt;Tinto&lt;/Author&gt;&lt;Year&gt;2017&lt;/Year&gt;&lt;RecNum&gt;3139&lt;/RecNum&gt;&lt;DisplayText&gt;(Rio Tinto, 2017)&lt;/DisplayText&gt;&lt;record&gt;&lt;rec-number&gt;3139&lt;/rec-number&gt;&lt;foreign-keys&gt;&lt;key app="EN" db-id="vzav25azvd0fxjextfzvax229ff0apaprtda" timestamp="1508735116"&gt;3139&lt;/key&gt;&lt;/foreign-keys&gt;&lt;ref-type name="Web Page"&gt;12&lt;/ref-type&gt;&lt;contributors&gt;&lt;authors&gt;&lt;author&gt;Rio Tinto,&lt;/author&gt;&lt;/authors&gt;&lt;/contributors&gt;&lt;titles&gt;&lt;title&gt;RioTinto Operations Centre&lt;/title&gt;&lt;/titles&gt;&lt;number&gt;10.10.2017&lt;/number&gt;&lt;dates&gt;&lt;year&gt;2017&lt;/year&gt;&lt;/dates&gt;&lt;publisher&gt;RioTinto&lt;/publisher&gt;&lt;urls&gt;&lt;related-urls&gt;&lt;url&gt;https://riotintogroundbreakers.com/50-operations-centre/&lt;/url&gt;&lt;/related-urls&gt;&lt;/urls&gt;&lt;/record&gt;&lt;/Cite&gt;&lt;/EndNote&gt;</w:instrText>
      </w:r>
      <w:r w:rsidR="002E5F97">
        <w:rPr>
          <w:rFonts w:asciiTheme="minorHAnsi" w:eastAsia="Times New Roman" w:hAnsiTheme="minorHAnsi"/>
          <w:color w:val="auto"/>
          <w:szCs w:val="24"/>
          <w:lang w:eastAsia="en-US"/>
        </w:rPr>
        <w:fldChar w:fldCharType="separate"/>
      </w:r>
      <w:r w:rsidR="000F5F6E">
        <w:rPr>
          <w:rFonts w:asciiTheme="minorHAnsi" w:eastAsia="Times New Roman" w:hAnsiTheme="minorHAnsi"/>
          <w:noProof/>
          <w:color w:val="auto"/>
          <w:szCs w:val="24"/>
          <w:lang w:eastAsia="en-US"/>
        </w:rPr>
        <w:t>(Rio Tinto, 2017)</w:t>
      </w:r>
      <w:r w:rsidR="002E5F97">
        <w:rPr>
          <w:rFonts w:asciiTheme="minorHAnsi" w:eastAsia="Times New Roman" w:hAnsiTheme="minorHAnsi"/>
          <w:color w:val="auto"/>
          <w:szCs w:val="24"/>
          <w:lang w:eastAsia="en-US"/>
        </w:rPr>
        <w:fldChar w:fldCharType="end"/>
      </w:r>
      <w:r w:rsidR="00916B33">
        <w:rPr>
          <w:rFonts w:asciiTheme="minorHAnsi" w:eastAsia="Times New Roman" w:hAnsiTheme="minorHAnsi"/>
          <w:color w:val="auto"/>
          <w:szCs w:val="24"/>
          <w:lang w:eastAsia="en-US"/>
        </w:rPr>
        <w:t xml:space="preserve">. </w:t>
      </w:r>
    </w:p>
    <w:p w14:paraId="78FBBBC0" w14:textId="63D34BAB" w:rsidR="0013514C" w:rsidRDefault="00004FB7" w:rsidP="00916B33">
      <w:pPr>
        <w:pStyle w:val="BodyText"/>
        <w:jc w:val="both"/>
        <w:rPr>
          <w:rFonts w:asciiTheme="minorHAnsi" w:eastAsia="Times New Roman" w:hAnsiTheme="minorHAnsi"/>
          <w:color w:val="auto"/>
          <w:szCs w:val="24"/>
          <w:lang w:eastAsia="en-US"/>
        </w:rPr>
      </w:pPr>
      <w:r>
        <w:rPr>
          <w:noProof/>
        </w:rPr>
        <mc:AlternateContent>
          <mc:Choice Requires="wps">
            <w:drawing>
              <wp:anchor distT="91440" distB="91440" distL="114300" distR="114300" simplePos="0" relativeHeight="251829760" behindDoc="0" locked="0" layoutInCell="1" allowOverlap="1" wp14:anchorId="52DCC968" wp14:editId="345D8CD2">
                <wp:simplePos x="0" y="0"/>
                <wp:positionH relativeFrom="margin">
                  <wp:posOffset>3275330</wp:posOffset>
                </wp:positionH>
                <wp:positionV relativeFrom="paragraph">
                  <wp:posOffset>1010920</wp:posOffset>
                </wp:positionV>
                <wp:extent cx="3023235" cy="1403985"/>
                <wp:effectExtent l="0" t="0" r="0" b="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235" cy="1403985"/>
                        </a:xfrm>
                        <a:prstGeom prst="rect">
                          <a:avLst/>
                        </a:prstGeom>
                        <a:noFill/>
                        <a:ln w="9525">
                          <a:noFill/>
                          <a:miter lim="800000"/>
                          <a:headEnd/>
                          <a:tailEnd/>
                        </a:ln>
                      </wps:spPr>
                      <wps:txbx>
                        <w:txbxContent>
                          <w:p w14:paraId="2480986F" w14:textId="583EBD40" w:rsidR="00B5448A" w:rsidRPr="00E64C6A" w:rsidRDefault="00B5448A" w:rsidP="0013514C">
                            <w:pPr>
                              <w:pBdr>
                                <w:top w:val="single" w:sz="24" w:space="8" w:color="00A9CE" w:themeColor="accent1"/>
                                <w:bottom w:val="single" w:sz="24" w:space="8" w:color="00A9CE" w:themeColor="accent1"/>
                              </w:pBdr>
                              <w:spacing w:after="0"/>
                              <w:rPr>
                                <w:i/>
                                <w:iCs/>
                                <w:color w:val="00A9CE" w:themeColor="accent1"/>
                                <w:sz w:val="24"/>
                                <w:szCs w:val="24"/>
                              </w:rPr>
                            </w:pPr>
                            <w:r w:rsidRPr="0013514C">
                              <w:rPr>
                                <w:i/>
                                <w:iCs/>
                                <w:color w:val="00A9CE" w:themeColor="accent1"/>
                                <w:sz w:val="24"/>
                                <w:szCs w:val="24"/>
                              </w:rPr>
                              <w:t>Automation can reduce employment for lower</w:t>
                            </w:r>
                            <w:r>
                              <w:rPr>
                                <w:i/>
                                <w:iCs/>
                                <w:color w:val="00A9CE" w:themeColor="accent1"/>
                                <w:sz w:val="24"/>
                                <w:szCs w:val="24"/>
                              </w:rPr>
                              <w:t>-</w:t>
                            </w:r>
                            <w:r w:rsidRPr="0013514C">
                              <w:rPr>
                                <w:i/>
                                <w:iCs/>
                                <w:color w:val="00A9CE" w:themeColor="accent1"/>
                                <w:sz w:val="24"/>
                                <w:szCs w:val="24"/>
                              </w:rPr>
                              <w:t>skill</w:t>
                            </w:r>
                            <w:r>
                              <w:rPr>
                                <w:i/>
                                <w:iCs/>
                                <w:color w:val="00A9CE" w:themeColor="accent1"/>
                                <w:sz w:val="24"/>
                                <w:szCs w:val="24"/>
                              </w:rPr>
                              <w:t>ed</w:t>
                            </w:r>
                            <w:r w:rsidRPr="0013514C">
                              <w:rPr>
                                <w:i/>
                                <w:iCs/>
                                <w:color w:val="00A9CE" w:themeColor="accent1"/>
                                <w:sz w:val="24"/>
                                <w:szCs w:val="24"/>
                              </w:rPr>
                              <w:t xml:space="preserve"> </w:t>
                            </w:r>
                            <w:r>
                              <w:rPr>
                                <w:i/>
                                <w:iCs/>
                                <w:color w:val="00A9CE" w:themeColor="accent1"/>
                                <w:sz w:val="24"/>
                                <w:szCs w:val="24"/>
                              </w:rPr>
                              <w:t>workers</w:t>
                            </w:r>
                            <w:r w:rsidRPr="0013514C">
                              <w:rPr>
                                <w:i/>
                                <w:iCs/>
                                <w:color w:val="00A9CE" w:themeColor="accent1"/>
                                <w:sz w:val="24"/>
                                <w:szCs w:val="24"/>
                              </w:rPr>
                              <w:t xml:space="preserve">, like machine operators, but increase number of jobs for </w:t>
                            </w:r>
                            <w:r>
                              <w:rPr>
                                <w:i/>
                                <w:iCs/>
                                <w:color w:val="00A9CE" w:themeColor="accent1"/>
                                <w:sz w:val="24"/>
                                <w:szCs w:val="24"/>
                              </w:rPr>
                              <w:t xml:space="preserve">remote operators </w:t>
                            </w:r>
                            <w:r w:rsidRPr="0013514C">
                              <w:rPr>
                                <w:i/>
                                <w:iCs/>
                                <w:color w:val="00A9CE" w:themeColor="accent1"/>
                                <w:sz w:val="24"/>
                                <w:szCs w:val="24"/>
                              </w:rPr>
                              <w:t>and maintenance personnel.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DCC968" id="_x0000_s1054" type="#_x0000_t202" style="position:absolute;left:0;text-align:left;margin-left:257.9pt;margin-top:79.6pt;width:238.05pt;height:110.55pt;z-index:251829760;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" filled="f" stroked="f">
                <v:textbox style="mso-fit-shape-to-text:t">
                  <w:txbxContent>
                    <w:p w14:paraId="2480986F" w14:textId="583EBD40" w:rsidR="00B5448A" w:rsidRPr="00E64C6A" w:rsidRDefault="00B5448A" w:rsidP="0013514C">
                      <w:pPr>
                        <w:pBdr>
                          <w:top w:val="single" w:sz="24" w:space="8" w:color="00A9CE" w:themeColor="accent1"/>
                          <w:bottom w:val="single" w:sz="24" w:space="8" w:color="00A9CE" w:themeColor="accent1"/>
                        </w:pBdr>
                        <w:spacing w:after="0"/>
                        <w:rPr>
                          <w:i/>
                          <w:iCs/>
                          <w:color w:val="00A9CE" w:themeColor="accent1"/>
                          <w:sz w:val="24"/>
                          <w:szCs w:val="24"/>
                        </w:rPr>
                      </w:pPr>
                      <w:r w:rsidRPr="0013514C">
                        <w:rPr>
                          <w:i/>
                          <w:iCs/>
                          <w:color w:val="00A9CE" w:themeColor="accent1"/>
                          <w:sz w:val="24"/>
                          <w:szCs w:val="24"/>
                        </w:rPr>
                        <w:t>Automation can reduce employment for lower</w:t>
                      </w:r>
                      <w:r>
                        <w:rPr>
                          <w:i/>
                          <w:iCs/>
                          <w:color w:val="00A9CE" w:themeColor="accent1"/>
                          <w:sz w:val="24"/>
                          <w:szCs w:val="24"/>
                        </w:rPr>
                        <w:t>-</w:t>
                      </w:r>
                      <w:r w:rsidRPr="0013514C">
                        <w:rPr>
                          <w:i/>
                          <w:iCs/>
                          <w:color w:val="00A9CE" w:themeColor="accent1"/>
                          <w:sz w:val="24"/>
                          <w:szCs w:val="24"/>
                        </w:rPr>
                        <w:t>skill</w:t>
                      </w:r>
                      <w:r>
                        <w:rPr>
                          <w:i/>
                          <w:iCs/>
                          <w:color w:val="00A9CE" w:themeColor="accent1"/>
                          <w:sz w:val="24"/>
                          <w:szCs w:val="24"/>
                        </w:rPr>
                        <w:t>ed</w:t>
                      </w:r>
                      <w:r w:rsidRPr="0013514C">
                        <w:rPr>
                          <w:i/>
                          <w:iCs/>
                          <w:color w:val="00A9CE" w:themeColor="accent1"/>
                          <w:sz w:val="24"/>
                          <w:szCs w:val="24"/>
                        </w:rPr>
                        <w:t xml:space="preserve"> </w:t>
                      </w:r>
                      <w:r>
                        <w:rPr>
                          <w:i/>
                          <w:iCs/>
                          <w:color w:val="00A9CE" w:themeColor="accent1"/>
                          <w:sz w:val="24"/>
                          <w:szCs w:val="24"/>
                        </w:rPr>
                        <w:t>workers</w:t>
                      </w:r>
                      <w:r w:rsidRPr="0013514C">
                        <w:rPr>
                          <w:i/>
                          <w:iCs/>
                          <w:color w:val="00A9CE" w:themeColor="accent1"/>
                          <w:sz w:val="24"/>
                          <w:szCs w:val="24"/>
                        </w:rPr>
                        <w:t xml:space="preserve">, like machine operators, but increase number of jobs for </w:t>
                      </w:r>
                      <w:r>
                        <w:rPr>
                          <w:i/>
                          <w:iCs/>
                          <w:color w:val="00A9CE" w:themeColor="accent1"/>
                          <w:sz w:val="24"/>
                          <w:szCs w:val="24"/>
                        </w:rPr>
                        <w:t xml:space="preserve">remote operators </w:t>
                      </w:r>
                      <w:r w:rsidRPr="0013514C">
                        <w:rPr>
                          <w:i/>
                          <w:iCs/>
                          <w:color w:val="00A9CE" w:themeColor="accent1"/>
                          <w:sz w:val="24"/>
                          <w:szCs w:val="24"/>
                        </w:rPr>
                        <w:t>and maintenance personnel.</w:t>
                      </w:r>
                    </w:p>
                  </w:txbxContent>
                </v:textbox>
                <w10:wrap type="square" anchorx="margin"/>
              </v:shape>
            </w:pict>
          </mc:Fallback>
        </mc:AlternateContent>
      </w:r>
      <w:r w:rsidR="005F48AB">
        <w:rPr>
          <w:rFonts w:asciiTheme="minorHAnsi" w:eastAsia="Times New Roman" w:hAnsiTheme="minorHAnsi"/>
          <w:color w:val="auto"/>
          <w:szCs w:val="24"/>
          <w:lang w:eastAsia="en-US"/>
        </w:rPr>
        <w:t>Other outcomes of a transition to more efficient processes could be a</w:t>
      </w:r>
      <w:r w:rsidR="0013514C">
        <w:rPr>
          <w:rFonts w:asciiTheme="minorHAnsi" w:eastAsia="Times New Roman" w:hAnsiTheme="minorHAnsi"/>
          <w:color w:val="auto"/>
          <w:szCs w:val="24"/>
          <w:lang w:eastAsia="en-US"/>
        </w:rPr>
        <w:t xml:space="preserve"> transition to flexible employment arrangements</w:t>
      </w:r>
      <w:r w:rsidR="001449AB">
        <w:rPr>
          <w:rFonts w:asciiTheme="minorHAnsi" w:eastAsia="Times New Roman" w:hAnsiTheme="minorHAnsi"/>
          <w:color w:val="auto"/>
          <w:szCs w:val="24"/>
          <w:lang w:eastAsia="en-US"/>
        </w:rPr>
        <w:t xml:space="preserve">, </w:t>
      </w:r>
      <w:r w:rsidR="005F48AB">
        <w:rPr>
          <w:rFonts w:asciiTheme="minorHAnsi" w:eastAsia="Times New Roman" w:hAnsiTheme="minorHAnsi"/>
          <w:color w:val="auto"/>
          <w:szCs w:val="24"/>
          <w:lang w:eastAsia="en-US"/>
        </w:rPr>
        <w:t>jobs being located</w:t>
      </w:r>
      <w:r w:rsidR="005C424C">
        <w:rPr>
          <w:rFonts w:asciiTheme="minorHAnsi" w:eastAsia="Times New Roman" w:hAnsiTheme="minorHAnsi"/>
          <w:color w:val="auto"/>
          <w:szCs w:val="24"/>
          <w:lang w:eastAsia="en-US"/>
        </w:rPr>
        <w:t xml:space="preserve"> </w:t>
      </w:r>
      <w:r w:rsidR="005F48AB">
        <w:rPr>
          <w:rFonts w:asciiTheme="minorHAnsi" w:eastAsia="Times New Roman" w:hAnsiTheme="minorHAnsi"/>
          <w:color w:val="auto"/>
          <w:szCs w:val="24"/>
          <w:lang w:eastAsia="en-US"/>
        </w:rPr>
        <w:t xml:space="preserve">off the mine </w:t>
      </w:r>
      <w:r w:rsidR="00F743E3">
        <w:rPr>
          <w:rFonts w:asciiTheme="minorHAnsi" w:eastAsia="Times New Roman" w:hAnsiTheme="minorHAnsi"/>
          <w:color w:val="auto"/>
          <w:szCs w:val="24"/>
          <w:lang w:eastAsia="en-US"/>
        </w:rPr>
        <w:t xml:space="preserve">site </w:t>
      </w:r>
      <w:r w:rsidR="001449AB">
        <w:rPr>
          <w:rFonts w:asciiTheme="minorHAnsi" w:eastAsia="Times New Roman" w:hAnsiTheme="minorHAnsi"/>
          <w:color w:val="auto"/>
          <w:szCs w:val="24"/>
          <w:lang w:eastAsia="en-US"/>
        </w:rPr>
        <w:t>and</w:t>
      </w:r>
      <w:r w:rsidR="0013514C">
        <w:rPr>
          <w:rFonts w:asciiTheme="minorHAnsi" w:eastAsia="Times New Roman" w:hAnsiTheme="minorHAnsi"/>
          <w:color w:val="auto"/>
          <w:szCs w:val="24"/>
          <w:lang w:eastAsia="en-US"/>
        </w:rPr>
        <w:t xml:space="preserve"> </w:t>
      </w:r>
      <w:r w:rsidR="005F48AB">
        <w:rPr>
          <w:rFonts w:asciiTheme="minorHAnsi" w:eastAsia="Times New Roman" w:hAnsiTheme="minorHAnsi"/>
          <w:color w:val="auto"/>
          <w:szCs w:val="24"/>
          <w:lang w:eastAsia="en-US"/>
        </w:rPr>
        <w:t xml:space="preserve">a </w:t>
      </w:r>
      <w:r w:rsidR="005C424C">
        <w:rPr>
          <w:rFonts w:asciiTheme="minorHAnsi" w:eastAsia="Times New Roman" w:hAnsiTheme="minorHAnsi"/>
          <w:color w:val="auto"/>
          <w:szCs w:val="24"/>
          <w:lang w:eastAsia="en-US"/>
        </w:rPr>
        <w:t xml:space="preserve">more </w:t>
      </w:r>
      <w:r w:rsidR="0013514C">
        <w:rPr>
          <w:rFonts w:asciiTheme="minorHAnsi" w:eastAsia="Times New Roman" w:hAnsiTheme="minorHAnsi"/>
          <w:color w:val="auto"/>
          <w:szCs w:val="24"/>
          <w:lang w:eastAsia="en-US"/>
        </w:rPr>
        <w:t xml:space="preserve">varied </w:t>
      </w:r>
      <w:r w:rsidR="005F48AB">
        <w:rPr>
          <w:rFonts w:asciiTheme="minorHAnsi" w:eastAsia="Times New Roman" w:hAnsiTheme="minorHAnsi"/>
          <w:color w:val="auto"/>
          <w:szCs w:val="24"/>
          <w:lang w:eastAsia="en-US"/>
        </w:rPr>
        <w:t xml:space="preserve">workforce </w:t>
      </w:r>
      <w:r w:rsidR="0013514C">
        <w:rPr>
          <w:rFonts w:asciiTheme="minorHAnsi" w:eastAsia="Times New Roman" w:hAnsiTheme="minorHAnsi"/>
          <w:color w:val="auto"/>
          <w:szCs w:val="24"/>
          <w:lang w:eastAsia="en-US"/>
        </w:rPr>
        <w:t xml:space="preserve">demographic </w:t>
      </w:r>
      <w:r w:rsidR="0013514C">
        <w:rPr>
          <w:rFonts w:asciiTheme="minorHAnsi" w:eastAsia="Times New Roman" w:hAnsiTheme="minorHAnsi"/>
          <w:color w:val="auto"/>
          <w:szCs w:val="24"/>
          <w:lang w:eastAsia="en-US"/>
        </w:rPr>
        <w:fldChar w:fldCharType="begin"/>
      </w:r>
      <w:r w:rsidR="0013514C">
        <w:rPr>
          <w:rFonts w:asciiTheme="minorHAnsi" w:eastAsia="Times New Roman" w:hAnsiTheme="minorHAnsi"/>
          <w:color w:val="auto"/>
          <w:szCs w:val="24"/>
          <w:lang w:eastAsia="en-US"/>
        </w:rPr>
        <w:instrText xml:space="preserve"> ADDIN EN.CITE &lt;EndNote&gt;&lt;Cite&gt;&lt;Author&gt;McNab&lt;/Author&gt;&lt;Year&gt;2011&lt;/Year&gt;&lt;RecNum&gt;3137&lt;/RecNum&gt;&lt;DisplayText&gt;(McNab and Garcia-Vasquez, 2011)&lt;/DisplayText&gt;&lt;record&gt;&lt;rec-number&gt;3137&lt;/rec-number&gt;&lt;foreign-keys&gt;&lt;key app="EN" db-id="vzav25azvd0fxjextfzvax229ff0apaprtda" timestamp="1508719812"&gt;3137&lt;/key&gt;&lt;/foreign-keys&gt;&lt;ref-type name="Report"&gt;27&lt;/ref-type&gt;&lt;contributors&gt;&lt;authors&gt;&lt;author&gt;McNab, Karen&lt;/author&gt;&lt;author&gt;Garcia-Vasquez, Magaly&lt;/author&gt;&lt;/authors&gt;&lt;/contributors&gt;&lt;titles&gt;&lt;title&gt;Autonomous and remote operation technologies in Australian mining&lt;/title&gt;&lt;/titles&gt;&lt;number&gt;Cluster research report, no 2.5&lt;/number&gt;&lt;dates&gt;&lt;year&gt;2011&lt;/year&gt;&lt;/dates&gt;&lt;pub-location&gt;Australia&lt;/pub-location&gt;&lt;publisher&gt;CSIRO Minerals Down Under National Research Flagship&lt;/publisher&gt;&lt;urls&gt;&lt;pdf-urls&gt;&lt;url&gt;file://C:\Users\por083\Documents\EndNote\20170808-LP-Lib.Data\PDF\McNab and Garcia-Vasquez-2011-AutonomousRemoteOperationTechnologies.pdf&lt;/url&gt;&lt;/pdf-urls&gt;&lt;/urls&gt;&lt;/record&gt;&lt;/Cite&gt;&lt;/EndNote&gt;</w:instrText>
      </w:r>
      <w:r w:rsidR="0013514C">
        <w:rPr>
          <w:rFonts w:asciiTheme="minorHAnsi" w:eastAsia="Times New Roman" w:hAnsiTheme="minorHAnsi"/>
          <w:color w:val="auto"/>
          <w:szCs w:val="24"/>
          <w:lang w:eastAsia="en-US"/>
        </w:rPr>
        <w:fldChar w:fldCharType="separate"/>
      </w:r>
      <w:r w:rsidR="0013514C">
        <w:rPr>
          <w:rFonts w:asciiTheme="minorHAnsi" w:eastAsia="Times New Roman" w:hAnsiTheme="minorHAnsi"/>
          <w:noProof/>
          <w:color w:val="auto"/>
          <w:szCs w:val="24"/>
          <w:lang w:eastAsia="en-US"/>
        </w:rPr>
        <w:t>(McNab and Garcia-Vasquez, 2011)</w:t>
      </w:r>
      <w:r w:rsidR="0013514C">
        <w:rPr>
          <w:rFonts w:asciiTheme="minorHAnsi" w:eastAsia="Times New Roman" w:hAnsiTheme="minorHAnsi"/>
          <w:color w:val="auto"/>
          <w:szCs w:val="24"/>
          <w:lang w:eastAsia="en-US"/>
        </w:rPr>
        <w:fldChar w:fldCharType="end"/>
      </w:r>
      <w:r w:rsidR="0013514C">
        <w:rPr>
          <w:rFonts w:asciiTheme="minorHAnsi" w:eastAsia="Times New Roman" w:hAnsiTheme="minorHAnsi"/>
          <w:color w:val="auto"/>
          <w:szCs w:val="24"/>
          <w:lang w:eastAsia="en-US"/>
        </w:rPr>
        <w:t>.</w:t>
      </w:r>
      <w:r w:rsidR="00292997">
        <w:rPr>
          <w:rFonts w:asciiTheme="minorHAnsi" w:eastAsia="Times New Roman" w:hAnsiTheme="minorHAnsi"/>
          <w:color w:val="auto"/>
          <w:szCs w:val="24"/>
          <w:lang w:eastAsia="en-US"/>
        </w:rPr>
        <w:t xml:space="preserve"> </w:t>
      </w:r>
      <w:r w:rsidR="0013514C">
        <w:rPr>
          <w:rFonts w:asciiTheme="minorHAnsi" w:eastAsia="Times New Roman" w:hAnsiTheme="minorHAnsi"/>
          <w:color w:val="auto"/>
          <w:szCs w:val="24"/>
          <w:lang w:eastAsia="en-US"/>
        </w:rPr>
        <w:t>Automation can reduce employment for lower</w:t>
      </w:r>
      <w:r w:rsidR="009D2EA9">
        <w:rPr>
          <w:rFonts w:asciiTheme="minorHAnsi" w:eastAsia="Times New Roman" w:hAnsiTheme="minorHAnsi"/>
          <w:color w:val="auto"/>
          <w:szCs w:val="24"/>
          <w:lang w:eastAsia="en-US"/>
        </w:rPr>
        <w:t>-</w:t>
      </w:r>
      <w:r w:rsidR="0013514C">
        <w:rPr>
          <w:rFonts w:asciiTheme="minorHAnsi" w:eastAsia="Times New Roman" w:hAnsiTheme="minorHAnsi"/>
          <w:color w:val="auto"/>
          <w:szCs w:val="24"/>
          <w:lang w:eastAsia="en-US"/>
        </w:rPr>
        <w:t>skill</w:t>
      </w:r>
      <w:r w:rsidR="00F743E3">
        <w:rPr>
          <w:rFonts w:asciiTheme="minorHAnsi" w:eastAsia="Times New Roman" w:hAnsiTheme="minorHAnsi"/>
          <w:color w:val="auto"/>
          <w:szCs w:val="24"/>
          <w:lang w:eastAsia="en-US"/>
        </w:rPr>
        <w:t>ed</w:t>
      </w:r>
      <w:r w:rsidR="0013514C">
        <w:rPr>
          <w:rFonts w:asciiTheme="minorHAnsi" w:eastAsia="Times New Roman" w:hAnsiTheme="minorHAnsi"/>
          <w:color w:val="auto"/>
          <w:szCs w:val="24"/>
          <w:lang w:eastAsia="en-US"/>
        </w:rPr>
        <w:t xml:space="preserve"> </w:t>
      </w:r>
      <w:r w:rsidR="00FE01FD">
        <w:rPr>
          <w:rFonts w:asciiTheme="minorHAnsi" w:eastAsia="Times New Roman" w:hAnsiTheme="minorHAnsi"/>
          <w:color w:val="auto"/>
          <w:szCs w:val="24"/>
          <w:lang w:eastAsia="en-US"/>
        </w:rPr>
        <w:t>workers</w:t>
      </w:r>
      <w:r w:rsidR="0013514C">
        <w:rPr>
          <w:rFonts w:asciiTheme="minorHAnsi" w:eastAsia="Times New Roman" w:hAnsiTheme="minorHAnsi"/>
          <w:color w:val="auto"/>
          <w:szCs w:val="24"/>
          <w:lang w:eastAsia="en-US"/>
        </w:rPr>
        <w:t xml:space="preserve">, like machine operators, but increase </w:t>
      </w:r>
      <w:r w:rsidR="00CF1EE9">
        <w:rPr>
          <w:rFonts w:asciiTheme="minorHAnsi" w:eastAsia="Times New Roman" w:hAnsiTheme="minorHAnsi"/>
          <w:color w:val="auto"/>
          <w:szCs w:val="24"/>
          <w:lang w:eastAsia="en-US"/>
        </w:rPr>
        <w:t xml:space="preserve">the </w:t>
      </w:r>
      <w:r w:rsidR="0013514C">
        <w:rPr>
          <w:rFonts w:asciiTheme="minorHAnsi" w:eastAsia="Times New Roman" w:hAnsiTheme="minorHAnsi"/>
          <w:color w:val="auto"/>
          <w:szCs w:val="24"/>
          <w:lang w:eastAsia="en-US"/>
        </w:rPr>
        <w:t xml:space="preserve">number of jobs for supervisors and maintenance personnel. </w:t>
      </w:r>
      <w:r w:rsidR="00916B33">
        <w:rPr>
          <w:rFonts w:asciiTheme="minorHAnsi" w:eastAsia="Times New Roman" w:hAnsiTheme="minorHAnsi"/>
          <w:color w:val="auto"/>
          <w:szCs w:val="24"/>
          <w:lang w:eastAsia="en-US"/>
        </w:rPr>
        <w:t xml:space="preserve">One operation </w:t>
      </w:r>
      <w:r w:rsidR="00F94FD6">
        <w:rPr>
          <w:rFonts w:asciiTheme="minorHAnsi" w:eastAsia="Times New Roman" w:hAnsiTheme="minorHAnsi"/>
          <w:color w:val="auto"/>
          <w:szCs w:val="24"/>
          <w:lang w:eastAsia="en-US"/>
        </w:rPr>
        <w:t>increasingly</w:t>
      </w:r>
      <w:r w:rsidR="00916B33">
        <w:rPr>
          <w:rFonts w:asciiTheme="minorHAnsi" w:eastAsia="Times New Roman" w:hAnsiTheme="minorHAnsi"/>
          <w:color w:val="auto"/>
          <w:szCs w:val="24"/>
          <w:lang w:eastAsia="en-US"/>
        </w:rPr>
        <w:t xml:space="preserve"> substituted by automation is truck driving </w:t>
      </w:r>
      <w:r w:rsidR="00916B33">
        <w:rPr>
          <w:rFonts w:asciiTheme="minorHAnsi" w:eastAsia="Times New Roman" w:hAnsiTheme="minorHAnsi"/>
          <w:color w:val="auto"/>
          <w:szCs w:val="24"/>
          <w:lang w:eastAsia="en-US"/>
        </w:rPr>
        <w:fldChar w:fldCharType="begin"/>
      </w:r>
      <w:r w:rsidR="00916B33">
        <w:rPr>
          <w:rFonts w:asciiTheme="minorHAnsi" w:eastAsia="Times New Roman" w:hAnsiTheme="minorHAnsi"/>
          <w:color w:val="auto"/>
          <w:szCs w:val="24"/>
          <w:lang w:eastAsia="en-US"/>
        </w:rPr>
        <w:instrText xml:space="preserve"> ADDIN EN.CITE &lt;EndNote&gt;&lt;Cite&gt;&lt;Author&gt;McNab&lt;/Author&gt;&lt;Year&gt;2011&lt;/Year&gt;&lt;RecNum&gt;3137&lt;/RecNum&gt;&lt;DisplayText&gt;(McNab and Garcia-Vasquez, 2011)&lt;/DisplayText&gt;&lt;record&gt;&lt;rec-number&gt;3137&lt;/rec-number&gt;&lt;foreign-keys&gt;&lt;key app="EN" db-id="vzav25azvd0fxjextfzvax229ff0apaprtda" timestamp="1508719812"&gt;3137&lt;/key&gt;&lt;/foreign-keys&gt;&lt;ref-type name="Report"&gt;27&lt;/ref-type&gt;&lt;contributors&gt;&lt;authors&gt;&lt;author&gt;McNab, Karen&lt;/author&gt;&lt;author&gt;Garcia-Vasquez, Magaly&lt;/author&gt;&lt;/authors&gt;&lt;/contributors&gt;&lt;titles&gt;&lt;title&gt;Autonomous and remote operation technologies in Australian mining&lt;/title&gt;&lt;/titles&gt;&lt;number&gt;Cluster research report, no 2.5&lt;/number&gt;&lt;dates&gt;&lt;year&gt;2011&lt;/year&gt;&lt;/dates&gt;&lt;pub-location&gt;Australia&lt;/pub-location&gt;&lt;publisher&gt;CSIRO Minerals Down Under National Research Flagship&lt;/publisher&gt;&lt;urls&gt;&lt;pdf-urls&gt;&lt;url&gt;file://C:\Users\por083\Documents\EndNote\20170808-LP-Lib.Data\PDF\McNab and Garcia-Vasquez-2011-AutonomousRemoteOperationTechnologies.pdf&lt;/url&gt;&lt;/pdf-urls&gt;&lt;/urls&gt;&lt;/record&gt;&lt;/Cite&gt;&lt;/EndNote&gt;</w:instrText>
      </w:r>
      <w:r w:rsidR="00916B33">
        <w:rPr>
          <w:rFonts w:asciiTheme="minorHAnsi" w:eastAsia="Times New Roman" w:hAnsiTheme="minorHAnsi"/>
          <w:color w:val="auto"/>
          <w:szCs w:val="24"/>
          <w:lang w:eastAsia="en-US"/>
        </w:rPr>
        <w:fldChar w:fldCharType="separate"/>
      </w:r>
      <w:r w:rsidR="00916B33">
        <w:rPr>
          <w:rFonts w:asciiTheme="minorHAnsi" w:eastAsia="Times New Roman" w:hAnsiTheme="minorHAnsi"/>
          <w:noProof/>
          <w:color w:val="auto"/>
          <w:szCs w:val="24"/>
          <w:lang w:eastAsia="en-US"/>
        </w:rPr>
        <w:t>(McNab and Garcia-Vasquez, 2011)</w:t>
      </w:r>
      <w:r w:rsidR="00916B33">
        <w:rPr>
          <w:rFonts w:asciiTheme="minorHAnsi" w:eastAsia="Times New Roman" w:hAnsiTheme="minorHAnsi"/>
          <w:color w:val="auto"/>
          <w:szCs w:val="24"/>
          <w:lang w:eastAsia="en-US"/>
        </w:rPr>
        <w:fldChar w:fldCharType="end"/>
      </w:r>
      <w:r w:rsidR="00916B33">
        <w:rPr>
          <w:rFonts w:asciiTheme="minorHAnsi" w:eastAsia="Times New Roman" w:hAnsiTheme="minorHAnsi"/>
          <w:color w:val="auto"/>
          <w:szCs w:val="24"/>
          <w:lang w:eastAsia="en-US"/>
        </w:rPr>
        <w:t xml:space="preserve">. </w:t>
      </w:r>
      <w:r w:rsidR="00B74FB8">
        <w:rPr>
          <w:rFonts w:asciiTheme="minorHAnsi" w:eastAsia="Times New Roman" w:hAnsiTheme="minorHAnsi"/>
          <w:color w:val="auto"/>
          <w:szCs w:val="24"/>
          <w:lang w:eastAsia="en-US"/>
        </w:rPr>
        <w:t xml:space="preserve">Some groups of </w:t>
      </w:r>
      <w:r w:rsidR="0013514C">
        <w:rPr>
          <w:rFonts w:asciiTheme="minorHAnsi" w:eastAsia="Times New Roman" w:hAnsiTheme="minorHAnsi"/>
          <w:color w:val="auto"/>
          <w:szCs w:val="24"/>
          <w:lang w:eastAsia="en-US"/>
        </w:rPr>
        <w:t xml:space="preserve">workers </w:t>
      </w:r>
      <w:r w:rsidR="00B74FB8">
        <w:rPr>
          <w:rFonts w:asciiTheme="minorHAnsi" w:eastAsia="Times New Roman" w:hAnsiTheme="minorHAnsi"/>
          <w:color w:val="auto"/>
          <w:szCs w:val="24"/>
          <w:lang w:eastAsia="en-US"/>
        </w:rPr>
        <w:t xml:space="preserve">may </w:t>
      </w:r>
      <w:r w:rsidR="0013514C">
        <w:rPr>
          <w:rFonts w:asciiTheme="minorHAnsi" w:eastAsia="Times New Roman" w:hAnsiTheme="minorHAnsi"/>
          <w:color w:val="auto"/>
          <w:szCs w:val="24"/>
          <w:lang w:eastAsia="en-US"/>
        </w:rPr>
        <w:t xml:space="preserve">be </w:t>
      </w:r>
      <w:r w:rsidR="00B74FB8">
        <w:rPr>
          <w:rFonts w:asciiTheme="minorHAnsi" w:eastAsia="Times New Roman" w:hAnsiTheme="minorHAnsi"/>
          <w:color w:val="auto"/>
          <w:szCs w:val="24"/>
          <w:lang w:eastAsia="en-US"/>
        </w:rPr>
        <w:t xml:space="preserve">more </w:t>
      </w:r>
      <w:r w:rsidR="0013514C">
        <w:rPr>
          <w:rFonts w:asciiTheme="minorHAnsi" w:eastAsia="Times New Roman" w:hAnsiTheme="minorHAnsi"/>
          <w:color w:val="auto"/>
          <w:szCs w:val="24"/>
          <w:lang w:eastAsia="en-US"/>
        </w:rPr>
        <w:t xml:space="preserve">affected </w:t>
      </w:r>
      <w:r w:rsidR="00B74FB8">
        <w:rPr>
          <w:rFonts w:asciiTheme="minorHAnsi" w:eastAsia="Times New Roman" w:hAnsiTheme="minorHAnsi"/>
          <w:color w:val="auto"/>
          <w:szCs w:val="24"/>
          <w:lang w:eastAsia="en-US"/>
        </w:rPr>
        <w:t>by automated</w:t>
      </w:r>
      <w:r w:rsidR="0013514C">
        <w:rPr>
          <w:rFonts w:asciiTheme="minorHAnsi" w:eastAsia="Times New Roman" w:hAnsiTheme="minorHAnsi"/>
          <w:color w:val="auto"/>
          <w:szCs w:val="24"/>
          <w:lang w:eastAsia="en-US"/>
        </w:rPr>
        <w:t xml:space="preserve"> processes </w:t>
      </w:r>
      <w:r w:rsidR="000132C1">
        <w:rPr>
          <w:rFonts w:asciiTheme="minorHAnsi" w:eastAsia="Times New Roman" w:hAnsiTheme="minorHAnsi"/>
          <w:color w:val="auto"/>
          <w:szCs w:val="24"/>
          <w:lang w:eastAsia="en-US"/>
        </w:rPr>
        <w:t>than</w:t>
      </w:r>
      <w:r w:rsidR="00B74FB8">
        <w:rPr>
          <w:rFonts w:asciiTheme="minorHAnsi" w:eastAsia="Times New Roman" w:hAnsiTheme="minorHAnsi"/>
          <w:color w:val="auto"/>
          <w:szCs w:val="24"/>
          <w:lang w:eastAsia="en-US"/>
        </w:rPr>
        <w:t xml:space="preserve"> others</w:t>
      </w:r>
      <w:r w:rsidR="00231B40">
        <w:rPr>
          <w:rFonts w:asciiTheme="minorHAnsi" w:eastAsia="Times New Roman" w:hAnsiTheme="minorHAnsi"/>
          <w:color w:val="auto"/>
          <w:szCs w:val="24"/>
          <w:lang w:eastAsia="en-US"/>
        </w:rPr>
        <w:t>, particularly</w:t>
      </w:r>
      <w:r w:rsidR="00B74FB8">
        <w:rPr>
          <w:rFonts w:asciiTheme="minorHAnsi" w:eastAsia="Times New Roman" w:hAnsiTheme="minorHAnsi"/>
          <w:color w:val="auto"/>
          <w:szCs w:val="24"/>
          <w:lang w:eastAsia="en-US"/>
        </w:rPr>
        <w:t xml:space="preserve"> </w:t>
      </w:r>
      <w:r w:rsidR="0013514C">
        <w:rPr>
          <w:rFonts w:asciiTheme="minorHAnsi" w:eastAsia="Times New Roman" w:hAnsiTheme="minorHAnsi"/>
          <w:color w:val="auto"/>
          <w:szCs w:val="24"/>
          <w:lang w:eastAsia="en-US"/>
        </w:rPr>
        <w:t xml:space="preserve">if they </w:t>
      </w:r>
      <w:r w:rsidR="00231B40">
        <w:rPr>
          <w:rFonts w:asciiTheme="minorHAnsi" w:eastAsia="Times New Roman" w:hAnsiTheme="minorHAnsi"/>
          <w:color w:val="auto"/>
          <w:szCs w:val="24"/>
          <w:lang w:eastAsia="en-US"/>
        </w:rPr>
        <w:t xml:space="preserve">are in </w:t>
      </w:r>
      <w:r w:rsidR="0013514C">
        <w:rPr>
          <w:rFonts w:asciiTheme="minorHAnsi" w:eastAsia="Times New Roman" w:hAnsiTheme="minorHAnsi"/>
          <w:color w:val="auto"/>
          <w:szCs w:val="24"/>
          <w:lang w:eastAsia="en-US"/>
        </w:rPr>
        <w:t>low</w:t>
      </w:r>
      <w:r w:rsidR="00F94FD6">
        <w:rPr>
          <w:rFonts w:asciiTheme="minorHAnsi" w:eastAsia="Times New Roman" w:hAnsiTheme="minorHAnsi"/>
          <w:color w:val="auto"/>
          <w:szCs w:val="24"/>
          <w:lang w:eastAsia="en-US"/>
        </w:rPr>
        <w:t>er</w:t>
      </w:r>
      <w:r w:rsidR="000132C1">
        <w:rPr>
          <w:rFonts w:asciiTheme="minorHAnsi" w:eastAsia="Times New Roman" w:hAnsiTheme="minorHAnsi"/>
          <w:color w:val="auto"/>
          <w:szCs w:val="24"/>
          <w:lang w:eastAsia="en-US"/>
        </w:rPr>
        <w:t>-</w:t>
      </w:r>
      <w:r w:rsidR="0013514C">
        <w:rPr>
          <w:rFonts w:asciiTheme="minorHAnsi" w:eastAsia="Times New Roman" w:hAnsiTheme="minorHAnsi"/>
          <w:color w:val="auto"/>
          <w:szCs w:val="24"/>
          <w:lang w:eastAsia="en-US"/>
        </w:rPr>
        <w:t>skill</w:t>
      </w:r>
      <w:r w:rsidR="000132C1">
        <w:rPr>
          <w:rFonts w:asciiTheme="minorHAnsi" w:eastAsia="Times New Roman" w:hAnsiTheme="minorHAnsi"/>
          <w:color w:val="auto"/>
          <w:szCs w:val="24"/>
          <w:lang w:eastAsia="en-US"/>
        </w:rPr>
        <w:t>ed</w:t>
      </w:r>
      <w:r w:rsidR="0013514C">
        <w:rPr>
          <w:rFonts w:asciiTheme="minorHAnsi" w:eastAsia="Times New Roman" w:hAnsiTheme="minorHAnsi"/>
          <w:color w:val="auto"/>
          <w:szCs w:val="24"/>
          <w:lang w:eastAsia="en-US"/>
        </w:rPr>
        <w:t xml:space="preserve"> level roles. </w:t>
      </w:r>
      <w:r w:rsidR="00916B33">
        <w:rPr>
          <w:rFonts w:asciiTheme="minorHAnsi" w:eastAsia="Times New Roman" w:hAnsiTheme="minorHAnsi"/>
          <w:color w:val="auto"/>
          <w:szCs w:val="24"/>
          <w:lang w:eastAsia="en-US"/>
        </w:rPr>
        <w:t>Benefit-cost analysis can reveal how this capital cost compares to operating cost</w:t>
      </w:r>
      <w:r w:rsidR="000132C1">
        <w:rPr>
          <w:rFonts w:asciiTheme="minorHAnsi" w:eastAsia="Times New Roman" w:hAnsiTheme="minorHAnsi"/>
          <w:color w:val="auto"/>
          <w:szCs w:val="24"/>
          <w:lang w:eastAsia="en-US"/>
        </w:rPr>
        <w:t>s</w:t>
      </w:r>
      <w:r w:rsidR="00916B33">
        <w:rPr>
          <w:rFonts w:asciiTheme="minorHAnsi" w:eastAsia="Times New Roman" w:hAnsiTheme="minorHAnsi"/>
          <w:color w:val="auto"/>
          <w:szCs w:val="24"/>
          <w:lang w:eastAsia="en-US"/>
        </w:rPr>
        <w:t xml:space="preserve"> (labour). Estimates for a case study in a Western Australian mine show </w:t>
      </w:r>
      <w:r w:rsidR="000132C1">
        <w:rPr>
          <w:rFonts w:asciiTheme="minorHAnsi" w:eastAsia="Times New Roman" w:hAnsiTheme="minorHAnsi"/>
          <w:color w:val="auto"/>
          <w:szCs w:val="24"/>
          <w:lang w:eastAsia="en-US"/>
        </w:rPr>
        <w:t xml:space="preserve">that </w:t>
      </w:r>
      <w:r w:rsidR="00916B33">
        <w:rPr>
          <w:rFonts w:asciiTheme="minorHAnsi" w:eastAsia="Times New Roman" w:hAnsiTheme="minorHAnsi"/>
          <w:color w:val="auto"/>
          <w:szCs w:val="24"/>
          <w:lang w:eastAsia="en-US"/>
        </w:rPr>
        <w:t xml:space="preserve">258 haul drivers were needed to run a fleet of 60 trucks, compared with 30 dispatch operators for automated haul systems (four shifts of one operator for eight trucks) </w:t>
      </w:r>
      <w:r w:rsidR="00916B33">
        <w:rPr>
          <w:rFonts w:asciiTheme="minorHAnsi" w:eastAsia="Times New Roman" w:hAnsiTheme="minorHAnsi"/>
          <w:color w:val="auto"/>
          <w:szCs w:val="24"/>
          <w:lang w:eastAsia="en-US"/>
        </w:rPr>
        <w:fldChar w:fldCharType="begin"/>
      </w:r>
      <w:r w:rsidR="000F5F6E">
        <w:rPr>
          <w:rFonts w:asciiTheme="minorHAnsi" w:eastAsia="Times New Roman" w:hAnsiTheme="minorHAnsi"/>
          <w:color w:val="auto"/>
          <w:szCs w:val="24"/>
          <w:lang w:eastAsia="en-US"/>
        </w:rPr>
        <w:instrText xml:space="preserve"> ADDIN EN.CITE &lt;EndNote&gt;&lt;Cite&gt;&lt;Author&gt;Bellamy&lt;/Author&gt;&lt;Year&gt;2011&lt;/Year&gt;&lt;RecNum&gt;3124&lt;/RecNum&gt;&lt;DisplayText&gt;(Bellamy and Pravica, 2011)&lt;/DisplayText&gt;&lt;record&gt;&lt;rec-number&gt;3124&lt;/rec-number&gt;&lt;foreign-keys&gt;&lt;key app="EN" db-id="vzav25azvd0fxjextfzvax229ff0apaprtda" timestamp="1508294186"&gt;3124&lt;/key&gt;&lt;/foreign-keys&gt;&lt;ref-type name="Journal Article"&gt;17&lt;/ref-type&gt;&lt;contributors&gt;&lt;authors&gt;&lt;author&gt;Bellamy, Drew&lt;/author&gt;&lt;author&gt;Pravica, Luka&lt;/author&gt;&lt;/authors&gt;&lt;/contributors&gt;&lt;titles&gt;&lt;title&gt;Assessing the impact of driverless haul trucks in Australian surface mining&lt;/title&gt;&lt;secondary-title&gt;Resources Policy&lt;/secondary-title&gt;&lt;/titles&gt;&lt;periodical&gt;&lt;full-title&gt;Resources Policy&lt;/full-title&gt;&lt;abbr-1&gt;Resources Pol.&lt;/abbr-1&gt;&lt;abbr-2&gt;Resources Pol&lt;/abbr-2&gt;&lt;/periodical&gt;&lt;pages&gt;149-158&lt;/pages&gt;&lt;volume&gt;36&lt;/volume&gt;&lt;number&gt;2&lt;/number&gt;&lt;keywords&gt;&lt;keyword&gt;Australian mining&lt;/keyword&gt;&lt;keyword&gt;Mining automation technology&lt;/keyword&gt;&lt;keyword&gt;Driverless haul trucks&lt;/keyword&gt;&lt;keyword&gt;Mineral policy&lt;/keyword&gt;&lt;keyword&gt;Economic rent&lt;/keyword&gt;&lt;keyword&gt;Fly-in fly-out&lt;/keyword&gt;&lt;keyword&gt;Mine sites&lt;/keyword&gt;&lt;keyword&gt;Mining towns&lt;/keyword&gt;&lt;/keywords&gt;&lt;dates&gt;&lt;year&gt;2011&lt;/year&gt;&lt;pub-dates&gt;&lt;date&gt;2011/06/01/&lt;/date&gt;&lt;/pub-dates&gt;&lt;/dates&gt;&lt;isbn&gt;0301-4207&lt;/isbn&gt;&lt;urls&gt;&lt;related-urls&gt;&lt;url&gt;http://www.sciencedirect.com/science/article/pii/S0301420710000516&lt;/url&gt;&lt;/related-urls&gt;&lt;pdf-urls&gt;&lt;url&gt;file://C:\Users\por083\Documents\EndNote\20170808-LP-Lib.Data\PDF\Bellamy-Pravica-2011.pdf&lt;/url&gt;&lt;/pdf-urls&gt;&lt;/urls&gt;&lt;electronic-resource-num&gt;10.1016/j.resourpol.2010.09.002&lt;/electronic-resource-num&gt;&lt;/record&gt;&lt;/Cite&gt;&lt;/EndNote&gt;</w:instrText>
      </w:r>
      <w:r w:rsidR="00916B33">
        <w:rPr>
          <w:rFonts w:asciiTheme="minorHAnsi" w:eastAsia="Times New Roman" w:hAnsiTheme="minorHAnsi"/>
          <w:color w:val="auto"/>
          <w:szCs w:val="24"/>
          <w:lang w:eastAsia="en-US"/>
        </w:rPr>
        <w:fldChar w:fldCharType="separate"/>
      </w:r>
      <w:r w:rsidR="00916B33">
        <w:rPr>
          <w:rFonts w:asciiTheme="minorHAnsi" w:eastAsia="Times New Roman" w:hAnsiTheme="minorHAnsi"/>
          <w:noProof/>
          <w:color w:val="auto"/>
          <w:szCs w:val="24"/>
          <w:lang w:eastAsia="en-US"/>
        </w:rPr>
        <w:t>(Bellamy and Pravica, 2011)</w:t>
      </w:r>
      <w:r w:rsidR="00916B33">
        <w:rPr>
          <w:rFonts w:asciiTheme="minorHAnsi" w:eastAsia="Times New Roman" w:hAnsiTheme="minorHAnsi"/>
          <w:color w:val="auto"/>
          <w:szCs w:val="24"/>
          <w:lang w:eastAsia="en-US"/>
        </w:rPr>
        <w:fldChar w:fldCharType="end"/>
      </w:r>
      <w:r w:rsidR="00916B33">
        <w:rPr>
          <w:rFonts w:asciiTheme="minorHAnsi" w:eastAsia="Times New Roman" w:hAnsiTheme="minorHAnsi"/>
          <w:color w:val="auto"/>
          <w:szCs w:val="24"/>
          <w:lang w:eastAsia="en-US"/>
        </w:rPr>
        <w:t xml:space="preserve">. The case study finds that after taking into account all categories of personnel needed and total salary packages, the savings are high: automated haul operations </w:t>
      </w:r>
      <w:r w:rsidR="00444239">
        <w:rPr>
          <w:rFonts w:asciiTheme="minorHAnsi" w:eastAsia="Times New Roman" w:hAnsiTheme="minorHAnsi"/>
          <w:color w:val="auto"/>
          <w:szCs w:val="24"/>
          <w:lang w:eastAsia="en-US"/>
        </w:rPr>
        <w:t xml:space="preserve">were </w:t>
      </w:r>
      <w:r w:rsidR="00444239" w:rsidRPr="00F6552F">
        <w:rPr>
          <w:rFonts w:asciiTheme="minorHAnsi" w:eastAsia="Times New Roman" w:hAnsiTheme="minorHAnsi"/>
          <w:color w:val="auto"/>
          <w:szCs w:val="24"/>
          <w:lang w:eastAsia="en-US"/>
        </w:rPr>
        <w:t>around 82% cheaper</w:t>
      </w:r>
      <w:r w:rsidR="00444239" w:rsidRPr="00444239">
        <w:rPr>
          <w:rFonts w:asciiTheme="minorHAnsi" w:eastAsia="Times New Roman" w:hAnsiTheme="minorHAnsi"/>
          <w:color w:val="auto"/>
          <w:szCs w:val="24"/>
          <w:lang w:eastAsia="en-US"/>
        </w:rPr>
        <w:t xml:space="preserve"> </w:t>
      </w:r>
      <w:r w:rsidR="00444239">
        <w:rPr>
          <w:rFonts w:asciiTheme="minorHAnsi" w:eastAsia="Times New Roman" w:hAnsiTheme="minorHAnsi"/>
          <w:color w:val="auto"/>
          <w:szCs w:val="24"/>
          <w:lang w:eastAsia="en-US"/>
        </w:rPr>
        <w:t>than manual labour workforces</w:t>
      </w:r>
      <w:r w:rsidR="00916B33">
        <w:rPr>
          <w:rFonts w:asciiTheme="minorHAnsi" w:eastAsia="Times New Roman" w:hAnsiTheme="minorHAnsi"/>
          <w:color w:val="auto"/>
          <w:szCs w:val="24"/>
          <w:lang w:eastAsia="en-US"/>
        </w:rPr>
        <w:t xml:space="preserve"> </w:t>
      </w:r>
      <w:r w:rsidR="00916B33">
        <w:rPr>
          <w:rFonts w:asciiTheme="minorHAnsi" w:eastAsia="Times New Roman" w:hAnsiTheme="minorHAnsi"/>
          <w:color w:val="auto"/>
          <w:szCs w:val="24"/>
          <w:lang w:eastAsia="en-US"/>
        </w:rPr>
        <w:fldChar w:fldCharType="begin"/>
      </w:r>
      <w:r w:rsidR="000F5F6E">
        <w:rPr>
          <w:rFonts w:asciiTheme="minorHAnsi" w:eastAsia="Times New Roman" w:hAnsiTheme="minorHAnsi"/>
          <w:color w:val="auto"/>
          <w:szCs w:val="24"/>
          <w:lang w:eastAsia="en-US"/>
        </w:rPr>
        <w:instrText xml:space="preserve"> ADDIN EN.CITE &lt;EndNote&gt;&lt;Cite&gt;&lt;Author&gt;Bellamy&lt;/Author&gt;&lt;Year&gt;2011&lt;/Year&gt;&lt;RecNum&gt;3124&lt;/RecNum&gt;&lt;DisplayText&gt;(Bellamy and Pravica, 2011)&lt;/DisplayText&gt;&lt;record&gt;&lt;rec-number&gt;3124&lt;/rec-number&gt;&lt;foreign-keys&gt;&lt;key app="EN" db-id="vzav25azvd0fxjextfzvax229ff0apaprtda" timestamp="1508294186"&gt;3124&lt;/key&gt;&lt;/foreign-keys&gt;&lt;ref-type name="Journal Article"&gt;17&lt;/ref-type&gt;&lt;contributors&gt;&lt;authors&gt;&lt;author&gt;Bellamy, Drew&lt;/author&gt;&lt;author&gt;Pravica, Luka&lt;/author&gt;&lt;/authors&gt;&lt;/contributors&gt;&lt;titles&gt;&lt;title&gt;Assessing the impact of driverless haul trucks in Australian surface mining&lt;/title&gt;&lt;secondary-title&gt;Resources Policy&lt;/secondary-title&gt;&lt;/titles&gt;&lt;periodical&gt;&lt;full-title&gt;Resources Policy&lt;/full-title&gt;&lt;abbr-1&gt;Resources Pol.&lt;/abbr-1&gt;&lt;abbr-2&gt;Resources Pol&lt;/abbr-2&gt;&lt;/periodical&gt;&lt;pages&gt;149-158&lt;/pages&gt;&lt;volume&gt;36&lt;/volume&gt;&lt;number&gt;2&lt;/number&gt;&lt;keywords&gt;&lt;keyword&gt;Australian mining&lt;/keyword&gt;&lt;keyword&gt;Mining automation technology&lt;/keyword&gt;&lt;keyword&gt;Driverless haul trucks&lt;/keyword&gt;&lt;keyword&gt;Mineral policy&lt;/keyword&gt;&lt;keyword&gt;Economic rent&lt;/keyword&gt;&lt;keyword&gt;Fly-in fly-out&lt;/keyword&gt;&lt;keyword&gt;Mine sites&lt;/keyword&gt;&lt;keyword&gt;Mining towns&lt;/keyword&gt;&lt;/keywords&gt;&lt;dates&gt;&lt;year&gt;2011&lt;/year&gt;&lt;pub-dates&gt;&lt;date&gt;2011/06/01/&lt;/date&gt;&lt;/pub-dates&gt;&lt;/dates&gt;&lt;isbn&gt;0301-4207&lt;/isbn&gt;&lt;urls&gt;&lt;related-urls&gt;&lt;url&gt;http://www.sciencedirect.com/science/article/pii/S0301420710000516&lt;/url&gt;&lt;/related-urls&gt;&lt;pdf-urls&gt;&lt;url&gt;file://C:\Users\por083\Documents\EndNote\20170808-LP-Lib.Data\PDF\Bellamy-Pravica-2011.pdf&lt;/url&gt;&lt;/pdf-urls&gt;&lt;/urls&gt;&lt;electronic-resource-num&gt;10.1016/j.resourpol.2010.09.002&lt;/electronic-resource-num&gt;&lt;/record&gt;&lt;/Cite&gt;&lt;/EndNote&gt;</w:instrText>
      </w:r>
      <w:r w:rsidR="00916B33">
        <w:rPr>
          <w:rFonts w:asciiTheme="minorHAnsi" w:eastAsia="Times New Roman" w:hAnsiTheme="minorHAnsi"/>
          <w:color w:val="auto"/>
          <w:szCs w:val="24"/>
          <w:lang w:eastAsia="en-US"/>
        </w:rPr>
        <w:fldChar w:fldCharType="separate"/>
      </w:r>
      <w:r w:rsidR="00916B33">
        <w:rPr>
          <w:rFonts w:asciiTheme="minorHAnsi" w:eastAsia="Times New Roman" w:hAnsiTheme="minorHAnsi"/>
          <w:noProof/>
          <w:color w:val="auto"/>
          <w:szCs w:val="24"/>
          <w:lang w:eastAsia="en-US"/>
        </w:rPr>
        <w:t>(Bellamy and Pravica, 2011)</w:t>
      </w:r>
      <w:r w:rsidR="00916B33">
        <w:rPr>
          <w:rFonts w:asciiTheme="minorHAnsi" w:eastAsia="Times New Roman" w:hAnsiTheme="minorHAnsi"/>
          <w:color w:val="auto"/>
          <w:szCs w:val="24"/>
          <w:lang w:eastAsia="en-US"/>
        </w:rPr>
        <w:fldChar w:fldCharType="end"/>
      </w:r>
      <w:r w:rsidR="00916B33">
        <w:rPr>
          <w:rFonts w:asciiTheme="minorHAnsi" w:eastAsia="Times New Roman" w:hAnsiTheme="minorHAnsi"/>
          <w:color w:val="auto"/>
          <w:szCs w:val="24"/>
          <w:lang w:eastAsia="en-US"/>
        </w:rPr>
        <w:t>.</w:t>
      </w:r>
      <w:r w:rsidR="00916B33">
        <w:rPr>
          <w:rStyle w:val="FootnoteReference"/>
          <w:rFonts w:asciiTheme="minorHAnsi" w:eastAsia="Times New Roman" w:hAnsiTheme="minorHAnsi"/>
          <w:color w:val="auto"/>
          <w:szCs w:val="24"/>
          <w:lang w:eastAsia="en-US"/>
        </w:rPr>
        <w:footnoteReference w:id="16"/>
      </w:r>
    </w:p>
    <w:p w14:paraId="16A5CD5E" w14:textId="4504593A" w:rsidR="004F321F" w:rsidRDefault="00916B33" w:rsidP="00186F23">
      <w:pPr>
        <w:pStyle w:val="BodyText"/>
        <w:jc w:val="both"/>
        <w:rPr>
          <w:rFonts w:asciiTheme="minorHAnsi" w:eastAsia="Times New Roman" w:hAnsiTheme="minorHAnsi"/>
          <w:color w:val="auto"/>
          <w:szCs w:val="24"/>
          <w:lang w:eastAsia="en-US"/>
        </w:rPr>
      </w:pPr>
      <w:r>
        <w:rPr>
          <w:rFonts w:asciiTheme="minorHAnsi" w:eastAsia="Times New Roman" w:hAnsiTheme="minorHAnsi"/>
          <w:color w:val="auto"/>
          <w:szCs w:val="24"/>
          <w:lang w:eastAsia="en-US"/>
        </w:rPr>
        <w:t>Rio</w:t>
      </w:r>
      <w:r w:rsidR="000132C1">
        <w:rPr>
          <w:rFonts w:asciiTheme="minorHAnsi" w:eastAsia="Times New Roman" w:hAnsiTheme="minorHAnsi"/>
          <w:color w:val="auto"/>
          <w:szCs w:val="24"/>
          <w:lang w:eastAsia="en-US"/>
        </w:rPr>
        <w:t xml:space="preserve"> </w:t>
      </w:r>
      <w:r>
        <w:rPr>
          <w:rFonts w:asciiTheme="minorHAnsi" w:eastAsia="Times New Roman" w:hAnsiTheme="minorHAnsi"/>
          <w:color w:val="auto"/>
          <w:szCs w:val="24"/>
          <w:lang w:eastAsia="en-US"/>
        </w:rPr>
        <w:t>Tinto’s iron ore operations had 72 autonomous haul trucks in 2016, representing 20% of the fleet</w:t>
      </w:r>
      <w:r w:rsidR="009E65AA">
        <w:rPr>
          <w:rFonts w:asciiTheme="minorHAnsi" w:eastAsia="Times New Roman" w:hAnsiTheme="minorHAnsi"/>
          <w:color w:val="auto"/>
          <w:szCs w:val="24"/>
          <w:lang w:eastAsia="en-US"/>
        </w:rPr>
        <w:t>,</w:t>
      </w:r>
      <w:r>
        <w:rPr>
          <w:rFonts w:asciiTheme="minorHAnsi" w:eastAsia="Times New Roman" w:hAnsiTheme="minorHAnsi"/>
          <w:color w:val="auto"/>
          <w:szCs w:val="24"/>
          <w:lang w:eastAsia="en-US"/>
        </w:rPr>
        <w:t xml:space="preserve"> with each truck running at 15% lower costs than a regular haul truck </w:t>
      </w:r>
      <w:r>
        <w:rPr>
          <w:rFonts w:asciiTheme="minorHAnsi" w:eastAsia="Times New Roman" w:hAnsiTheme="minorHAnsi"/>
          <w:color w:val="auto"/>
          <w:szCs w:val="24"/>
          <w:lang w:eastAsia="en-US"/>
        </w:rPr>
        <w:fldChar w:fldCharType="begin"/>
      </w:r>
      <w:r w:rsidR="000F5F6E">
        <w:rPr>
          <w:rFonts w:asciiTheme="minorHAnsi" w:eastAsia="Times New Roman" w:hAnsiTheme="minorHAnsi"/>
          <w:color w:val="auto"/>
          <w:szCs w:val="24"/>
          <w:lang w:eastAsia="en-US"/>
        </w:rPr>
        <w:instrText xml:space="preserve"> ADDIN EN.CITE &lt;EndNote&gt;&lt;Cite&gt;&lt;Author&gt;Tinto&lt;/Author&gt;&lt;Year&gt;2016&lt;/Year&gt;&lt;RecNum&gt;3138&lt;/RecNum&gt;&lt;DisplayText&gt;(Rio Tinto, 2016)&lt;/DisplayText&gt;&lt;record&gt;&lt;rec-number&gt;3138&lt;/rec-number&gt;&lt;foreign-keys&gt;&lt;key app="EN" db-id="vzav25azvd0fxjextfzvax229ff0apaprtda" timestamp="1508730975"&gt;3138&lt;/key&gt;&lt;/foreign-keys&gt;&lt;ref-type name="Report"&gt;27&lt;/ref-type&gt;&lt;contributors&gt;&lt;authors&gt;&lt;author&gt;Rio Tinto,&lt;/author&gt;&lt;/authors&gt;&lt;/contributors&gt;&lt;titles&gt;&lt;title&gt;Annual report&lt;/title&gt;&lt;/titles&gt;&lt;dates&gt;&lt;year&gt;2016&lt;/year&gt;&lt;/dates&gt;&lt;urls&gt;&lt;related-urls&gt;&lt;url&gt;http://www.riotinto.com/documents/RT_2016_Annual_report.pdf&lt;/url&gt;&lt;/related-urls&gt;&lt;pdf-urls&gt;&lt;url&gt;file://C:\Users\por083\Documents\EndNote\20170808-LP-Lib.Data\PDF\RT_2016_Annual_report.pdf&lt;/url&gt;&lt;/pdf-urls&gt;&lt;/urls&gt;&lt;/record&gt;&lt;/Cite&gt;&lt;/EndNote&gt;</w:instrText>
      </w:r>
      <w:r>
        <w:rPr>
          <w:rFonts w:asciiTheme="minorHAnsi" w:eastAsia="Times New Roman" w:hAnsiTheme="minorHAnsi"/>
          <w:color w:val="auto"/>
          <w:szCs w:val="24"/>
          <w:lang w:eastAsia="en-US"/>
        </w:rPr>
        <w:fldChar w:fldCharType="separate"/>
      </w:r>
      <w:r w:rsidR="000F5F6E">
        <w:rPr>
          <w:rFonts w:asciiTheme="minorHAnsi" w:eastAsia="Times New Roman" w:hAnsiTheme="minorHAnsi"/>
          <w:noProof/>
          <w:color w:val="auto"/>
          <w:szCs w:val="24"/>
          <w:lang w:eastAsia="en-US"/>
        </w:rPr>
        <w:t>(Rio Tinto, 2016)</w:t>
      </w:r>
      <w:r>
        <w:rPr>
          <w:rFonts w:asciiTheme="minorHAnsi" w:eastAsia="Times New Roman" w:hAnsiTheme="minorHAnsi"/>
          <w:color w:val="auto"/>
          <w:szCs w:val="24"/>
          <w:lang w:eastAsia="en-US"/>
        </w:rPr>
        <w:fldChar w:fldCharType="end"/>
      </w:r>
      <w:r>
        <w:rPr>
          <w:rFonts w:asciiTheme="minorHAnsi" w:eastAsia="Times New Roman" w:hAnsiTheme="minorHAnsi"/>
          <w:color w:val="auto"/>
          <w:szCs w:val="24"/>
          <w:lang w:eastAsia="en-US"/>
        </w:rPr>
        <w:t xml:space="preserve">. An </w:t>
      </w:r>
      <w:r>
        <w:rPr>
          <w:rFonts w:asciiTheme="minorHAnsi" w:eastAsia="Times New Roman" w:hAnsiTheme="minorHAnsi"/>
          <w:color w:val="auto"/>
          <w:szCs w:val="24"/>
          <w:lang w:eastAsia="en-US"/>
        </w:rPr>
        <w:lastRenderedPageBreak/>
        <w:t>autonomous drill, like an autonomous truck</w:t>
      </w:r>
      <w:r w:rsidR="009E65AA">
        <w:rPr>
          <w:rFonts w:asciiTheme="minorHAnsi" w:eastAsia="Times New Roman" w:hAnsiTheme="minorHAnsi"/>
          <w:color w:val="auto"/>
          <w:szCs w:val="24"/>
          <w:lang w:eastAsia="en-US"/>
        </w:rPr>
        <w:t>,</w:t>
      </w:r>
      <w:r>
        <w:rPr>
          <w:rFonts w:asciiTheme="minorHAnsi" w:eastAsia="Times New Roman" w:hAnsiTheme="minorHAnsi"/>
          <w:color w:val="auto"/>
          <w:szCs w:val="24"/>
          <w:lang w:eastAsia="en-US"/>
        </w:rPr>
        <w:t xml:space="preserve"> can be used on average 1,000 hours more than conventional versions and four drills can be controlled by one operator </w:t>
      </w:r>
      <w:r>
        <w:rPr>
          <w:rFonts w:asciiTheme="minorHAnsi" w:eastAsia="Times New Roman" w:hAnsiTheme="minorHAnsi"/>
          <w:color w:val="auto"/>
          <w:szCs w:val="24"/>
          <w:lang w:eastAsia="en-US"/>
        </w:rPr>
        <w:fldChar w:fldCharType="begin"/>
      </w:r>
      <w:r w:rsidR="000F5F6E">
        <w:rPr>
          <w:rFonts w:asciiTheme="minorHAnsi" w:eastAsia="Times New Roman" w:hAnsiTheme="minorHAnsi"/>
          <w:color w:val="auto"/>
          <w:szCs w:val="24"/>
          <w:lang w:eastAsia="en-US"/>
        </w:rPr>
        <w:instrText xml:space="preserve"> ADDIN EN.CITE &lt;EndNote&gt;&lt;Cite&gt;&lt;Author&gt;Tinto&lt;/Author&gt;&lt;Year&gt;2016&lt;/Year&gt;&lt;RecNum&gt;3138&lt;/RecNum&gt;&lt;DisplayText&gt;(Rio Tinto, 2016)&lt;/DisplayText&gt;&lt;record&gt;&lt;rec-number&gt;3138&lt;/rec-number&gt;&lt;foreign-keys&gt;&lt;key app="EN" db-id="vzav25azvd0fxjextfzvax229ff0apaprtda" timestamp="1508730975"&gt;3138&lt;/key&gt;&lt;/foreign-keys&gt;&lt;ref-type name="Report"&gt;27&lt;/ref-type&gt;&lt;contributors&gt;&lt;authors&gt;&lt;author&gt;Rio Tinto,&lt;/author&gt;&lt;/authors&gt;&lt;/contributors&gt;&lt;titles&gt;&lt;title&gt;Annual report&lt;/title&gt;&lt;/titles&gt;&lt;dates&gt;&lt;year&gt;2016&lt;/year&gt;&lt;/dates&gt;&lt;urls&gt;&lt;related-urls&gt;&lt;url&gt;http://www.riotinto.com/documents/RT_2016_Annual_report.pdf&lt;/url&gt;&lt;/related-urls&gt;&lt;pdf-urls&gt;&lt;url&gt;file://C:\Users\por083\Documents\EndNote\20170808-LP-Lib.Data\PDF\RT_2016_Annual_report.pdf&lt;/url&gt;&lt;/pdf-urls&gt;&lt;/urls&gt;&lt;/record&gt;&lt;/Cite&gt;&lt;/EndNote&gt;</w:instrText>
      </w:r>
      <w:r>
        <w:rPr>
          <w:rFonts w:asciiTheme="minorHAnsi" w:eastAsia="Times New Roman" w:hAnsiTheme="minorHAnsi"/>
          <w:color w:val="auto"/>
          <w:szCs w:val="24"/>
          <w:lang w:eastAsia="en-US"/>
        </w:rPr>
        <w:fldChar w:fldCharType="separate"/>
      </w:r>
      <w:r w:rsidR="000F5F6E">
        <w:rPr>
          <w:rFonts w:asciiTheme="minorHAnsi" w:eastAsia="Times New Roman" w:hAnsiTheme="minorHAnsi"/>
          <w:noProof/>
          <w:color w:val="auto"/>
          <w:szCs w:val="24"/>
          <w:lang w:eastAsia="en-US"/>
        </w:rPr>
        <w:t>(Rio Tinto, 2016)</w:t>
      </w:r>
      <w:r>
        <w:rPr>
          <w:rFonts w:asciiTheme="minorHAnsi" w:eastAsia="Times New Roman" w:hAnsiTheme="minorHAnsi"/>
          <w:color w:val="auto"/>
          <w:szCs w:val="24"/>
          <w:lang w:eastAsia="en-US"/>
        </w:rPr>
        <w:fldChar w:fldCharType="end"/>
      </w:r>
      <w:r>
        <w:rPr>
          <w:rFonts w:asciiTheme="minorHAnsi" w:eastAsia="Times New Roman" w:hAnsiTheme="minorHAnsi"/>
          <w:color w:val="auto"/>
          <w:szCs w:val="24"/>
          <w:lang w:eastAsia="en-US"/>
        </w:rPr>
        <w:t>. Mining site operations automation systems for surface mines are expanding: Rio</w:t>
      </w:r>
      <w:r w:rsidR="000132C1">
        <w:rPr>
          <w:rFonts w:asciiTheme="minorHAnsi" w:eastAsia="Times New Roman" w:hAnsiTheme="minorHAnsi"/>
          <w:color w:val="auto"/>
          <w:szCs w:val="24"/>
          <w:lang w:eastAsia="en-US"/>
        </w:rPr>
        <w:t xml:space="preserve"> </w:t>
      </w:r>
      <w:r>
        <w:rPr>
          <w:rFonts w:asciiTheme="minorHAnsi" w:eastAsia="Times New Roman" w:hAnsiTheme="minorHAnsi"/>
          <w:color w:val="auto"/>
          <w:szCs w:val="24"/>
          <w:lang w:eastAsia="en-US"/>
        </w:rPr>
        <w:t xml:space="preserve">Tinto operates orebody 3D visualisation software within its Mine Automation System at 85% of surface mines </w:t>
      </w:r>
      <w:r>
        <w:rPr>
          <w:rFonts w:asciiTheme="minorHAnsi" w:eastAsia="Times New Roman" w:hAnsiTheme="minorHAnsi"/>
          <w:color w:val="auto"/>
          <w:szCs w:val="24"/>
          <w:lang w:eastAsia="en-US"/>
        </w:rPr>
        <w:fldChar w:fldCharType="begin"/>
      </w:r>
      <w:r w:rsidR="000F5F6E">
        <w:rPr>
          <w:rFonts w:asciiTheme="minorHAnsi" w:eastAsia="Times New Roman" w:hAnsiTheme="minorHAnsi"/>
          <w:color w:val="auto"/>
          <w:szCs w:val="24"/>
          <w:lang w:eastAsia="en-US"/>
        </w:rPr>
        <w:instrText xml:space="preserve"> ADDIN EN.CITE &lt;EndNote&gt;&lt;Cite&gt;&lt;Author&gt;Tinto&lt;/Author&gt;&lt;Year&gt;2016&lt;/Year&gt;&lt;RecNum&gt;3138&lt;/RecNum&gt;&lt;DisplayText&gt;(Rio Tinto, 2016)&lt;/DisplayText&gt;&lt;record&gt;&lt;rec-number&gt;3138&lt;/rec-number&gt;&lt;foreign-keys&gt;&lt;key app="EN" db-id="vzav25azvd0fxjextfzvax229ff0apaprtda" timestamp="1508730975"&gt;3138&lt;/key&gt;&lt;/foreign-keys&gt;&lt;ref-type name="Report"&gt;27&lt;/ref-type&gt;&lt;contributors&gt;&lt;authors&gt;&lt;author&gt;Rio Tinto,&lt;/author&gt;&lt;/authors&gt;&lt;/contributors&gt;&lt;titles&gt;&lt;title&gt;Annual report&lt;/title&gt;&lt;/titles&gt;&lt;dates&gt;&lt;year&gt;2016&lt;/year&gt;&lt;/dates&gt;&lt;urls&gt;&lt;related-urls&gt;&lt;url&gt;http://www.riotinto.com/documents/RT_2016_Annual_report.pdf&lt;/url&gt;&lt;/related-urls&gt;&lt;pdf-urls&gt;&lt;url&gt;file://C:\Users\por083\Documents\EndNote\20170808-LP-Lib.Data\PDF\RT_2016_Annual_report.pdf&lt;/url&gt;&lt;/pdf-urls&gt;&lt;/urls&gt;&lt;/record&gt;&lt;/Cite&gt;&lt;/EndNote&gt;</w:instrText>
      </w:r>
      <w:r>
        <w:rPr>
          <w:rFonts w:asciiTheme="minorHAnsi" w:eastAsia="Times New Roman" w:hAnsiTheme="minorHAnsi"/>
          <w:color w:val="auto"/>
          <w:szCs w:val="24"/>
          <w:lang w:eastAsia="en-US"/>
        </w:rPr>
        <w:fldChar w:fldCharType="separate"/>
      </w:r>
      <w:r w:rsidR="000F5F6E">
        <w:rPr>
          <w:rFonts w:asciiTheme="minorHAnsi" w:eastAsia="Times New Roman" w:hAnsiTheme="minorHAnsi"/>
          <w:noProof/>
          <w:color w:val="auto"/>
          <w:szCs w:val="24"/>
          <w:lang w:eastAsia="en-US"/>
        </w:rPr>
        <w:t>(Rio Tinto, 2016)</w:t>
      </w:r>
      <w:r>
        <w:rPr>
          <w:rFonts w:asciiTheme="minorHAnsi" w:eastAsia="Times New Roman" w:hAnsiTheme="minorHAnsi"/>
          <w:color w:val="auto"/>
          <w:szCs w:val="24"/>
          <w:lang w:eastAsia="en-US"/>
        </w:rPr>
        <w:fldChar w:fldCharType="end"/>
      </w:r>
      <w:r>
        <w:rPr>
          <w:rFonts w:asciiTheme="minorHAnsi" w:eastAsia="Times New Roman" w:hAnsiTheme="minorHAnsi"/>
          <w:color w:val="auto"/>
          <w:szCs w:val="24"/>
          <w:lang w:eastAsia="en-US"/>
        </w:rPr>
        <w:t>. Rio</w:t>
      </w:r>
      <w:r w:rsidR="000132C1">
        <w:rPr>
          <w:rFonts w:asciiTheme="minorHAnsi" w:eastAsia="Times New Roman" w:hAnsiTheme="minorHAnsi"/>
          <w:color w:val="auto"/>
          <w:szCs w:val="24"/>
          <w:lang w:eastAsia="en-US"/>
        </w:rPr>
        <w:t xml:space="preserve"> </w:t>
      </w:r>
      <w:r>
        <w:rPr>
          <w:rFonts w:asciiTheme="minorHAnsi" w:eastAsia="Times New Roman" w:hAnsiTheme="minorHAnsi"/>
          <w:color w:val="auto"/>
          <w:szCs w:val="24"/>
          <w:lang w:eastAsia="en-US"/>
        </w:rPr>
        <w:t xml:space="preserve">Tinto’s iron ore operations have also implemented an automated rail in the Pilbara, expected to run in full autonomous mode from </w:t>
      </w:r>
      <w:r w:rsidR="009E65AA">
        <w:rPr>
          <w:rFonts w:asciiTheme="minorHAnsi" w:eastAsia="Times New Roman" w:hAnsiTheme="minorHAnsi"/>
          <w:color w:val="auto"/>
          <w:szCs w:val="24"/>
          <w:lang w:eastAsia="en-US"/>
        </w:rPr>
        <w:t xml:space="preserve">the </w:t>
      </w:r>
      <w:r>
        <w:rPr>
          <w:rFonts w:asciiTheme="minorHAnsi" w:eastAsia="Times New Roman" w:hAnsiTheme="minorHAnsi"/>
          <w:color w:val="auto"/>
          <w:szCs w:val="24"/>
          <w:lang w:eastAsia="en-US"/>
        </w:rPr>
        <w:t>end of 2018.</w:t>
      </w:r>
      <w:r>
        <w:rPr>
          <w:rStyle w:val="FootnoteReference"/>
          <w:rFonts w:asciiTheme="minorHAnsi" w:eastAsia="Times New Roman" w:hAnsiTheme="minorHAnsi"/>
          <w:color w:val="auto"/>
          <w:szCs w:val="24"/>
          <w:lang w:eastAsia="en-US"/>
        </w:rPr>
        <w:footnoteReference w:id="17"/>
      </w:r>
      <w:r w:rsidR="0013514C" w:rsidRPr="0013514C">
        <w:rPr>
          <w:rFonts w:asciiTheme="minorHAnsi" w:eastAsia="Times New Roman" w:hAnsiTheme="minorHAnsi"/>
          <w:color w:val="auto"/>
          <w:szCs w:val="24"/>
          <w:lang w:eastAsia="en-US"/>
        </w:rPr>
        <w:t xml:space="preserve"> </w:t>
      </w:r>
      <w:r w:rsidR="00231B40">
        <w:rPr>
          <w:rFonts w:asciiTheme="minorHAnsi" w:eastAsia="Times New Roman" w:hAnsiTheme="minorHAnsi"/>
          <w:color w:val="auto"/>
          <w:szCs w:val="24"/>
          <w:lang w:eastAsia="en-US"/>
        </w:rPr>
        <w:t>These changes can signal further decreases in personnel may occur in this company and others. Nonetheless, for the broader economy, r</w:t>
      </w:r>
      <w:r w:rsidR="0013514C">
        <w:rPr>
          <w:rFonts w:asciiTheme="minorHAnsi" w:eastAsia="Times New Roman" w:hAnsiTheme="minorHAnsi"/>
          <w:color w:val="auto"/>
          <w:szCs w:val="24"/>
          <w:lang w:eastAsia="en-US"/>
        </w:rPr>
        <w:t>educed operation</w:t>
      </w:r>
      <w:r w:rsidR="009E65AA">
        <w:rPr>
          <w:rFonts w:asciiTheme="minorHAnsi" w:eastAsia="Times New Roman" w:hAnsiTheme="minorHAnsi"/>
          <w:color w:val="auto"/>
          <w:szCs w:val="24"/>
          <w:lang w:eastAsia="en-US"/>
        </w:rPr>
        <w:t>al</w:t>
      </w:r>
      <w:r w:rsidR="0013514C">
        <w:rPr>
          <w:rFonts w:asciiTheme="minorHAnsi" w:eastAsia="Times New Roman" w:hAnsiTheme="minorHAnsi"/>
          <w:color w:val="auto"/>
          <w:szCs w:val="24"/>
          <w:lang w:eastAsia="en-US"/>
        </w:rPr>
        <w:t xml:space="preserve"> costs</w:t>
      </w:r>
      <w:r w:rsidR="009E65AA">
        <w:rPr>
          <w:rFonts w:asciiTheme="minorHAnsi" w:eastAsia="Times New Roman" w:hAnsiTheme="minorHAnsi"/>
          <w:color w:val="auto"/>
          <w:szCs w:val="24"/>
          <w:lang w:eastAsia="en-US"/>
        </w:rPr>
        <w:t>,</w:t>
      </w:r>
      <w:r w:rsidR="0013514C">
        <w:rPr>
          <w:rFonts w:asciiTheme="minorHAnsi" w:eastAsia="Times New Roman" w:hAnsiTheme="minorHAnsi"/>
          <w:color w:val="auto"/>
          <w:szCs w:val="24"/>
          <w:lang w:eastAsia="en-US"/>
        </w:rPr>
        <w:t xml:space="preserve"> together with a highly educated workforce</w:t>
      </w:r>
      <w:r w:rsidR="009E65AA">
        <w:rPr>
          <w:rFonts w:asciiTheme="minorHAnsi" w:eastAsia="Times New Roman" w:hAnsiTheme="minorHAnsi"/>
          <w:color w:val="auto"/>
          <w:szCs w:val="24"/>
          <w:lang w:eastAsia="en-US"/>
        </w:rPr>
        <w:t>,</w:t>
      </w:r>
      <w:r w:rsidR="0013514C">
        <w:rPr>
          <w:rFonts w:asciiTheme="minorHAnsi" w:eastAsia="Times New Roman" w:hAnsiTheme="minorHAnsi"/>
          <w:color w:val="auto"/>
          <w:szCs w:val="24"/>
          <w:lang w:eastAsia="en-US"/>
        </w:rPr>
        <w:t xml:space="preserve"> do have the potential to lift Australia’s competitiveness on the global mining industry stage.</w:t>
      </w:r>
    </w:p>
    <w:p w14:paraId="659B00F3" w14:textId="0FF3B44D" w:rsidR="00536578" w:rsidRDefault="00893E57" w:rsidP="002A7C7B">
      <w:pPr>
        <w:pStyle w:val="BodyText"/>
        <w:jc w:val="both"/>
        <w:rPr>
          <w:rFonts w:asciiTheme="minorHAnsi" w:eastAsia="Times New Roman" w:hAnsiTheme="minorHAnsi"/>
          <w:color w:val="auto"/>
          <w:szCs w:val="24"/>
          <w:lang w:eastAsia="en-US"/>
        </w:rPr>
      </w:pPr>
      <w:r>
        <w:rPr>
          <w:noProof/>
        </w:rPr>
        <mc:AlternateContent>
          <mc:Choice Requires="wps">
            <w:drawing>
              <wp:anchor distT="91440" distB="91440" distL="114300" distR="114300" simplePos="0" relativeHeight="251821568" behindDoc="0" locked="0" layoutInCell="1" allowOverlap="1" wp14:anchorId="75294820" wp14:editId="2AB24CCC">
                <wp:simplePos x="0" y="0"/>
                <wp:positionH relativeFrom="margin">
                  <wp:posOffset>-163830</wp:posOffset>
                </wp:positionH>
                <wp:positionV relativeFrom="paragraph">
                  <wp:posOffset>897890</wp:posOffset>
                </wp:positionV>
                <wp:extent cx="3120390" cy="1403985"/>
                <wp:effectExtent l="0" t="0" r="0" b="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0390" cy="1403985"/>
                        </a:xfrm>
                        <a:prstGeom prst="rect">
                          <a:avLst/>
                        </a:prstGeom>
                        <a:noFill/>
                        <a:ln w="9525">
                          <a:noFill/>
                          <a:miter lim="800000"/>
                          <a:headEnd/>
                          <a:tailEnd/>
                        </a:ln>
                      </wps:spPr>
                      <wps:txbx>
                        <w:txbxContent>
                          <w:p w14:paraId="62C5CDC4" w14:textId="5973BD21" w:rsidR="00B5448A" w:rsidRPr="00E64C6A" w:rsidRDefault="00B5448A" w:rsidP="001029F5">
                            <w:pPr>
                              <w:pBdr>
                                <w:top w:val="single" w:sz="24" w:space="8" w:color="00A9CE" w:themeColor="accent1"/>
                                <w:bottom w:val="single" w:sz="24" w:space="8" w:color="00A9CE" w:themeColor="accent1"/>
                              </w:pBdr>
                              <w:spacing w:after="0"/>
                              <w:rPr>
                                <w:i/>
                                <w:iCs/>
                                <w:color w:val="00A9CE" w:themeColor="accent1"/>
                                <w:sz w:val="24"/>
                                <w:szCs w:val="24"/>
                              </w:rPr>
                            </w:pPr>
                            <w:r w:rsidRPr="00BF2B7D">
                              <w:rPr>
                                <w:i/>
                                <w:iCs/>
                                <w:color w:val="00A9CE" w:themeColor="accent1"/>
                                <w:sz w:val="24"/>
                                <w:szCs w:val="24"/>
                              </w:rPr>
                              <w:t>Australian mining businesses are sources of innovation which can be entirely original on the world stage, but this innovation can occur in a relatively small number of companies.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294820" id="_x0000_s1055" type="#_x0000_t202" style="position:absolute;left:0;text-align:left;margin-left:-12.9pt;margin-top:70.7pt;width:245.7pt;height:110.55pt;z-index:251821568;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" filled="f" stroked="f">
                <v:textbox style="mso-fit-shape-to-text:t">
                  <w:txbxContent>
                    <w:p w14:paraId="62C5CDC4" w14:textId="5973BD21" w:rsidR="00B5448A" w:rsidRPr="00E64C6A" w:rsidRDefault="00B5448A" w:rsidP="001029F5">
                      <w:pPr>
                        <w:pBdr>
                          <w:top w:val="single" w:sz="24" w:space="8" w:color="00A9CE" w:themeColor="accent1"/>
                          <w:bottom w:val="single" w:sz="24" w:space="8" w:color="00A9CE" w:themeColor="accent1"/>
                        </w:pBdr>
                        <w:spacing w:after="0"/>
                        <w:rPr>
                          <w:i/>
                          <w:iCs/>
                          <w:color w:val="00A9CE" w:themeColor="accent1"/>
                          <w:sz w:val="24"/>
                          <w:szCs w:val="24"/>
                        </w:rPr>
                      </w:pPr>
                      <w:r w:rsidRPr="00BF2B7D">
                        <w:rPr>
                          <w:i/>
                          <w:iCs/>
                          <w:color w:val="00A9CE" w:themeColor="accent1"/>
                          <w:sz w:val="24"/>
                          <w:szCs w:val="24"/>
                        </w:rPr>
                        <w:t>Australian mining businesses are sources of innovation which can be entirely original on the world stage, but this innovation can occur in a relatively small number of companies.</w:t>
                      </w:r>
                    </w:p>
                  </w:txbxContent>
                </v:textbox>
                <w10:wrap type="square" anchorx="margin"/>
              </v:shape>
            </w:pict>
          </mc:Fallback>
        </mc:AlternateContent>
      </w:r>
      <w:r>
        <w:rPr>
          <w:rFonts w:asciiTheme="minorHAnsi" w:eastAsia="Times New Roman" w:hAnsiTheme="minorHAnsi"/>
          <w:color w:val="auto"/>
          <w:szCs w:val="24"/>
          <w:lang w:eastAsia="en-US"/>
        </w:rPr>
        <w:t>Australian m</w:t>
      </w:r>
      <w:r w:rsidR="003351C8">
        <w:rPr>
          <w:rFonts w:asciiTheme="minorHAnsi" w:eastAsia="Times New Roman" w:hAnsiTheme="minorHAnsi"/>
          <w:color w:val="auto"/>
          <w:szCs w:val="24"/>
          <w:lang w:eastAsia="en-US"/>
        </w:rPr>
        <w:t>ining</w:t>
      </w:r>
      <w:r w:rsidR="00F22B1D">
        <w:rPr>
          <w:rFonts w:asciiTheme="minorHAnsi" w:eastAsia="Times New Roman" w:hAnsiTheme="minorHAnsi"/>
          <w:color w:val="auto"/>
          <w:szCs w:val="24"/>
          <w:lang w:eastAsia="en-US"/>
        </w:rPr>
        <w:t xml:space="preserve"> businesses are s</w:t>
      </w:r>
      <w:r w:rsidR="003351C8">
        <w:rPr>
          <w:rFonts w:asciiTheme="minorHAnsi" w:eastAsia="Times New Roman" w:hAnsiTheme="minorHAnsi"/>
          <w:color w:val="auto"/>
          <w:szCs w:val="24"/>
          <w:lang w:eastAsia="en-US"/>
        </w:rPr>
        <w:t xml:space="preserve">ources of innovation which can be </w:t>
      </w:r>
      <w:r w:rsidR="00F22B1D">
        <w:rPr>
          <w:rFonts w:asciiTheme="minorHAnsi" w:eastAsia="Times New Roman" w:hAnsiTheme="minorHAnsi"/>
          <w:color w:val="auto"/>
          <w:szCs w:val="24"/>
          <w:lang w:eastAsia="en-US"/>
        </w:rPr>
        <w:t xml:space="preserve">entirely </w:t>
      </w:r>
      <w:r>
        <w:rPr>
          <w:rFonts w:asciiTheme="minorHAnsi" w:eastAsia="Times New Roman" w:hAnsiTheme="minorHAnsi"/>
          <w:color w:val="auto"/>
          <w:szCs w:val="24"/>
          <w:lang w:eastAsia="en-US"/>
        </w:rPr>
        <w:t>original</w:t>
      </w:r>
      <w:r w:rsidR="00F22B1D">
        <w:rPr>
          <w:rFonts w:asciiTheme="minorHAnsi" w:eastAsia="Times New Roman" w:hAnsiTheme="minorHAnsi"/>
          <w:color w:val="auto"/>
          <w:szCs w:val="24"/>
          <w:lang w:eastAsia="en-US"/>
        </w:rPr>
        <w:t xml:space="preserve"> on the world stage</w:t>
      </w:r>
      <w:r w:rsidR="00031E11">
        <w:rPr>
          <w:rFonts w:asciiTheme="minorHAnsi" w:eastAsia="Times New Roman" w:hAnsiTheme="minorHAnsi"/>
          <w:color w:val="auto"/>
          <w:szCs w:val="24"/>
          <w:lang w:eastAsia="en-US"/>
        </w:rPr>
        <w:t>.</w:t>
      </w:r>
      <w:r w:rsidR="00274C18">
        <w:rPr>
          <w:rFonts w:asciiTheme="minorHAnsi" w:eastAsia="Times New Roman" w:hAnsiTheme="minorHAnsi"/>
          <w:color w:val="auto"/>
          <w:szCs w:val="24"/>
          <w:lang w:eastAsia="en-US"/>
        </w:rPr>
        <w:t xml:space="preserve"> </w:t>
      </w:r>
      <w:r w:rsidR="004E7353">
        <w:rPr>
          <w:rFonts w:asciiTheme="minorHAnsi" w:eastAsia="Times New Roman" w:hAnsiTheme="minorHAnsi"/>
          <w:color w:val="auto"/>
          <w:szCs w:val="24"/>
          <w:lang w:eastAsia="en-US"/>
        </w:rPr>
        <w:t>I</w:t>
      </w:r>
      <w:r w:rsidR="00F22B1D">
        <w:rPr>
          <w:rFonts w:asciiTheme="minorHAnsi" w:eastAsia="Times New Roman" w:hAnsiTheme="minorHAnsi"/>
          <w:color w:val="auto"/>
          <w:szCs w:val="24"/>
          <w:lang w:eastAsia="en-US"/>
        </w:rPr>
        <w:t>n 2014</w:t>
      </w:r>
      <w:r w:rsidR="00EA5DB3">
        <w:rPr>
          <w:rFonts w:asciiTheme="minorHAnsi" w:eastAsia="Times New Roman" w:hAnsiTheme="minorHAnsi"/>
          <w:color w:val="auto"/>
          <w:szCs w:val="24"/>
          <w:lang w:eastAsia="en-US"/>
        </w:rPr>
        <w:t>–</w:t>
      </w:r>
      <w:r w:rsidR="00F22B1D">
        <w:rPr>
          <w:rFonts w:asciiTheme="minorHAnsi" w:eastAsia="Times New Roman" w:hAnsiTheme="minorHAnsi"/>
          <w:color w:val="auto"/>
          <w:szCs w:val="24"/>
          <w:lang w:eastAsia="en-US"/>
        </w:rPr>
        <w:t xml:space="preserve">15 </w:t>
      </w:r>
      <w:r w:rsidR="004E7353">
        <w:rPr>
          <w:rFonts w:asciiTheme="minorHAnsi" w:eastAsia="Times New Roman" w:hAnsiTheme="minorHAnsi"/>
          <w:color w:val="auto"/>
          <w:szCs w:val="24"/>
          <w:lang w:eastAsia="en-US"/>
        </w:rPr>
        <w:t xml:space="preserve">mining </w:t>
      </w:r>
      <w:r w:rsidR="00F22B1D">
        <w:rPr>
          <w:rFonts w:asciiTheme="minorHAnsi" w:eastAsia="Times New Roman" w:hAnsiTheme="minorHAnsi"/>
          <w:color w:val="auto"/>
          <w:szCs w:val="24"/>
          <w:lang w:eastAsia="en-US"/>
        </w:rPr>
        <w:t xml:space="preserve">was the industry sector with the highest proportion of businesses, 23.8%, which declared </w:t>
      </w:r>
      <w:r w:rsidR="004E7353">
        <w:rPr>
          <w:rFonts w:asciiTheme="minorHAnsi" w:eastAsia="Times New Roman" w:hAnsiTheme="minorHAnsi"/>
          <w:color w:val="auto"/>
          <w:szCs w:val="24"/>
          <w:lang w:eastAsia="en-US"/>
        </w:rPr>
        <w:t xml:space="preserve">they </w:t>
      </w:r>
      <w:r w:rsidR="00F22B1D">
        <w:rPr>
          <w:rFonts w:asciiTheme="minorHAnsi" w:eastAsia="Times New Roman" w:hAnsiTheme="minorHAnsi"/>
          <w:color w:val="auto"/>
          <w:szCs w:val="24"/>
          <w:lang w:eastAsia="en-US"/>
        </w:rPr>
        <w:t>ha</w:t>
      </w:r>
      <w:r w:rsidR="004E7353">
        <w:rPr>
          <w:rFonts w:asciiTheme="minorHAnsi" w:eastAsia="Times New Roman" w:hAnsiTheme="minorHAnsi"/>
          <w:color w:val="auto"/>
          <w:szCs w:val="24"/>
          <w:lang w:eastAsia="en-US"/>
        </w:rPr>
        <w:t>d</w:t>
      </w:r>
      <w:r w:rsidR="00F22B1D">
        <w:rPr>
          <w:rFonts w:asciiTheme="minorHAnsi" w:eastAsia="Times New Roman" w:hAnsiTheme="minorHAnsi"/>
          <w:color w:val="auto"/>
          <w:szCs w:val="24"/>
          <w:lang w:eastAsia="en-US"/>
        </w:rPr>
        <w:t xml:space="preserve"> introduced new or significantly improved goods or services </w:t>
      </w:r>
      <w:r w:rsidR="004138EF">
        <w:rPr>
          <w:rFonts w:asciiTheme="minorHAnsi" w:eastAsia="Times New Roman" w:hAnsiTheme="minorHAnsi"/>
          <w:color w:val="auto"/>
          <w:szCs w:val="24"/>
          <w:lang w:eastAsia="en-US"/>
        </w:rPr>
        <w:t xml:space="preserve">which were </w:t>
      </w:r>
      <w:r w:rsidR="00F22B1D">
        <w:rPr>
          <w:rFonts w:asciiTheme="minorHAnsi" w:eastAsia="Times New Roman" w:hAnsiTheme="minorHAnsi"/>
          <w:color w:val="auto"/>
          <w:szCs w:val="24"/>
          <w:lang w:eastAsia="en-US"/>
        </w:rPr>
        <w:t xml:space="preserve">new internationally </w:t>
      </w:r>
      <w:r w:rsidR="00F22B1D" w:rsidRPr="00AB1D45">
        <w:rPr>
          <w:rFonts w:asciiTheme="minorHAnsi" w:eastAsia="Times New Roman" w:hAnsiTheme="minorHAnsi"/>
          <w:color w:val="auto"/>
          <w:szCs w:val="24"/>
          <w:lang w:eastAsia="en-US"/>
        </w:rPr>
        <w:fldChar w:fldCharType="begin"/>
      </w:r>
      <w:r w:rsidR="00F22B1D" w:rsidRPr="00AB1D45">
        <w:rPr>
          <w:rFonts w:asciiTheme="minorHAnsi" w:eastAsia="Times New Roman" w:hAnsiTheme="minorHAnsi"/>
          <w:color w:val="auto"/>
          <w:szCs w:val="24"/>
          <w:lang w:eastAsia="en-US"/>
        </w:rPr>
        <w:instrText xml:space="preserve"> ADDIN EN.CITE &lt;EndNote&gt;&lt;Cite&gt;&lt;Author&gt;Australian Bureau of Statistics&lt;/Author&gt;&lt;Year&gt;2016&lt;/Year&gt;&lt;RecNum&gt;3109&lt;/RecNum&gt;&lt;DisplayText&gt;(Australian Bureau of Statistics, 2016b)&lt;/DisplayText&gt;&lt;record&gt;&lt;rec-number&gt;3109&lt;/rec-number&gt;&lt;foreign-keys&gt;&lt;key app="EN" db-id="vzav25azvd0fxjextfzvax229ff0apaprtda" timestamp="1507616230"&gt;3109&lt;/key&gt;&lt;/foreign-keys&gt;&lt;ref-type name="Dataset"&gt;59&lt;/ref-type&gt;&lt;contributors&gt;&lt;authors&gt;&lt;author&gt;Australian Bureau of Statistics,&lt;/author&gt;&lt;/authors&gt;&lt;secondary-authors&gt;&lt;author&gt;Australian Bureau of Statistics,&lt;/author&gt;&lt;/secondary-authors&gt;&lt;/contributors&gt;&lt;titles&gt;&lt;title&gt;8158.0 - Innovation in Australian Business, 2014-15&lt;/title&gt;&lt;/titles&gt;&lt;edition&gt;July 2016&lt;/edition&gt;&lt;dates&gt;&lt;year&gt;2016&lt;/year&gt;&lt;/dates&gt;&lt;pub-location&gt;Canberra&lt;/pub-location&gt;&lt;publisher&gt;Australian Bureau of Statistics&lt;/publisher&gt;&lt;urls&gt;&lt;related-urls&gt;&lt;url&gt;http://www.abs.gov.au/AUSSTATS/abs@.nsf/productsbyCatalogue/06B08353E0EABA96CA25712A00161216?OpenDocument&lt;/url&gt;&lt;/related-urls&gt;&lt;/urls&gt;&lt;access-date&gt;01.10.2017&lt;/access-date&gt;&lt;/record&gt;&lt;/Cite&gt;&lt;/EndNote&gt;</w:instrText>
      </w:r>
      <w:r w:rsidR="00F22B1D" w:rsidRPr="00AB1D45">
        <w:rPr>
          <w:rFonts w:asciiTheme="minorHAnsi" w:eastAsia="Times New Roman" w:hAnsiTheme="minorHAnsi"/>
          <w:color w:val="auto"/>
          <w:szCs w:val="24"/>
          <w:lang w:eastAsia="en-US"/>
        </w:rPr>
        <w:fldChar w:fldCharType="separate"/>
      </w:r>
      <w:r w:rsidR="00F22B1D" w:rsidRPr="00AB1D45">
        <w:rPr>
          <w:rFonts w:asciiTheme="minorHAnsi" w:eastAsia="Times New Roman" w:hAnsiTheme="minorHAnsi"/>
          <w:noProof/>
          <w:color w:val="auto"/>
          <w:szCs w:val="24"/>
          <w:lang w:eastAsia="en-US"/>
        </w:rPr>
        <w:t>(Australian Bureau of Statistics, 2016b)</w:t>
      </w:r>
      <w:r w:rsidR="00F22B1D" w:rsidRPr="00AB1D45">
        <w:rPr>
          <w:rFonts w:asciiTheme="minorHAnsi" w:eastAsia="Times New Roman" w:hAnsiTheme="minorHAnsi"/>
          <w:color w:val="auto"/>
          <w:szCs w:val="24"/>
          <w:lang w:eastAsia="en-US"/>
        </w:rPr>
        <w:fldChar w:fldCharType="end"/>
      </w:r>
      <w:r w:rsidR="00F22B1D" w:rsidRPr="00AB1D45">
        <w:rPr>
          <w:rFonts w:asciiTheme="minorHAnsi" w:eastAsia="Times New Roman" w:hAnsiTheme="minorHAnsi"/>
          <w:color w:val="auto"/>
          <w:szCs w:val="24"/>
          <w:lang w:eastAsia="en-US"/>
        </w:rPr>
        <w:t xml:space="preserve">. </w:t>
      </w:r>
      <w:r w:rsidR="00031E11">
        <w:rPr>
          <w:rFonts w:asciiTheme="minorHAnsi" w:eastAsia="Times New Roman" w:hAnsiTheme="minorHAnsi"/>
          <w:color w:val="auto"/>
          <w:szCs w:val="24"/>
          <w:lang w:eastAsia="en-US"/>
        </w:rPr>
        <w:t xml:space="preserve">Still, this innovation tends to occur in a relatively small number of companies. </w:t>
      </w:r>
      <w:r w:rsidR="00F35839" w:rsidRPr="00AB1D45">
        <w:rPr>
          <w:rFonts w:asciiTheme="minorHAnsi" w:eastAsia="Times New Roman" w:hAnsiTheme="minorHAnsi"/>
          <w:color w:val="auto"/>
          <w:szCs w:val="24"/>
          <w:lang w:eastAsia="en-US"/>
        </w:rPr>
        <w:t>New g</w:t>
      </w:r>
      <w:r w:rsidR="003B5781" w:rsidRPr="00AB1D45">
        <w:rPr>
          <w:rFonts w:asciiTheme="minorHAnsi" w:eastAsia="Times New Roman" w:hAnsiTheme="minorHAnsi"/>
          <w:color w:val="auto"/>
          <w:szCs w:val="24"/>
          <w:lang w:eastAsia="en-US"/>
        </w:rPr>
        <w:t xml:space="preserve">oods and services </w:t>
      </w:r>
      <w:r w:rsidR="00F35839" w:rsidRPr="00AB1D45">
        <w:rPr>
          <w:rFonts w:asciiTheme="minorHAnsi" w:eastAsia="Times New Roman" w:hAnsiTheme="minorHAnsi"/>
          <w:color w:val="auto"/>
          <w:szCs w:val="24"/>
          <w:lang w:eastAsia="en-US"/>
        </w:rPr>
        <w:t>originate i</w:t>
      </w:r>
      <w:r w:rsidR="00011070" w:rsidRPr="00AB1D45">
        <w:rPr>
          <w:rFonts w:asciiTheme="minorHAnsi" w:eastAsia="Times New Roman" w:hAnsiTheme="minorHAnsi"/>
          <w:color w:val="auto"/>
          <w:szCs w:val="24"/>
          <w:lang w:eastAsia="en-US"/>
        </w:rPr>
        <w:t xml:space="preserve">n a </w:t>
      </w:r>
      <w:r w:rsidR="003B5781" w:rsidRPr="00AB1D45">
        <w:rPr>
          <w:rFonts w:asciiTheme="minorHAnsi" w:eastAsia="Times New Roman" w:hAnsiTheme="minorHAnsi"/>
          <w:color w:val="auto"/>
          <w:szCs w:val="24"/>
          <w:lang w:eastAsia="en-US"/>
        </w:rPr>
        <w:t>relatively small percentage of bus</w:t>
      </w:r>
      <w:r w:rsidR="00011070" w:rsidRPr="00AB1D45">
        <w:rPr>
          <w:rFonts w:asciiTheme="minorHAnsi" w:eastAsia="Times New Roman" w:hAnsiTheme="minorHAnsi"/>
          <w:color w:val="auto"/>
          <w:szCs w:val="24"/>
          <w:lang w:eastAsia="en-US"/>
        </w:rPr>
        <w:t>inesses</w:t>
      </w:r>
      <w:r w:rsidR="003B5781" w:rsidRPr="00AB1D45">
        <w:rPr>
          <w:rFonts w:asciiTheme="minorHAnsi" w:eastAsia="Times New Roman" w:hAnsiTheme="minorHAnsi"/>
          <w:color w:val="auto"/>
          <w:szCs w:val="24"/>
          <w:lang w:eastAsia="en-US"/>
        </w:rPr>
        <w:t xml:space="preserve"> surveyed</w:t>
      </w:r>
      <w:r w:rsidR="006333E5" w:rsidRPr="00AB1D45">
        <w:rPr>
          <w:rFonts w:asciiTheme="minorHAnsi" w:eastAsia="Times New Roman" w:hAnsiTheme="minorHAnsi"/>
          <w:color w:val="auto"/>
          <w:szCs w:val="24"/>
          <w:lang w:eastAsia="en-US"/>
        </w:rPr>
        <w:t xml:space="preserve">, 12.6% for </w:t>
      </w:r>
      <w:r w:rsidR="00B121AC" w:rsidRPr="00AB1D45">
        <w:rPr>
          <w:rFonts w:asciiTheme="minorHAnsi" w:eastAsia="Times New Roman" w:hAnsiTheme="minorHAnsi"/>
          <w:color w:val="auto"/>
          <w:szCs w:val="24"/>
          <w:lang w:eastAsia="en-US"/>
        </w:rPr>
        <w:t>2014</w:t>
      </w:r>
      <w:r w:rsidR="00EA5DB3">
        <w:rPr>
          <w:rFonts w:asciiTheme="minorHAnsi" w:eastAsia="Times New Roman" w:hAnsiTheme="minorHAnsi"/>
          <w:color w:val="auto"/>
          <w:szCs w:val="24"/>
          <w:lang w:eastAsia="en-US"/>
        </w:rPr>
        <w:t>–</w:t>
      </w:r>
      <w:r w:rsidR="00B121AC" w:rsidRPr="00AB1D45">
        <w:rPr>
          <w:rFonts w:asciiTheme="minorHAnsi" w:eastAsia="Times New Roman" w:hAnsiTheme="minorHAnsi"/>
          <w:color w:val="auto"/>
          <w:szCs w:val="24"/>
          <w:lang w:eastAsia="en-US"/>
        </w:rPr>
        <w:t>15</w:t>
      </w:r>
      <w:r w:rsidR="00011070" w:rsidRPr="00AB1D45">
        <w:rPr>
          <w:rFonts w:asciiTheme="minorHAnsi" w:eastAsia="Times New Roman" w:hAnsiTheme="minorHAnsi"/>
          <w:color w:val="auto"/>
          <w:szCs w:val="24"/>
          <w:lang w:eastAsia="en-US"/>
        </w:rPr>
        <w:t xml:space="preserve"> </w:t>
      </w:r>
      <w:r w:rsidR="00B3602B">
        <w:rPr>
          <w:rFonts w:asciiTheme="minorHAnsi" w:eastAsia="Times New Roman" w:hAnsiTheme="minorHAnsi"/>
          <w:color w:val="auto"/>
          <w:szCs w:val="24"/>
          <w:lang w:eastAsia="en-US"/>
        </w:rPr>
        <w:fldChar w:fldCharType="begin"/>
      </w:r>
      <w:r w:rsidR="00BF1876">
        <w:rPr>
          <w:rFonts w:asciiTheme="minorHAnsi" w:eastAsia="Times New Roman" w:hAnsiTheme="minorHAnsi"/>
          <w:color w:val="auto"/>
          <w:szCs w:val="24"/>
          <w:lang w:eastAsia="en-US"/>
        </w:rPr>
        <w:instrText xml:space="preserve"> ADDIN EN.CITE &lt;EndNote&gt;&lt;Cite&gt;&lt;Author&gt;Australian Bureau of Statistics&lt;/Author&gt;&lt;Year&gt;2016&lt;/Year&gt;&lt;RecNum&gt;3109&lt;/RecNum&gt;&lt;DisplayText&gt;(Australian Bureau of Statistics, 2016b)&lt;/DisplayText&gt;&lt;record&gt;&lt;rec-number&gt;3109&lt;/rec-number&gt;&lt;foreign-keys&gt;&lt;key app="EN" db-id="vzav25azvd0fxjextfzvax229ff0apaprtda" timestamp="1507616230"&gt;3109&lt;/key&gt;&lt;/foreign-keys&gt;&lt;ref-type name="Dataset"&gt;59&lt;/ref-type&gt;&lt;contributors&gt;&lt;authors&gt;&lt;author&gt;Australian Bureau of Statistics,&lt;/author&gt;&lt;/authors&gt;&lt;secondary-authors&gt;&lt;author&gt;Australian Bureau of Statistics,&lt;/author&gt;&lt;/secondary-authors&gt;&lt;/contributors&gt;&lt;titles&gt;&lt;title&gt;8158.0 - Innovation in Australian Business, 2014-15&lt;/title&gt;&lt;/titles&gt;&lt;edition&gt;July 2016&lt;/edition&gt;&lt;dates&gt;&lt;year&gt;2016&lt;/year&gt;&lt;/dates&gt;&lt;pub-location&gt;Canberra&lt;/pub-location&gt;&lt;publisher&gt;Australian Bureau of Statistics&lt;/publisher&gt;&lt;urls&gt;&lt;related-urls&gt;&lt;url&gt;http://www.abs.gov.au/AUSSTATS/abs@.nsf/productsbyCatalogue/06B08353E0EABA96CA25712A00161216?OpenDocument&lt;/url&gt;&lt;/related-urls&gt;&lt;/urls&gt;&lt;access-date&gt;01.10.2017&lt;/access-date&gt;&lt;/record&gt;&lt;/Cite&gt;&lt;/EndNote&gt;</w:instrText>
      </w:r>
      <w:r w:rsidR="00B3602B">
        <w:rPr>
          <w:rFonts w:asciiTheme="minorHAnsi" w:eastAsia="Times New Roman" w:hAnsiTheme="minorHAnsi"/>
          <w:color w:val="auto"/>
          <w:szCs w:val="24"/>
          <w:lang w:eastAsia="en-US"/>
        </w:rPr>
        <w:fldChar w:fldCharType="separate"/>
      </w:r>
      <w:r w:rsidR="00BF1876">
        <w:rPr>
          <w:rFonts w:asciiTheme="minorHAnsi" w:eastAsia="Times New Roman" w:hAnsiTheme="minorHAnsi"/>
          <w:noProof/>
          <w:color w:val="auto"/>
          <w:szCs w:val="24"/>
          <w:lang w:eastAsia="en-US"/>
        </w:rPr>
        <w:t>(Australian Bureau of Statistics, 2016b)</w:t>
      </w:r>
      <w:r w:rsidR="00B3602B">
        <w:rPr>
          <w:rFonts w:asciiTheme="minorHAnsi" w:eastAsia="Times New Roman" w:hAnsiTheme="minorHAnsi"/>
          <w:color w:val="auto"/>
          <w:szCs w:val="24"/>
          <w:lang w:eastAsia="en-US"/>
        </w:rPr>
        <w:fldChar w:fldCharType="end"/>
      </w:r>
      <w:r w:rsidR="00B3602B">
        <w:rPr>
          <w:rFonts w:asciiTheme="minorHAnsi" w:eastAsia="Times New Roman" w:hAnsiTheme="minorHAnsi"/>
          <w:color w:val="auto"/>
          <w:szCs w:val="24"/>
          <w:lang w:eastAsia="en-US"/>
        </w:rPr>
        <w:t>.</w:t>
      </w:r>
      <w:r w:rsidR="00536578" w:rsidRPr="00AB1D45">
        <w:rPr>
          <w:rStyle w:val="FootnoteReference"/>
          <w:rFonts w:asciiTheme="minorHAnsi" w:eastAsia="Times New Roman" w:hAnsiTheme="minorHAnsi"/>
          <w:color w:val="auto"/>
          <w:szCs w:val="24"/>
          <w:lang w:eastAsia="en-US"/>
        </w:rPr>
        <w:footnoteReference w:id="18"/>
      </w:r>
    </w:p>
    <w:p w14:paraId="037A00C2" w14:textId="57CC4ED4" w:rsidR="00084104" w:rsidRPr="00084104" w:rsidRDefault="00BF2B7D" w:rsidP="002A7C7B">
      <w:pPr>
        <w:pStyle w:val="BodyText"/>
        <w:jc w:val="both"/>
        <w:rPr>
          <w:rFonts w:asciiTheme="minorHAnsi" w:eastAsia="Times New Roman" w:hAnsiTheme="minorHAnsi"/>
          <w:b/>
          <w:color w:val="auto"/>
          <w:szCs w:val="24"/>
          <w:lang w:eastAsia="en-US"/>
        </w:rPr>
      </w:pPr>
      <w:r>
        <w:rPr>
          <w:rFonts w:asciiTheme="minorHAnsi" w:eastAsia="Times New Roman" w:hAnsiTheme="minorHAnsi"/>
          <w:color w:val="auto"/>
          <w:szCs w:val="24"/>
          <w:lang w:eastAsia="en-US"/>
        </w:rPr>
        <w:t xml:space="preserve">Innovation </w:t>
      </w:r>
      <w:r w:rsidRPr="00916B33">
        <w:rPr>
          <w:rFonts w:asciiTheme="minorHAnsi" w:eastAsia="Times New Roman" w:hAnsiTheme="minorHAnsi"/>
          <w:color w:val="auto"/>
          <w:szCs w:val="24"/>
          <w:lang w:eastAsia="en-US"/>
        </w:rPr>
        <w:t>benefit</w:t>
      </w:r>
      <w:r w:rsidR="00084104">
        <w:rPr>
          <w:rFonts w:asciiTheme="minorHAnsi" w:eastAsia="Times New Roman" w:hAnsiTheme="minorHAnsi"/>
          <w:color w:val="auto"/>
          <w:szCs w:val="24"/>
          <w:lang w:eastAsia="en-US"/>
        </w:rPr>
        <w:t>ed</w:t>
      </w:r>
      <w:r w:rsidRPr="00916B33">
        <w:rPr>
          <w:rFonts w:asciiTheme="minorHAnsi" w:eastAsia="Times New Roman" w:hAnsiTheme="minorHAnsi"/>
          <w:color w:val="auto"/>
          <w:szCs w:val="24"/>
          <w:lang w:eastAsia="en-US"/>
        </w:rPr>
        <w:t xml:space="preserve"> mining businesses</w:t>
      </w:r>
      <w:r w:rsidR="00084104">
        <w:rPr>
          <w:rFonts w:asciiTheme="minorHAnsi" w:eastAsia="Times New Roman" w:hAnsiTheme="minorHAnsi"/>
          <w:color w:val="auto"/>
          <w:szCs w:val="24"/>
          <w:lang w:eastAsia="en-US"/>
        </w:rPr>
        <w:t xml:space="preserve"> in 2014</w:t>
      </w:r>
      <w:r w:rsidR="00EA5DB3">
        <w:rPr>
          <w:rFonts w:asciiTheme="minorHAnsi" w:eastAsia="Times New Roman" w:hAnsiTheme="minorHAnsi"/>
          <w:color w:val="auto"/>
          <w:szCs w:val="24"/>
          <w:lang w:eastAsia="en-US"/>
        </w:rPr>
        <w:t>–</w:t>
      </w:r>
      <w:r w:rsidR="00084104">
        <w:rPr>
          <w:rFonts w:asciiTheme="minorHAnsi" w:eastAsia="Times New Roman" w:hAnsiTheme="minorHAnsi"/>
          <w:color w:val="auto"/>
          <w:szCs w:val="24"/>
          <w:lang w:eastAsia="en-US"/>
        </w:rPr>
        <w:t>15 most</w:t>
      </w:r>
      <w:r w:rsidRPr="00916B33">
        <w:rPr>
          <w:rFonts w:asciiTheme="minorHAnsi" w:eastAsia="Times New Roman" w:hAnsiTheme="minorHAnsi"/>
          <w:color w:val="auto"/>
          <w:szCs w:val="24"/>
          <w:lang w:eastAsia="en-US"/>
        </w:rPr>
        <w:t xml:space="preserve"> </w:t>
      </w:r>
      <w:r w:rsidR="00084104">
        <w:rPr>
          <w:rFonts w:asciiTheme="minorHAnsi" w:eastAsia="Times New Roman" w:hAnsiTheme="minorHAnsi"/>
          <w:color w:val="auto"/>
          <w:szCs w:val="24"/>
          <w:lang w:eastAsia="en-US"/>
        </w:rPr>
        <w:t>frequently in terms of increasing revenue and reduc</w:t>
      </w:r>
      <w:r w:rsidR="004E7353">
        <w:rPr>
          <w:rFonts w:asciiTheme="minorHAnsi" w:eastAsia="Times New Roman" w:hAnsiTheme="minorHAnsi"/>
          <w:color w:val="auto"/>
          <w:szCs w:val="24"/>
          <w:lang w:eastAsia="en-US"/>
        </w:rPr>
        <w:t>ing costs</w:t>
      </w:r>
      <w:r w:rsidR="00084104">
        <w:rPr>
          <w:rFonts w:asciiTheme="minorHAnsi" w:eastAsia="Times New Roman" w:hAnsiTheme="minorHAnsi"/>
          <w:color w:val="auto"/>
          <w:szCs w:val="24"/>
          <w:lang w:eastAsia="en-US"/>
        </w:rPr>
        <w:t xml:space="preserve">. </w:t>
      </w:r>
      <w:r w:rsidR="00031E11">
        <w:rPr>
          <w:rFonts w:asciiTheme="minorHAnsi" w:eastAsia="Times New Roman" w:hAnsiTheme="minorHAnsi"/>
          <w:color w:val="auto"/>
          <w:szCs w:val="24"/>
          <w:lang w:eastAsia="en-US"/>
        </w:rPr>
        <w:t>These b</w:t>
      </w:r>
      <w:r w:rsidR="00084104">
        <w:rPr>
          <w:rFonts w:asciiTheme="minorHAnsi" w:eastAsia="Times New Roman" w:hAnsiTheme="minorHAnsi"/>
          <w:color w:val="auto"/>
          <w:szCs w:val="24"/>
          <w:lang w:eastAsia="en-US"/>
        </w:rPr>
        <w:t xml:space="preserve">enefits can </w:t>
      </w:r>
      <w:r w:rsidR="007B1218">
        <w:rPr>
          <w:rFonts w:asciiTheme="minorHAnsi" w:eastAsia="Times New Roman" w:hAnsiTheme="minorHAnsi"/>
          <w:color w:val="auto"/>
          <w:szCs w:val="24"/>
          <w:lang w:eastAsia="en-US"/>
        </w:rPr>
        <w:t xml:space="preserve">also </w:t>
      </w:r>
      <w:r w:rsidR="00084104">
        <w:rPr>
          <w:rFonts w:asciiTheme="minorHAnsi" w:eastAsia="Times New Roman" w:hAnsiTheme="minorHAnsi"/>
          <w:color w:val="auto"/>
          <w:szCs w:val="24"/>
          <w:lang w:eastAsia="en-US"/>
        </w:rPr>
        <w:t>refer to</w:t>
      </w:r>
      <w:r>
        <w:rPr>
          <w:rFonts w:asciiTheme="minorHAnsi" w:eastAsia="Times New Roman" w:hAnsiTheme="minorHAnsi"/>
          <w:color w:val="auto"/>
          <w:szCs w:val="24"/>
          <w:lang w:eastAsia="en-US"/>
        </w:rPr>
        <w:t xml:space="preserve"> improve</w:t>
      </w:r>
      <w:r w:rsidR="00084104">
        <w:rPr>
          <w:rFonts w:asciiTheme="minorHAnsi" w:eastAsia="Times New Roman" w:hAnsiTheme="minorHAnsi"/>
          <w:color w:val="auto"/>
          <w:szCs w:val="24"/>
          <w:lang w:eastAsia="en-US"/>
        </w:rPr>
        <w:t>ments in</w:t>
      </w:r>
      <w:r>
        <w:rPr>
          <w:rFonts w:asciiTheme="minorHAnsi" w:eastAsia="Times New Roman" w:hAnsiTheme="minorHAnsi"/>
          <w:color w:val="auto"/>
          <w:szCs w:val="24"/>
          <w:lang w:eastAsia="en-US"/>
        </w:rPr>
        <w:t xml:space="preserve"> customer service</w:t>
      </w:r>
      <w:r w:rsidRPr="00916B33">
        <w:rPr>
          <w:rFonts w:asciiTheme="minorHAnsi" w:eastAsia="Times New Roman" w:hAnsiTheme="minorHAnsi"/>
          <w:color w:val="auto"/>
          <w:szCs w:val="24"/>
          <w:lang w:eastAsia="en-US"/>
        </w:rPr>
        <w:t xml:space="preserve"> </w:t>
      </w:r>
      <w:r>
        <w:rPr>
          <w:rFonts w:asciiTheme="minorHAnsi" w:eastAsia="Times New Roman" w:hAnsiTheme="minorHAnsi"/>
          <w:color w:val="auto"/>
          <w:szCs w:val="24"/>
          <w:lang w:eastAsia="en-US"/>
        </w:rPr>
        <w:t>or to gain</w:t>
      </w:r>
      <w:r w:rsidR="00084104">
        <w:rPr>
          <w:rFonts w:asciiTheme="minorHAnsi" w:eastAsia="Times New Roman" w:hAnsiTheme="minorHAnsi"/>
          <w:color w:val="auto"/>
          <w:szCs w:val="24"/>
          <w:lang w:eastAsia="en-US"/>
        </w:rPr>
        <w:t>ing</w:t>
      </w:r>
      <w:r w:rsidRPr="00916B33">
        <w:rPr>
          <w:rFonts w:asciiTheme="minorHAnsi" w:eastAsia="Times New Roman" w:hAnsiTheme="minorHAnsi"/>
          <w:color w:val="auto"/>
          <w:szCs w:val="24"/>
          <w:lang w:eastAsia="en-US"/>
        </w:rPr>
        <w:t xml:space="preserve"> </w:t>
      </w:r>
      <w:r>
        <w:rPr>
          <w:rFonts w:asciiTheme="minorHAnsi" w:eastAsia="Times New Roman" w:hAnsiTheme="minorHAnsi"/>
          <w:color w:val="auto"/>
          <w:szCs w:val="24"/>
          <w:lang w:eastAsia="en-US"/>
        </w:rPr>
        <w:t>a</w:t>
      </w:r>
      <w:r w:rsidRPr="00916B33">
        <w:rPr>
          <w:rFonts w:asciiTheme="minorHAnsi" w:eastAsia="Times New Roman" w:hAnsiTheme="minorHAnsi"/>
          <w:color w:val="auto"/>
          <w:szCs w:val="24"/>
          <w:lang w:eastAsia="en-US"/>
        </w:rPr>
        <w:t xml:space="preserve"> competitive edge</w:t>
      </w:r>
      <w:r>
        <w:rPr>
          <w:rFonts w:asciiTheme="minorHAnsi" w:eastAsia="Times New Roman" w:hAnsiTheme="minorHAnsi"/>
          <w:color w:val="auto"/>
          <w:szCs w:val="24"/>
          <w:lang w:eastAsia="en-US"/>
        </w:rPr>
        <w:t xml:space="preserve"> in general. A third of mining businesses surveyed by the Australian Bureau of Statistics (ABS) reported </w:t>
      </w:r>
      <w:r w:rsidR="00B50903">
        <w:rPr>
          <w:rFonts w:asciiTheme="minorHAnsi" w:eastAsia="Times New Roman" w:hAnsiTheme="minorHAnsi"/>
          <w:color w:val="auto"/>
          <w:szCs w:val="24"/>
          <w:lang w:eastAsia="en-US"/>
        </w:rPr>
        <w:t>that</w:t>
      </w:r>
      <w:r>
        <w:rPr>
          <w:rFonts w:asciiTheme="minorHAnsi" w:eastAsia="Times New Roman" w:hAnsiTheme="minorHAnsi"/>
          <w:color w:val="auto"/>
          <w:szCs w:val="24"/>
          <w:lang w:eastAsia="en-US"/>
        </w:rPr>
        <w:t xml:space="preserve"> innovation implementation translated into one or more benefits, with the most frequent benefits cited being increases in revenue and reduc</w:t>
      </w:r>
      <w:r w:rsidR="004E7353">
        <w:rPr>
          <w:rFonts w:asciiTheme="minorHAnsi" w:eastAsia="Times New Roman" w:hAnsiTheme="minorHAnsi"/>
          <w:color w:val="auto"/>
          <w:szCs w:val="24"/>
          <w:lang w:eastAsia="en-US"/>
        </w:rPr>
        <w:t>ed costs</w:t>
      </w:r>
      <w:r>
        <w:rPr>
          <w:rFonts w:asciiTheme="minorHAnsi" w:eastAsia="Times New Roman" w:hAnsiTheme="minorHAnsi"/>
          <w:color w:val="auto"/>
          <w:szCs w:val="24"/>
          <w:lang w:eastAsia="en-US"/>
        </w:rPr>
        <w:t xml:space="preserve"> </w:t>
      </w:r>
      <w:r>
        <w:rPr>
          <w:rFonts w:asciiTheme="minorHAnsi" w:eastAsia="Times New Roman" w:hAnsiTheme="minorHAnsi"/>
          <w:color w:val="auto"/>
          <w:szCs w:val="24"/>
          <w:lang w:eastAsia="en-US"/>
        </w:rPr>
        <w:fldChar w:fldCharType="begin"/>
      </w:r>
      <w:r>
        <w:rPr>
          <w:rFonts w:asciiTheme="minorHAnsi" w:eastAsia="Times New Roman" w:hAnsiTheme="minorHAnsi"/>
          <w:color w:val="auto"/>
          <w:szCs w:val="24"/>
          <w:lang w:eastAsia="en-US"/>
        </w:rPr>
        <w:instrText xml:space="preserve"> ADDIN EN.CITE &lt;EndNote&gt;&lt;Cite&gt;&lt;Author&gt;Australian Bureau of Statistics&lt;/Author&gt;&lt;Year&gt;2016&lt;/Year&gt;&lt;RecNum&gt;3109&lt;/RecNum&gt;&lt;DisplayText&gt;(Australian Bureau of Statistics, 2016b)&lt;/DisplayText&gt;&lt;record&gt;&lt;rec-number&gt;3109&lt;/rec-number&gt;&lt;foreign-keys&gt;&lt;key app="EN" db-id="vzav25azvd0fxjextfzvax229ff0apaprtda" timestamp="1507616230"&gt;3109&lt;/key&gt;&lt;/foreign-keys&gt;&lt;ref-type name="Dataset"&gt;59&lt;/ref-type&gt;&lt;contributors&gt;&lt;authors&gt;&lt;author&gt;Australian Bureau of Statistics,&lt;/author&gt;&lt;/authors&gt;&lt;secondary-authors&gt;&lt;author&gt;Australian Bureau of Statistics,&lt;/author&gt;&lt;/secondary-authors&gt;&lt;/contributors&gt;&lt;titles&gt;&lt;title&gt;8158.0 - Innovation in Australian Business, 2014-15&lt;/title&gt;&lt;/titles&gt;&lt;edition&gt;July 2016&lt;/edition&gt;&lt;dates&gt;&lt;year&gt;2016&lt;/year&gt;&lt;/dates&gt;&lt;pub-location&gt;Canberra&lt;/pub-location&gt;&lt;publisher&gt;Australian Bureau of Statistics&lt;/publisher&gt;&lt;urls&gt;&lt;related-urls&gt;&lt;url&gt;http://www.abs.gov.au/AUSSTATS/abs@.nsf/productsbyCatalogue/06B08353E0EABA96CA25712A00161216?OpenDocument&lt;/url&gt;&lt;/related-urls&gt;&lt;/urls&gt;&lt;access-date&gt;01.10.2017&lt;/access-date&gt;&lt;/record&gt;&lt;/Cite&gt;&lt;/EndNote&gt;</w:instrText>
      </w:r>
      <w:r>
        <w:rPr>
          <w:rFonts w:asciiTheme="minorHAnsi" w:eastAsia="Times New Roman" w:hAnsiTheme="minorHAnsi"/>
          <w:color w:val="auto"/>
          <w:szCs w:val="24"/>
          <w:lang w:eastAsia="en-US"/>
        </w:rPr>
        <w:fldChar w:fldCharType="separate"/>
      </w:r>
      <w:r>
        <w:rPr>
          <w:rFonts w:asciiTheme="minorHAnsi" w:eastAsia="Times New Roman" w:hAnsiTheme="minorHAnsi"/>
          <w:noProof/>
          <w:color w:val="auto"/>
          <w:szCs w:val="24"/>
          <w:lang w:eastAsia="en-US"/>
        </w:rPr>
        <w:t>(Australian Bureau of Statistics, 2016b)</w:t>
      </w:r>
      <w:r>
        <w:rPr>
          <w:rFonts w:asciiTheme="minorHAnsi" w:eastAsia="Times New Roman" w:hAnsiTheme="minorHAnsi"/>
          <w:color w:val="auto"/>
          <w:szCs w:val="24"/>
          <w:lang w:eastAsia="en-US"/>
        </w:rPr>
        <w:fldChar w:fldCharType="end"/>
      </w:r>
      <w:r>
        <w:rPr>
          <w:rFonts w:asciiTheme="minorHAnsi" w:eastAsia="Times New Roman" w:hAnsiTheme="minorHAnsi"/>
          <w:color w:val="auto"/>
          <w:szCs w:val="24"/>
          <w:lang w:eastAsia="en-US"/>
        </w:rPr>
        <w:t>.</w:t>
      </w:r>
      <w:r>
        <w:rPr>
          <w:rStyle w:val="FootnoteReference"/>
          <w:rFonts w:asciiTheme="minorHAnsi" w:eastAsia="Times New Roman" w:hAnsiTheme="minorHAnsi"/>
          <w:color w:val="auto"/>
          <w:szCs w:val="24"/>
          <w:lang w:eastAsia="en-US"/>
        </w:rPr>
        <w:footnoteReference w:id="19"/>
      </w:r>
    </w:p>
    <w:p w14:paraId="319B30F2" w14:textId="3A172B57" w:rsidR="007E5EF8" w:rsidRPr="00D31DB5" w:rsidRDefault="007E34D6" w:rsidP="00D31DB5">
      <w:pPr>
        <w:pStyle w:val="BodyText"/>
        <w:jc w:val="both"/>
        <w:rPr>
          <w:rFonts w:asciiTheme="minorHAnsi" w:eastAsia="Times New Roman" w:hAnsiTheme="minorHAnsi"/>
          <w:color w:val="auto"/>
          <w:szCs w:val="24"/>
          <w:lang w:eastAsia="en-US"/>
        </w:rPr>
      </w:pPr>
      <w:r>
        <w:rPr>
          <w:rFonts w:asciiTheme="minorHAnsi" w:eastAsia="Times New Roman" w:hAnsiTheme="minorHAnsi"/>
          <w:color w:val="auto"/>
          <w:szCs w:val="24"/>
          <w:lang w:eastAsia="en-US"/>
        </w:rPr>
        <w:t>Further innovation in the mining industry can be hampered by b</w:t>
      </w:r>
      <w:r w:rsidR="00A1462F">
        <w:rPr>
          <w:rFonts w:asciiTheme="minorHAnsi" w:eastAsia="Times New Roman" w:hAnsiTheme="minorHAnsi"/>
          <w:color w:val="auto"/>
          <w:szCs w:val="24"/>
          <w:lang w:eastAsia="en-US"/>
        </w:rPr>
        <w:t>arriers to innovation</w:t>
      </w:r>
      <w:r>
        <w:rPr>
          <w:rFonts w:asciiTheme="minorHAnsi" w:eastAsia="Times New Roman" w:hAnsiTheme="minorHAnsi"/>
          <w:color w:val="auto"/>
          <w:szCs w:val="24"/>
          <w:lang w:eastAsia="en-US"/>
        </w:rPr>
        <w:t xml:space="preserve">. These barriers </w:t>
      </w:r>
      <w:r w:rsidR="00A1462F">
        <w:rPr>
          <w:rFonts w:asciiTheme="minorHAnsi" w:eastAsia="Times New Roman" w:hAnsiTheme="minorHAnsi"/>
          <w:color w:val="auto"/>
          <w:szCs w:val="24"/>
          <w:lang w:eastAsia="en-US"/>
        </w:rPr>
        <w:t>are not uncommon for mining businesses</w:t>
      </w:r>
      <w:r>
        <w:rPr>
          <w:rFonts w:asciiTheme="minorHAnsi" w:eastAsia="Times New Roman" w:hAnsiTheme="minorHAnsi"/>
          <w:color w:val="auto"/>
          <w:szCs w:val="24"/>
          <w:lang w:eastAsia="en-US"/>
        </w:rPr>
        <w:t>. P</w:t>
      </w:r>
      <w:r w:rsidR="0000669C">
        <w:rPr>
          <w:rFonts w:asciiTheme="minorHAnsi" w:eastAsia="Times New Roman" w:hAnsiTheme="minorHAnsi"/>
          <w:color w:val="auto"/>
          <w:szCs w:val="24"/>
          <w:lang w:eastAsia="en-US"/>
        </w:rPr>
        <w:t>erceived issues tend to consist o</w:t>
      </w:r>
      <w:r w:rsidR="006B451C">
        <w:rPr>
          <w:rFonts w:asciiTheme="minorHAnsi" w:eastAsia="Times New Roman" w:hAnsiTheme="minorHAnsi"/>
          <w:color w:val="auto"/>
          <w:szCs w:val="24"/>
          <w:lang w:eastAsia="en-US"/>
        </w:rPr>
        <w:t xml:space="preserve">f </w:t>
      </w:r>
      <w:r w:rsidR="004E7353">
        <w:rPr>
          <w:rFonts w:asciiTheme="minorHAnsi" w:eastAsia="Times New Roman" w:hAnsiTheme="minorHAnsi"/>
          <w:color w:val="auto"/>
          <w:szCs w:val="24"/>
          <w:lang w:eastAsia="en-US"/>
        </w:rPr>
        <w:t xml:space="preserve">a </w:t>
      </w:r>
      <w:r w:rsidR="006B451C">
        <w:rPr>
          <w:rFonts w:asciiTheme="minorHAnsi" w:eastAsia="Times New Roman" w:hAnsiTheme="minorHAnsi"/>
          <w:color w:val="auto"/>
          <w:szCs w:val="24"/>
          <w:lang w:eastAsia="en-US"/>
        </w:rPr>
        <w:t>lack of sufficient funding, demand uncertainty and</w:t>
      </w:r>
      <w:r w:rsidR="0000669C">
        <w:rPr>
          <w:rFonts w:asciiTheme="minorHAnsi" w:eastAsia="Times New Roman" w:hAnsiTheme="minorHAnsi"/>
          <w:color w:val="auto"/>
          <w:szCs w:val="24"/>
          <w:lang w:eastAsia="en-US"/>
        </w:rPr>
        <w:t xml:space="preserve"> the costs of innovation development or implementation, rather than access to skilled workers</w:t>
      </w:r>
      <w:r w:rsidR="006B451C">
        <w:rPr>
          <w:rFonts w:asciiTheme="minorHAnsi" w:eastAsia="Times New Roman" w:hAnsiTheme="minorHAnsi"/>
          <w:color w:val="auto"/>
          <w:szCs w:val="24"/>
          <w:lang w:eastAsia="en-US"/>
        </w:rPr>
        <w:t>, knowledge or technology</w:t>
      </w:r>
      <w:r w:rsidR="0000669C">
        <w:rPr>
          <w:rFonts w:asciiTheme="minorHAnsi" w:eastAsia="Times New Roman" w:hAnsiTheme="minorHAnsi"/>
          <w:color w:val="auto"/>
          <w:szCs w:val="24"/>
          <w:lang w:eastAsia="en-US"/>
        </w:rPr>
        <w:t xml:space="preserve">. </w:t>
      </w:r>
      <w:r w:rsidR="00B738C0">
        <w:rPr>
          <w:rFonts w:asciiTheme="minorHAnsi" w:eastAsia="Times New Roman" w:hAnsiTheme="minorHAnsi"/>
          <w:color w:val="auto"/>
          <w:szCs w:val="24"/>
          <w:lang w:eastAsia="en-US"/>
        </w:rPr>
        <w:t>More than half of mining businesses surveyed</w:t>
      </w:r>
      <w:r>
        <w:rPr>
          <w:rFonts w:asciiTheme="minorHAnsi" w:eastAsia="Times New Roman" w:hAnsiTheme="minorHAnsi"/>
          <w:color w:val="auto"/>
          <w:szCs w:val="24"/>
          <w:lang w:eastAsia="en-US"/>
        </w:rPr>
        <w:t xml:space="preserve"> by the ABS</w:t>
      </w:r>
      <w:r w:rsidR="00B738C0">
        <w:rPr>
          <w:rFonts w:asciiTheme="minorHAnsi" w:eastAsia="Times New Roman" w:hAnsiTheme="minorHAnsi"/>
          <w:color w:val="auto"/>
          <w:szCs w:val="24"/>
          <w:lang w:eastAsia="en-US"/>
        </w:rPr>
        <w:t xml:space="preserve"> </w:t>
      </w:r>
      <w:r>
        <w:rPr>
          <w:rFonts w:asciiTheme="minorHAnsi" w:eastAsia="Times New Roman" w:hAnsiTheme="minorHAnsi"/>
          <w:color w:val="auto"/>
          <w:szCs w:val="24"/>
          <w:lang w:eastAsia="en-US"/>
        </w:rPr>
        <w:t xml:space="preserve">state they </w:t>
      </w:r>
      <w:r w:rsidR="00B738C0">
        <w:rPr>
          <w:rFonts w:asciiTheme="minorHAnsi" w:eastAsia="Times New Roman" w:hAnsiTheme="minorHAnsi"/>
          <w:color w:val="auto"/>
          <w:szCs w:val="24"/>
          <w:lang w:eastAsia="en-US"/>
        </w:rPr>
        <w:t>encountered barriers to innovation</w:t>
      </w:r>
      <w:r w:rsidR="00FC687F">
        <w:rPr>
          <w:rFonts w:asciiTheme="minorHAnsi" w:eastAsia="Times New Roman" w:hAnsiTheme="minorHAnsi"/>
          <w:color w:val="auto"/>
          <w:szCs w:val="24"/>
          <w:lang w:eastAsia="en-US"/>
        </w:rPr>
        <w:t xml:space="preserve">. </w:t>
      </w:r>
      <w:r w:rsidR="00EB3039">
        <w:rPr>
          <w:rFonts w:asciiTheme="minorHAnsi" w:eastAsia="Times New Roman" w:hAnsiTheme="minorHAnsi"/>
          <w:color w:val="auto"/>
          <w:szCs w:val="24"/>
          <w:lang w:eastAsia="en-US"/>
        </w:rPr>
        <w:t xml:space="preserve">A third of </w:t>
      </w:r>
      <w:r>
        <w:rPr>
          <w:rFonts w:asciiTheme="minorHAnsi" w:eastAsia="Times New Roman" w:hAnsiTheme="minorHAnsi"/>
          <w:color w:val="auto"/>
          <w:szCs w:val="24"/>
          <w:lang w:eastAsia="en-US"/>
        </w:rPr>
        <w:t xml:space="preserve">these businesses </w:t>
      </w:r>
      <w:r w:rsidR="00F1282F">
        <w:rPr>
          <w:rFonts w:asciiTheme="minorHAnsi" w:eastAsia="Times New Roman" w:hAnsiTheme="minorHAnsi"/>
          <w:color w:val="auto"/>
          <w:szCs w:val="24"/>
          <w:lang w:eastAsia="en-US"/>
        </w:rPr>
        <w:t>declared they</w:t>
      </w:r>
      <w:r w:rsidR="004D76D1">
        <w:rPr>
          <w:rFonts w:asciiTheme="minorHAnsi" w:eastAsia="Times New Roman" w:hAnsiTheme="minorHAnsi"/>
          <w:color w:val="auto"/>
          <w:szCs w:val="24"/>
          <w:lang w:eastAsia="en-US"/>
        </w:rPr>
        <w:t xml:space="preserve"> </w:t>
      </w:r>
      <w:r w:rsidR="00EB3039">
        <w:rPr>
          <w:rFonts w:asciiTheme="minorHAnsi" w:eastAsia="Times New Roman" w:hAnsiTheme="minorHAnsi"/>
          <w:color w:val="auto"/>
          <w:szCs w:val="24"/>
          <w:lang w:eastAsia="en-US"/>
        </w:rPr>
        <w:t>face</w:t>
      </w:r>
      <w:r w:rsidR="00AB0621">
        <w:rPr>
          <w:rFonts w:asciiTheme="minorHAnsi" w:eastAsia="Times New Roman" w:hAnsiTheme="minorHAnsi"/>
          <w:color w:val="auto"/>
          <w:szCs w:val="24"/>
          <w:lang w:eastAsia="en-US"/>
        </w:rPr>
        <w:t>d</w:t>
      </w:r>
      <w:r w:rsidR="00EB3039">
        <w:rPr>
          <w:rFonts w:asciiTheme="minorHAnsi" w:eastAsia="Times New Roman" w:hAnsiTheme="minorHAnsi"/>
          <w:color w:val="auto"/>
          <w:szCs w:val="24"/>
          <w:lang w:eastAsia="en-US"/>
        </w:rPr>
        <w:t xml:space="preserve"> a l</w:t>
      </w:r>
      <w:r w:rsidR="00FC687F">
        <w:rPr>
          <w:rFonts w:asciiTheme="minorHAnsi" w:eastAsia="Times New Roman" w:hAnsiTheme="minorHAnsi"/>
          <w:color w:val="auto"/>
          <w:szCs w:val="24"/>
          <w:lang w:eastAsia="en-US"/>
        </w:rPr>
        <w:t xml:space="preserve">ack of </w:t>
      </w:r>
      <w:r w:rsidR="00EB3039">
        <w:rPr>
          <w:rFonts w:asciiTheme="minorHAnsi" w:eastAsia="Times New Roman" w:hAnsiTheme="minorHAnsi"/>
          <w:color w:val="auto"/>
          <w:szCs w:val="24"/>
          <w:lang w:eastAsia="en-US"/>
        </w:rPr>
        <w:t xml:space="preserve">access to funding, the highest percentage </w:t>
      </w:r>
      <w:r w:rsidR="00A36BE3">
        <w:rPr>
          <w:rFonts w:asciiTheme="minorHAnsi" w:eastAsia="Times New Roman" w:hAnsiTheme="minorHAnsi"/>
          <w:color w:val="auto"/>
          <w:szCs w:val="24"/>
          <w:lang w:eastAsia="en-US"/>
        </w:rPr>
        <w:t xml:space="preserve">of all industries. </w:t>
      </w:r>
      <w:r>
        <w:rPr>
          <w:rFonts w:asciiTheme="minorHAnsi" w:eastAsia="Times New Roman" w:hAnsiTheme="minorHAnsi"/>
          <w:color w:val="auto"/>
          <w:szCs w:val="24"/>
          <w:lang w:eastAsia="en-US"/>
        </w:rPr>
        <w:t xml:space="preserve">This answer can be related to uncertain demand and cost faced by the industry. </w:t>
      </w:r>
      <w:r w:rsidR="00A36BE3">
        <w:rPr>
          <w:rFonts w:asciiTheme="minorHAnsi" w:eastAsia="Times New Roman" w:hAnsiTheme="minorHAnsi"/>
          <w:color w:val="auto"/>
          <w:szCs w:val="24"/>
          <w:lang w:eastAsia="en-US"/>
        </w:rPr>
        <w:t>Mining has the second highest percentage of businesses</w:t>
      </w:r>
      <w:r w:rsidR="004E7353">
        <w:rPr>
          <w:rFonts w:asciiTheme="minorHAnsi" w:eastAsia="Times New Roman" w:hAnsiTheme="minorHAnsi"/>
          <w:color w:val="auto"/>
          <w:szCs w:val="24"/>
          <w:lang w:eastAsia="en-US"/>
        </w:rPr>
        <w:t>,</w:t>
      </w:r>
      <w:r w:rsidR="00A36BE3">
        <w:rPr>
          <w:rFonts w:asciiTheme="minorHAnsi" w:eastAsia="Times New Roman" w:hAnsiTheme="minorHAnsi"/>
          <w:color w:val="auto"/>
          <w:szCs w:val="24"/>
          <w:lang w:eastAsia="en-US"/>
        </w:rPr>
        <w:t xml:space="preserve"> </w:t>
      </w:r>
      <w:r w:rsidR="004E7353">
        <w:rPr>
          <w:rFonts w:asciiTheme="minorHAnsi" w:eastAsia="Times New Roman" w:hAnsiTheme="minorHAnsi"/>
          <w:color w:val="auto"/>
          <w:szCs w:val="24"/>
          <w:lang w:eastAsia="en-US"/>
        </w:rPr>
        <w:t xml:space="preserve">across </w:t>
      </w:r>
      <w:r w:rsidR="00A36BE3">
        <w:rPr>
          <w:rFonts w:asciiTheme="minorHAnsi" w:eastAsia="Times New Roman" w:hAnsiTheme="minorHAnsi"/>
          <w:color w:val="auto"/>
          <w:szCs w:val="24"/>
          <w:lang w:eastAsia="en-US"/>
        </w:rPr>
        <w:t>all industries</w:t>
      </w:r>
      <w:r w:rsidR="004E7353">
        <w:rPr>
          <w:rFonts w:asciiTheme="minorHAnsi" w:eastAsia="Times New Roman" w:hAnsiTheme="minorHAnsi"/>
          <w:color w:val="auto"/>
          <w:szCs w:val="24"/>
          <w:lang w:eastAsia="en-US"/>
        </w:rPr>
        <w:t>,</w:t>
      </w:r>
      <w:r w:rsidR="00A36BE3">
        <w:rPr>
          <w:rFonts w:asciiTheme="minorHAnsi" w:eastAsia="Times New Roman" w:hAnsiTheme="minorHAnsi"/>
          <w:color w:val="auto"/>
          <w:szCs w:val="24"/>
          <w:lang w:eastAsia="en-US"/>
        </w:rPr>
        <w:t xml:space="preserve"> which </w:t>
      </w:r>
      <w:r>
        <w:rPr>
          <w:rFonts w:asciiTheme="minorHAnsi" w:eastAsia="Times New Roman" w:hAnsiTheme="minorHAnsi"/>
          <w:color w:val="auto"/>
          <w:szCs w:val="24"/>
          <w:lang w:eastAsia="en-US"/>
        </w:rPr>
        <w:t xml:space="preserve">assert they </w:t>
      </w:r>
      <w:r w:rsidR="00EB3039">
        <w:rPr>
          <w:rFonts w:asciiTheme="minorHAnsi" w:eastAsia="Times New Roman" w:hAnsiTheme="minorHAnsi"/>
          <w:color w:val="auto"/>
          <w:szCs w:val="24"/>
          <w:lang w:eastAsia="en-US"/>
        </w:rPr>
        <w:t xml:space="preserve">face </w:t>
      </w:r>
      <w:r w:rsidR="006B451C">
        <w:rPr>
          <w:rFonts w:asciiTheme="minorHAnsi" w:eastAsia="Times New Roman" w:hAnsiTheme="minorHAnsi"/>
          <w:color w:val="auto"/>
          <w:szCs w:val="24"/>
          <w:lang w:eastAsia="en-US"/>
        </w:rPr>
        <w:t xml:space="preserve">uncertain demand and cost </w:t>
      </w:r>
      <w:r w:rsidR="00EB3039">
        <w:rPr>
          <w:rFonts w:asciiTheme="minorHAnsi" w:eastAsia="Times New Roman" w:hAnsiTheme="minorHAnsi"/>
          <w:color w:val="auto"/>
          <w:szCs w:val="24"/>
          <w:lang w:eastAsia="en-US"/>
        </w:rPr>
        <w:t xml:space="preserve">barriers </w:t>
      </w:r>
      <w:r w:rsidR="00A36BE3">
        <w:rPr>
          <w:rFonts w:asciiTheme="minorHAnsi" w:eastAsia="Times New Roman" w:hAnsiTheme="minorHAnsi"/>
          <w:color w:val="auto"/>
          <w:szCs w:val="24"/>
          <w:lang w:eastAsia="en-US"/>
        </w:rPr>
        <w:t>(</w:t>
      </w:r>
      <w:r w:rsidR="006B451C">
        <w:rPr>
          <w:rFonts w:asciiTheme="minorHAnsi" w:eastAsia="Times New Roman" w:hAnsiTheme="minorHAnsi"/>
          <w:color w:val="auto"/>
          <w:szCs w:val="24"/>
          <w:lang w:eastAsia="en-US"/>
        </w:rPr>
        <w:t xml:space="preserve">16.7% and 18.6 % </w:t>
      </w:r>
      <w:r w:rsidR="00A36BE3">
        <w:rPr>
          <w:rFonts w:asciiTheme="minorHAnsi" w:eastAsia="Times New Roman" w:hAnsiTheme="minorHAnsi"/>
          <w:color w:val="auto"/>
          <w:szCs w:val="24"/>
          <w:lang w:eastAsia="en-US"/>
        </w:rPr>
        <w:t>respectively)</w:t>
      </w:r>
      <w:r w:rsidR="00CD70D4">
        <w:rPr>
          <w:rFonts w:asciiTheme="minorHAnsi" w:eastAsia="Times New Roman" w:hAnsiTheme="minorHAnsi"/>
          <w:color w:val="auto"/>
          <w:szCs w:val="24"/>
          <w:lang w:eastAsia="en-US"/>
        </w:rPr>
        <w:t>.</w:t>
      </w:r>
    </w:p>
    <w:p w14:paraId="5842D890" w14:textId="3A8EF3AC" w:rsidR="00F457A0" w:rsidRDefault="009E2643" w:rsidP="009E2643">
      <w:pPr>
        <w:pStyle w:val="Heading1noTOC"/>
      </w:pPr>
      <w:bookmarkStart w:id="27" w:name="_Toc515031460"/>
      <w:r>
        <w:lastRenderedPageBreak/>
        <w:t xml:space="preserve">Appendix A. </w:t>
      </w:r>
      <w:r w:rsidR="0062234B">
        <w:t>Inequality coefficients calculation and analysis</w:t>
      </w:r>
      <w:bookmarkEnd w:id="27"/>
    </w:p>
    <w:p w14:paraId="6882F7D7" w14:textId="10AEFA04" w:rsidR="004F4DC0" w:rsidRPr="007738F3" w:rsidRDefault="00252337" w:rsidP="004F4DC0">
      <w:pPr>
        <w:pStyle w:val="AppendixHeading2"/>
      </w:pPr>
      <w:bookmarkStart w:id="28" w:name="_Toc315694432"/>
      <w:r>
        <w:t>Data and method</w:t>
      </w:r>
    </w:p>
    <w:p w14:paraId="47054F3A" w14:textId="61CC426A" w:rsidR="004F4DC0" w:rsidRDefault="00252337" w:rsidP="004F4DC0">
      <w:pPr>
        <w:pStyle w:val="BodyText"/>
        <w:rPr>
          <w:rFonts w:asciiTheme="minorHAnsi" w:hAnsiTheme="minorHAnsi" w:cstheme="minorHAnsi"/>
          <w:szCs w:val="24"/>
        </w:rPr>
      </w:pPr>
      <w:r>
        <w:t xml:space="preserve">The </w:t>
      </w:r>
      <w:r w:rsidR="002D7EA4">
        <w:t xml:space="preserve">Gini inequality </w:t>
      </w:r>
      <w:r>
        <w:t>coefficients are calculated based on Australian Census 2016 data</w:t>
      </w:r>
      <w:r w:rsidR="004B5B4A">
        <w:t xml:space="preserve"> </w:t>
      </w:r>
      <w:r w:rsidR="00452D9E">
        <w:fldChar w:fldCharType="begin"/>
      </w:r>
      <w:r w:rsidR="00BF1876">
        <w:instrText xml:space="preserve"> ADDIN EN.CITE &lt;EndNote&gt;&lt;Cite&gt;&lt;Author&gt;Australian Bureau of Statistics&lt;/Author&gt;&lt;Year&gt;2016&lt;/Year&gt;&lt;RecNum&gt;2997&lt;/RecNum&gt;&lt;DisplayText&gt;(Australian Bureau of Statistics, 2016c)&lt;/DisplayText&gt;&lt;record&gt;&lt;rec-number&gt;2997&lt;/rec-number&gt;&lt;foreign-keys&gt;&lt;key app="EN" db-id="vzav25azvd0fxjextfzvax229ff0apaprtda" timestamp="1505697357"&gt;2997&lt;/key&gt;&lt;/foreign-keys&gt;&lt;ref-type name="Dataset"&gt;59&lt;/ref-type&gt;&lt;contributors&gt;&lt;authors&gt;&lt;author&gt;Australian Bureau of Statistics,&lt;/author&gt;&lt;/authors&gt;&lt;secondary-authors&gt;&lt;author&gt;Australian Bureau of Statistics,&lt;/author&gt;&lt;/secondary-authors&gt;&lt;/contributors&gt;&lt;titles&gt;&lt;title&gt;Australian Census 2016: DataPacks&lt;/title&gt;&lt;/titles&gt;&lt;edition&gt;2016&lt;/edition&gt;&lt;section&gt;2016&lt;/section&gt;&lt;dates&gt;&lt;year&gt;2016&lt;/year&gt;&lt;pub-dates&gt;&lt;date&gt;20.08.2017&lt;/date&gt;&lt;/pub-dates&gt;&lt;/dates&gt;&lt;pub-location&gt;Canberra&lt;/pub-location&gt;&lt;urls&gt;&lt;related-urls&gt;&lt;url&gt;https://datapacks.censusdata.abs.gov.au/datapacks/&lt;/url&gt;&lt;/related-urls&gt;&lt;/urls&gt;&lt;access-date&gt;14.08.16&lt;/access-date&gt;&lt;/record&gt;&lt;/Cite&gt;&lt;/EndNote&gt;</w:instrText>
      </w:r>
      <w:r w:rsidR="00452D9E">
        <w:fldChar w:fldCharType="separate"/>
      </w:r>
      <w:r w:rsidR="00BF1876">
        <w:rPr>
          <w:noProof/>
        </w:rPr>
        <w:t>(Australian Bureau of Statistics, 2016c)</w:t>
      </w:r>
      <w:r w:rsidR="00452D9E">
        <w:fldChar w:fldCharType="end"/>
      </w:r>
      <w:r>
        <w:t xml:space="preserve">. </w:t>
      </w:r>
      <w:r w:rsidR="003705E7">
        <w:rPr>
          <w:rFonts w:asciiTheme="minorHAnsi" w:hAnsiTheme="minorHAnsi" w:cstheme="minorHAnsi"/>
          <w:szCs w:val="24"/>
        </w:rPr>
        <w:t xml:space="preserve">Calculations of the </w:t>
      </w:r>
      <w:r w:rsidR="003705E7">
        <w:t xml:space="preserve">Gini coefficient of inequality </w:t>
      </w:r>
      <w:r w:rsidR="003705E7">
        <w:rPr>
          <w:rFonts w:asciiTheme="minorHAnsi" w:hAnsiTheme="minorHAnsi" w:cstheme="minorHAnsi"/>
          <w:szCs w:val="24"/>
        </w:rPr>
        <w:t>were based on total family income, regardless of employment status</w:t>
      </w:r>
      <w:r w:rsidR="00EF7AEF">
        <w:rPr>
          <w:rFonts w:asciiTheme="minorHAnsi" w:hAnsiTheme="minorHAnsi" w:cstheme="minorHAnsi"/>
          <w:szCs w:val="24"/>
        </w:rPr>
        <w:t>,</w:t>
      </w:r>
      <w:r w:rsidR="003705E7">
        <w:rPr>
          <w:rFonts w:asciiTheme="minorHAnsi" w:hAnsiTheme="minorHAnsi" w:cstheme="minorHAnsi"/>
          <w:szCs w:val="24"/>
        </w:rPr>
        <w:t xml:space="preserve"> and in this case includes couple and one parent families with children. </w:t>
      </w:r>
      <w:r w:rsidR="003705E7" w:rsidRPr="003705E7">
        <w:rPr>
          <w:rFonts w:asciiTheme="minorHAnsi" w:hAnsiTheme="minorHAnsi" w:cstheme="minorHAnsi"/>
          <w:szCs w:val="24"/>
        </w:rPr>
        <w:t xml:space="preserve">For the highest income bracket the open-ended class median is calculated based on the algorithm described by </w:t>
      </w:r>
      <w:r w:rsidR="003705E7" w:rsidRPr="003705E7">
        <w:rPr>
          <w:rFonts w:asciiTheme="minorHAnsi" w:hAnsiTheme="minorHAnsi" w:cstheme="minorHAnsi"/>
          <w:szCs w:val="24"/>
        </w:rPr>
        <w:fldChar w:fldCharType="begin"/>
      </w:r>
      <w:r w:rsidR="003705E7" w:rsidRPr="003705E7">
        <w:rPr>
          <w:rFonts w:asciiTheme="minorHAnsi" w:hAnsiTheme="minorHAnsi" w:cstheme="minorHAnsi"/>
          <w:szCs w:val="24"/>
        </w:rPr>
        <w:instrText xml:space="preserve"> ADDIN EN.CITE &lt;EndNote&gt;&lt;Cite AuthorYear="1"&gt;&lt;Author&gt;Parker&lt;/Author&gt;&lt;Year&gt;1983&lt;/Year&gt;&lt;RecNum&gt;2320&lt;/RecNum&gt;&lt;DisplayText&gt;Parker and Fenwick (1983)&lt;/DisplayText&gt;&lt;record&gt;&lt;rec-number&gt;2320&lt;/rec-number&gt;&lt;foreign-keys&gt;&lt;key app="EN" db-id="vzav25azvd0fxjextfzvax229ff0apaprtda" timestamp="1475025243"&gt;2320&lt;/key&gt;&lt;/foreign-keys&gt;&lt;ref-type name="Journal Article"&gt;17&lt;/ref-type&gt;&lt;contributors&gt;&lt;authors&gt;&lt;author&gt;Parker, Robert Nash&lt;/author&gt;&lt;author&gt;Fenwick, Rudy&lt;/author&gt;&lt;/authors&gt;&lt;/contributors&gt;&lt;titles&gt;&lt;title&gt;The pareto curve and its utility for open-ended income distributions in survey research&lt;/title&gt;&lt;secondary-title&gt;Social Forces&lt;/secondary-title&gt;&lt;/titles&gt;&lt;pages&gt;872-885&lt;/pages&gt;&lt;volume&gt;61&lt;/volume&gt;&lt;number&gt;3&lt;/number&gt;&lt;dates&gt;&lt;year&gt;1983&lt;/year&gt;&lt;pub-dates&gt;&lt;date&gt;March 1, 1983&lt;/date&gt;&lt;/pub-dates&gt;&lt;/dates&gt;&lt;urls&gt;&lt;related-urls&gt;&lt;url&gt;http://sf.oxfordjournals.org/content/61/3/872.abstract&lt;/url&gt;&lt;url&gt;http://sf.oxfordjournals.org/content/61/3/872&lt;/url&gt;&lt;/related-urls&gt;&lt;pdf-urls&gt;&lt;url&gt;file://C:\Users\por083\Documents\EndNote\20170808-LP-Lib.Data\PDF\Parker-Fenwick-1983-paretoCurve.pdf&lt;/url&gt;&lt;/pdf-urls&gt;&lt;/urls&gt;&lt;electronic-resource-num&gt;10.1093/sf/61.3.872&lt;/electronic-resource-num&gt;&lt;/record&gt;&lt;/Cite&gt;&lt;/EndNote&gt;</w:instrText>
      </w:r>
      <w:r w:rsidR="003705E7" w:rsidRPr="003705E7">
        <w:rPr>
          <w:rFonts w:asciiTheme="minorHAnsi" w:hAnsiTheme="minorHAnsi" w:cstheme="minorHAnsi"/>
          <w:szCs w:val="24"/>
        </w:rPr>
        <w:fldChar w:fldCharType="separate"/>
      </w:r>
      <w:r w:rsidR="003705E7" w:rsidRPr="003705E7">
        <w:rPr>
          <w:rFonts w:asciiTheme="minorHAnsi" w:hAnsiTheme="minorHAnsi" w:cstheme="minorHAnsi"/>
          <w:szCs w:val="24"/>
        </w:rPr>
        <w:t>Parker and Fenwick (1983)</w:t>
      </w:r>
      <w:r w:rsidR="003705E7" w:rsidRPr="003705E7">
        <w:rPr>
          <w:rFonts w:asciiTheme="minorHAnsi" w:hAnsiTheme="minorHAnsi" w:cstheme="minorHAnsi"/>
          <w:szCs w:val="24"/>
        </w:rPr>
        <w:fldChar w:fldCharType="end"/>
      </w:r>
      <w:r w:rsidR="003705E7" w:rsidRPr="003705E7">
        <w:rPr>
          <w:rFonts w:asciiTheme="minorHAnsi" w:hAnsiTheme="minorHAnsi" w:cstheme="minorHAnsi"/>
          <w:szCs w:val="24"/>
        </w:rPr>
        <w:t xml:space="preserve">. By using the Parker and Fenwick method, </w:t>
      </w:r>
      <w:r w:rsidR="003705E7">
        <w:rPr>
          <w:rFonts w:asciiTheme="minorHAnsi" w:hAnsiTheme="minorHAnsi" w:cstheme="minorHAnsi"/>
          <w:szCs w:val="24"/>
        </w:rPr>
        <w:t xml:space="preserve">the </w:t>
      </w:r>
      <w:r w:rsidR="003705E7" w:rsidRPr="003705E7">
        <w:rPr>
          <w:rFonts w:asciiTheme="minorHAnsi" w:hAnsiTheme="minorHAnsi" w:cstheme="minorHAnsi"/>
          <w:szCs w:val="24"/>
        </w:rPr>
        <w:t xml:space="preserve">truncation error is avoided </w:t>
      </w:r>
      <w:r w:rsidR="003705E7" w:rsidRPr="003705E7">
        <w:rPr>
          <w:rFonts w:asciiTheme="minorHAnsi" w:hAnsiTheme="minorHAnsi" w:cstheme="minorHAnsi"/>
          <w:szCs w:val="24"/>
        </w:rPr>
        <w:fldChar w:fldCharType="begin"/>
      </w:r>
      <w:r w:rsidR="003705E7" w:rsidRPr="003705E7">
        <w:rPr>
          <w:rFonts w:asciiTheme="minorHAnsi" w:hAnsiTheme="minorHAnsi" w:cstheme="minorHAnsi"/>
          <w:szCs w:val="24"/>
        </w:rPr>
        <w:instrText xml:space="preserve"> ADDIN EN.CITE &lt;EndNote&gt;&lt;Cite&gt;&lt;Author&gt;Fleming&lt;/Author&gt;&lt;Year&gt;2015&lt;/Year&gt;&lt;RecNum&gt;2894&lt;/RecNum&gt;&lt;Prefix&gt;cf. &lt;/Prefix&gt;&lt;DisplayText&gt;(cf. Fleming and Measham, 2015)&lt;/DisplayText&gt;&lt;record&gt;&lt;rec-number&gt;2894&lt;/rec-number&gt;&lt;foreign-keys&gt;&lt;key app="EN" db-id="vzav25azvd0fxjextfzvax229ff0apaprtda" timestamp="1502078831"&gt;2894&lt;/key&gt;&lt;/foreign-keys&gt;&lt;ref-type name="Journal Article"&gt;17&lt;/ref-type&gt;&lt;contributors&gt;&lt;authors&gt;&lt;author&gt;Fleming, David A.&lt;/author&gt;&lt;author&gt;Measham, Thomas G.&lt;/author&gt;&lt;/authors&gt;&lt;/contributors&gt;&lt;titles&gt;&lt;title&gt;Income Inequality across Australian Regions during the Mining Boom: 2001–11&lt;/title&gt;&lt;secondary-title&gt;Australian Geographer&lt;/secondary-title&gt;&lt;/titles&gt;&lt;periodical&gt;&lt;full-title&gt;Australian Geographer&lt;/full-title&gt;&lt;/periodical&gt;&lt;pages&gt;203-216&lt;/pages&gt;&lt;volume&gt;46&lt;/volume&gt;&lt;number&gt;2&lt;/number&gt;&lt;dates&gt;&lt;year&gt;2015&lt;/year&gt;&lt;pub-dates&gt;&lt;date&gt;2015/04/03&lt;/date&gt;&lt;/pub-dates&gt;&lt;/dates&gt;&lt;publisher&gt;Routledge&lt;/publisher&gt;&lt;isbn&gt;0004-9182&lt;/isbn&gt;&lt;urls&gt;&lt;related-urls&gt;&lt;url&gt;http://dx.doi.org/10.1080/00049182.2015.1020596&lt;/url&gt;&lt;/related-urls&gt;&lt;pdf-urls&gt;&lt;url&gt;file://C:\Users\por083\Documents\EndNote\20170808-LP-Lib.Data\PDF\Fleming-2015-Income Inequality_ Mining Boom 2001 11.pdf&lt;/url&gt;&lt;/pdf-urls&gt;&lt;/urls&gt;&lt;electronic-resource-num&gt;10.1080/00049182.2015.1020596&lt;/electronic-resource-num&gt;&lt;/record&gt;&lt;/Cite&gt;&lt;/EndNote&gt;</w:instrText>
      </w:r>
      <w:r w:rsidR="003705E7" w:rsidRPr="003705E7">
        <w:rPr>
          <w:rFonts w:asciiTheme="minorHAnsi" w:hAnsiTheme="minorHAnsi" w:cstheme="minorHAnsi"/>
          <w:szCs w:val="24"/>
        </w:rPr>
        <w:fldChar w:fldCharType="separate"/>
      </w:r>
      <w:r w:rsidR="003705E7" w:rsidRPr="003705E7">
        <w:rPr>
          <w:rFonts w:asciiTheme="minorHAnsi" w:hAnsiTheme="minorHAnsi" w:cstheme="minorHAnsi"/>
          <w:szCs w:val="24"/>
        </w:rPr>
        <w:t>(cf. Fleming and Measham, 2015)</w:t>
      </w:r>
      <w:r w:rsidR="003705E7" w:rsidRPr="003705E7">
        <w:rPr>
          <w:rFonts w:asciiTheme="minorHAnsi" w:hAnsiTheme="minorHAnsi" w:cstheme="minorHAnsi"/>
          <w:szCs w:val="24"/>
        </w:rPr>
        <w:fldChar w:fldCharType="end"/>
      </w:r>
      <w:r w:rsidR="003705E7" w:rsidRPr="003705E7">
        <w:rPr>
          <w:rFonts w:asciiTheme="minorHAnsi" w:hAnsiTheme="minorHAnsi" w:cstheme="minorHAnsi"/>
          <w:szCs w:val="24"/>
        </w:rPr>
        <w:t>.</w:t>
      </w:r>
    </w:p>
    <w:p w14:paraId="59B07674" w14:textId="15683F77" w:rsidR="002B24A7" w:rsidRPr="002B24A7" w:rsidRDefault="002B24A7" w:rsidP="002B24A7">
      <w:pPr>
        <w:pStyle w:val="Caption"/>
      </w:pPr>
      <w:bookmarkStart w:id="29" w:name="_Toc316641318"/>
      <w:bookmarkStart w:id="30" w:name="_Toc316641529"/>
      <w:bookmarkStart w:id="31" w:name="_Toc320199176"/>
      <w:bookmarkStart w:id="32" w:name="_Toc515031491"/>
      <w:r>
        <w:t xml:space="preserve">Table </w:t>
      </w:r>
      <w:r w:rsidR="00B5448A">
        <w:rPr>
          <w:noProof/>
        </w:rPr>
        <w:fldChar w:fldCharType="begin"/>
      </w:r>
      <w:r w:rsidR="00B5448A">
        <w:rPr>
          <w:noProof/>
        </w:rPr>
        <w:instrText xml:space="preserve"> STYLEREF 9 \s </w:instrText>
      </w:r>
      <w:r w:rsidR="00B5448A">
        <w:rPr>
          <w:noProof/>
        </w:rPr>
        <w:fldChar w:fldCharType="separate"/>
      </w:r>
      <w:r w:rsidR="0083361D">
        <w:rPr>
          <w:noProof/>
        </w:rPr>
        <w:t>A</w:t>
      </w:r>
      <w:r w:rsidR="00B5448A">
        <w:rPr>
          <w:noProof/>
        </w:rPr>
        <w:fldChar w:fldCharType="end"/>
      </w:r>
      <w:r>
        <w:t>.</w:t>
      </w:r>
      <w:r w:rsidR="00B5448A">
        <w:rPr>
          <w:noProof/>
        </w:rPr>
        <w:fldChar w:fldCharType="begin"/>
      </w:r>
      <w:r w:rsidR="00B5448A">
        <w:rPr>
          <w:noProof/>
        </w:rPr>
        <w:instrText xml:space="preserve"> SEQ Apx_Table \* ARABIC \s 9 </w:instrText>
      </w:r>
      <w:r w:rsidR="00B5448A">
        <w:rPr>
          <w:noProof/>
        </w:rPr>
        <w:fldChar w:fldCharType="separate"/>
      </w:r>
      <w:r w:rsidR="0083361D">
        <w:rPr>
          <w:noProof/>
        </w:rPr>
        <w:t>1</w:t>
      </w:r>
      <w:r w:rsidR="00B5448A">
        <w:rPr>
          <w:noProof/>
        </w:rPr>
        <w:fldChar w:fldCharType="end"/>
      </w:r>
      <w:r>
        <w:t xml:space="preserve"> Mining regions included in the analysis</w:t>
      </w:r>
      <w:bookmarkEnd w:id="29"/>
      <w:bookmarkEnd w:id="30"/>
      <w:bookmarkEnd w:id="31"/>
      <w:bookmarkEnd w:id="32"/>
    </w:p>
    <w:tbl>
      <w:tblPr>
        <w:tblStyle w:val="TableGridLight"/>
        <w:tblW w:w="0" w:type="auto"/>
        <w:tblLook w:val="04A0" w:firstRow="1" w:lastRow="0" w:firstColumn="1" w:lastColumn="0" w:noHBand="0" w:noVBand="1"/>
        <w:tblCaption w:val="Table A.1"/>
        <w:tblDescription w:val="This table lists mining regions and local government areas."/>
      </w:tblPr>
      <w:tblGrid>
        <w:gridCol w:w="4814"/>
        <w:gridCol w:w="4814"/>
      </w:tblGrid>
      <w:tr w:rsidR="00252FC7" w14:paraId="5AE8D6D1" w14:textId="77777777" w:rsidTr="00252FC7">
        <w:trPr>
          <w:tblHeader/>
        </w:trPr>
        <w:tc>
          <w:tcPr>
            <w:tcW w:w="4814" w:type="dxa"/>
            <w:tcBorders>
              <w:top w:val="nil"/>
              <w:left w:val="nil"/>
              <w:bottom w:val="single" w:sz="4" w:space="0" w:color="auto"/>
              <w:right w:val="nil"/>
            </w:tcBorders>
          </w:tcPr>
          <w:p w14:paraId="46F2B4AB" w14:textId="77777777" w:rsidR="00252FC7" w:rsidRPr="000B76E2" w:rsidRDefault="00252FC7" w:rsidP="000B76E2">
            <w:pPr>
              <w:rPr>
                <w:sz w:val="20"/>
              </w:rPr>
            </w:pPr>
          </w:p>
        </w:tc>
        <w:tc>
          <w:tcPr>
            <w:tcW w:w="4814" w:type="dxa"/>
            <w:tcBorders>
              <w:top w:val="nil"/>
              <w:left w:val="nil"/>
              <w:bottom w:val="single" w:sz="4" w:space="0" w:color="auto"/>
              <w:right w:val="nil"/>
            </w:tcBorders>
          </w:tcPr>
          <w:p w14:paraId="6809CC20" w14:textId="77777777" w:rsidR="00252FC7" w:rsidRPr="000B76E2" w:rsidRDefault="00252FC7" w:rsidP="000B76E2">
            <w:pPr>
              <w:rPr>
                <w:sz w:val="20"/>
              </w:rPr>
            </w:pPr>
          </w:p>
        </w:tc>
      </w:tr>
      <w:tr w:rsidR="000B76E2" w14:paraId="15F0A6BC" w14:textId="77777777" w:rsidTr="00252FC7">
        <w:tc>
          <w:tcPr>
            <w:tcW w:w="4814" w:type="dxa"/>
            <w:tcBorders>
              <w:top w:val="single" w:sz="4" w:space="0" w:color="auto"/>
            </w:tcBorders>
          </w:tcPr>
          <w:p w14:paraId="33EC0428" w14:textId="1388A536" w:rsidR="000B76E2" w:rsidRPr="000B76E2" w:rsidRDefault="000B76E2" w:rsidP="000B76E2">
            <w:pPr>
              <w:rPr>
                <w:sz w:val="20"/>
              </w:rPr>
            </w:pPr>
            <w:r w:rsidRPr="000B76E2">
              <w:rPr>
                <w:sz w:val="20"/>
              </w:rPr>
              <w:t>North-West Queensland, QLD</w:t>
            </w:r>
          </w:p>
          <w:p w14:paraId="0068439C" w14:textId="0E91AEBB" w:rsidR="000B76E2" w:rsidRPr="000B76E2" w:rsidRDefault="000B76E2" w:rsidP="000B76E2">
            <w:pPr>
              <w:pStyle w:val="ListParagraph"/>
              <w:numPr>
                <w:ilvl w:val="0"/>
                <w:numId w:val="21"/>
              </w:numPr>
              <w:spacing w:before="100" w:after="200" w:line="276" w:lineRule="auto"/>
              <w:rPr>
                <w:sz w:val="20"/>
              </w:rPr>
            </w:pPr>
            <w:r w:rsidRPr="000B76E2">
              <w:rPr>
                <w:sz w:val="20"/>
              </w:rPr>
              <w:t>Cloncurry LGA</w:t>
            </w:r>
          </w:p>
          <w:p w14:paraId="3AF65951"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Mount Isa LGA</w:t>
            </w:r>
          </w:p>
          <w:p w14:paraId="17CD4143" w14:textId="77777777" w:rsidR="000B76E2" w:rsidRPr="000B76E2" w:rsidRDefault="000B76E2" w:rsidP="000B76E2">
            <w:pPr>
              <w:pStyle w:val="ListParagraph"/>
              <w:numPr>
                <w:ilvl w:val="0"/>
                <w:numId w:val="21"/>
              </w:numPr>
              <w:spacing w:before="100" w:after="200" w:line="276" w:lineRule="auto"/>
              <w:rPr>
                <w:sz w:val="20"/>
              </w:rPr>
            </w:pPr>
            <w:proofErr w:type="spellStart"/>
            <w:r w:rsidRPr="000B76E2">
              <w:rPr>
                <w:sz w:val="20"/>
              </w:rPr>
              <w:t>McKinlay</w:t>
            </w:r>
            <w:proofErr w:type="spellEnd"/>
            <w:r w:rsidRPr="000B76E2">
              <w:rPr>
                <w:sz w:val="20"/>
              </w:rPr>
              <w:t xml:space="preserve"> LGA</w:t>
            </w:r>
          </w:p>
          <w:p w14:paraId="384D581E"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Burke LGA</w:t>
            </w:r>
          </w:p>
          <w:p w14:paraId="0A3A5A42" w14:textId="77777777" w:rsidR="000B76E2" w:rsidRPr="000B76E2" w:rsidRDefault="000B76E2" w:rsidP="000B76E2">
            <w:pPr>
              <w:pStyle w:val="ListParagraph"/>
              <w:numPr>
                <w:ilvl w:val="0"/>
                <w:numId w:val="21"/>
              </w:numPr>
              <w:spacing w:before="100" w:after="200" w:line="276" w:lineRule="auto"/>
              <w:rPr>
                <w:sz w:val="20"/>
              </w:rPr>
            </w:pPr>
            <w:proofErr w:type="spellStart"/>
            <w:r w:rsidRPr="000B76E2">
              <w:rPr>
                <w:sz w:val="20"/>
              </w:rPr>
              <w:t>Doommadgee</w:t>
            </w:r>
            <w:proofErr w:type="spellEnd"/>
            <w:r w:rsidRPr="000B76E2">
              <w:rPr>
                <w:sz w:val="20"/>
              </w:rPr>
              <w:t xml:space="preserve"> LGA</w:t>
            </w:r>
          </w:p>
          <w:p w14:paraId="7BA543E7" w14:textId="77777777" w:rsidR="000B76E2" w:rsidRPr="000B76E2" w:rsidRDefault="000B76E2" w:rsidP="000B76E2">
            <w:pPr>
              <w:rPr>
                <w:sz w:val="20"/>
              </w:rPr>
            </w:pPr>
            <w:r w:rsidRPr="000B76E2">
              <w:rPr>
                <w:sz w:val="20"/>
              </w:rPr>
              <w:t>Galilee Basin, QLD</w:t>
            </w:r>
          </w:p>
          <w:p w14:paraId="0E2B0263"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Barcaldine LGA</w:t>
            </w:r>
          </w:p>
          <w:p w14:paraId="2307410C" w14:textId="77777777" w:rsidR="000B76E2" w:rsidRPr="000B76E2" w:rsidRDefault="000B76E2" w:rsidP="000B76E2">
            <w:pPr>
              <w:rPr>
                <w:sz w:val="20"/>
              </w:rPr>
            </w:pPr>
            <w:r w:rsidRPr="000B76E2">
              <w:rPr>
                <w:sz w:val="20"/>
              </w:rPr>
              <w:t>Bowen Basin, QLD</w:t>
            </w:r>
          </w:p>
          <w:p w14:paraId="68571BDC"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Banana LGA</w:t>
            </w:r>
          </w:p>
          <w:p w14:paraId="70D4B118"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Central Highlands LGA</w:t>
            </w:r>
          </w:p>
          <w:p w14:paraId="2A9ACE52"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Isaac LGA</w:t>
            </w:r>
          </w:p>
          <w:p w14:paraId="0FE9E926"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Woorabinda LGA</w:t>
            </w:r>
          </w:p>
          <w:p w14:paraId="1BA2039D" w14:textId="77777777" w:rsidR="000B76E2" w:rsidRPr="000B76E2" w:rsidRDefault="000B76E2" w:rsidP="000B76E2">
            <w:pPr>
              <w:rPr>
                <w:sz w:val="20"/>
              </w:rPr>
            </w:pPr>
            <w:r w:rsidRPr="000B76E2">
              <w:rPr>
                <w:sz w:val="20"/>
              </w:rPr>
              <w:t>Surat Basin, QLD</w:t>
            </w:r>
          </w:p>
          <w:p w14:paraId="31716957"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Maranoa LGA</w:t>
            </w:r>
          </w:p>
          <w:p w14:paraId="66E2F722"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Toowoomba LGA</w:t>
            </w:r>
          </w:p>
          <w:p w14:paraId="2C2FCCF6"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Western Downs LGA</w:t>
            </w:r>
          </w:p>
          <w:p w14:paraId="45895916" w14:textId="77777777" w:rsidR="000B76E2" w:rsidRPr="000B76E2" w:rsidRDefault="000B76E2" w:rsidP="000B76E2">
            <w:pPr>
              <w:rPr>
                <w:sz w:val="20"/>
              </w:rPr>
            </w:pPr>
            <w:r w:rsidRPr="000B76E2">
              <w:rPr>
                <w:sz w:val="20"/>
              </w:rPr>
              <w:t>Central South Australia, SA</w:t>
            </w:r>
          </w:p>
          <w:p w14:paraId="412B6866"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Coober Pedy LGA</w:t>
            </w:r>
          </w:p>
          <w:p w14:paraId="3950EEDE"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Roxby Downs LGA</w:t>
            </w:r>
          </w:p>
          <w:p w14:paraId="2F70D34F" w14:textId="3EB02728" w:rsidR="000B76E2" w:rsidRPr="000B76E2" w:rsidRDefault="000B76E2" w:rsidP="004F4DC0">
            <w:pPr>
              <w:pStyle w:val="ListParagraph"/>
              <w:numPr>
                <w:ilvl w:val="0"/>
                <w:numId w:val="21"/>
              </w:numPr>
              <w:spacing w:before="100" w:after="200" w:line="276" w:lineRule="auto"/>
              <w:rPr>
                <w:sz w:val="20"/>
              </w:rPr>
            </w:pPr>
            <w:r w:rsidRPr="000B76E2">
              <w:rPr>
                <w:sz w:val="20"/>
              </w:rPr>
              <w:t>Unincorporated SA</w:t>
            </w:r>
          </w:p>
        </w:tc>
        <w:tc>
          <w:tcPr>
            <w:tcW w:w="4814" w:type="dxa"/>
            <w:tcBorders>
              <w:top w:val="single" w:sz="4" w:space="0" w:color="auto"/>
            </w:tcBorders>
          </w:tcPr>
          <w:p w14:paraId="21691C5D" w14:textId="77777777" w:rsidR="000B76E2" w:rsidRPr="000B76E2" w:rsidRDefault="000B76E2" w:rsidP="000B76E2">
            <w:pPr>
              <w:rPr>
                <w:sz w:val="20"/>
              </w:rPr>
            </w:pPr>
            <w:r w:rsidRPr="000B76E2">
              <w:rPr>
                <w:sz w:val="20"/>
              </w:rPr>
              <w:t>Hunter Valley, NSW</w:t>
            </w:r>
          </w:p>
          <w:p w14:paraId="5871DAF3"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Dungog LGA</w:t>
            </w:r>
          </w:p>
          <w:p w14:paraId="22E97AD7"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Mid-Coast LGA</w:t>
            </w:r>
          </w:p>
          <w:p w14:paraId="721A466C"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Gunnedah LGA</w:t>
            </w:r>
          </w:p>
          <w:p w14:paraId="750C7F8A"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Liverpool Plains LGA</w:t>
            </w:r>
          </w:p>
          <w:p w14:paraId="7B85B6F5"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Muswellbrook LGA</w:t>
            </w:r>
          </w:p>
          <w:p w14:paraId="53C8CF83"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Singleton LGA</w:t>
            </w:r>
          </w:p>
          <w:p w14:paraId="59CDADD4"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Upper Hunter Shire LGA</w:t>
            </w:r>
          </w:p>
          <w:p w14:paraId="46712197" w14:textId="77777777" w:rsidR="000B76E2" w:rsidRPr="000B76E2" w:rsidRDefault="000B76E2" w:rsidP="000B76E2">
            <w:pPr>
              <w:rPr>
                <w:sz w:val="20"/>
              </w:rPr>
            </w:pPr>
            <w:r w:rsidRPr="000B76E2">
              <w:rPr>
                <w:sz w:val="20"/>
              </w:rPr>
              <w:t>Kalgoorlie-Boulder, WA</w:t>
            </w:r>
          </w:p>
          <w:p w14:paraId="7D226FC0"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Coolgardie LGA</w:t>
            </w:r>
          </w:p>
          <w:p w14:paraId="2D26070C"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Kalgoorlie-Boulder LGA</w:t>
            </w:r>
          </w:p>
          <w:p w14:paraId="26E91939"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Laverton LGA</w:t>
            </w:r>
          </w:p>
          <w:p w14:paraId="57796C95"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Leonora LGA</w:t>
            </w:r>
          </w:p>
          <w:p w14:paraId="684777E7"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Menzies LGA</w:t>
            </w:r>
          </w:p>
          <w:p w14:paraId="18CFC8B7" w14:textId="77777777" w:rsidR="000B76E2" w:rsidRPr="000B76E2" w:rsidRDefault="000B76E2" w:rsidP="000B76E2">
            <w:pPr>
              <w:rPr>
                <w:sz w:val="20"/>
              </w:rPr>
            </w:pPr>
            <w:r w:rsidRPr="000B76E2">
              <w:rPr>
                <w:sz w:val="20"/>
              </w:rPr>
              <w:t>Central West, WA</w:t>
            </w:r>
          </w:p>
          <w:p w14:paraId="7653C841"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Meekatharra LGA</w:t>
            </w:r>
          </w:p>
          <w:p w14:paraId="0736532A"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Wiluna LGA</w:t>
            </w:r>
          </w:p>
          <w:p w14:paraId="4A2114F3" w14:textId="77777777" w:rsidR="000B76E2" w:rsidRPr="000B76E2" w:rsidRDefault="000B76E2" w:rsidP="000B76E2">
            <w:pPr>
              <w:rPr>
                <w:sz w:val="20"/>
              </w:rPr>
            </w:pPr>
            <w:r w:rsidRPr="000B76E2">
              <w:rPr>
                <w:sz w:val="20"/>
              </w:rPr>
              <w:t>Pilbara, WA</w:t>
            </w:r>
          </w:p>
          <w:p w14:paraId="722D8BEF"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Ashburton LGA</w:t>
            </w:r>
          </w:p>
          <w:p w14:paraId="585E51F9"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East Pilbara LGA</w:t>
            </w:r>
          </w:p>
          <w:p w14:paraId="357BAAEE" w14:textId="77777777" w:rsidR="000B76E2" w:rsidRPr="000B76E2" w:rsidRDefault="000B76E2" w:rsidP="000B76E2">
            <w:pPr>
              <w:pStyle w:val="ListParagraph"/>
              <w:numPr>
                <w:ilvl w:val="0"/>
                <w:numId w:val="21"/>
              </w:numPr>
              <w:spacing w:before="100" w:after="200" w:line="276" w:lineRule="auto"/>
              <w:rPr>
                <w:sz w:val="20"/>
              </w:rPr>
            </w:pPr>
            <w:r w:rsidRPr="000B76E2">
              <w:rPr>
                <w:sz w:val="20"/>
              </w:rPr>
              <w:t>Port Hedland LGA</w:t>
            </w:r>
          </w:p>
          <w:p w14:paraId="166759E7" w14:textId="06DAF6C9" w:rsidR="000B76E2" w:rsidRPr="000B76E2" w:rsidRDefault="000B76E2" w:rsidP="000B76E2">
            <w:pPr>
              <w:pStyle w:val="ListParagraph"/>
              <w:numPr>
                <w:ilvl w:val="0"/>
                <w:numId w:val="21"/>
              </w:numPr>
              <w:spacing w:before="100" w:after="200" w:line="276" w:lineRule="auto"/>
              <w:rPr>
                <w:sz w:val="20"/>
              </w:rPr>
            </w:pPr>
            <w:r w:rsidRPr="000B76E2">
              <w:rPr>
                <w:sz w:val="20"/>
              </w:rPr>
              <w:t>Karratha LGA</w:t>
            </w:r>
          </w:p>
        </w:tc>
      </w:tr>
    </w:tbl>
    <w:p w14:paraId="3B03DC0B" w14:textId="77777777" w:rsidR="000B76E2" w:rsidRDefault="000B76E2" w:rsidP="004F4DC0">
      <w:pPr>
        <w:pStyle w:val="BodyText"/>
      </w:pPr>
    </w:p>
    <w:p w14:paraId="69F2D7D4" w14:textId="171DFB41" w:rsidR="000B76E2" w:rsidRDefault="000B76E2" w:rsidP="000B76E2">
      <w:pPr>
        <w:pStyle w:val="BodyText"/>
      </w:pPr>
      <w:r>
        <w:t>The mining regions considered are listed</w:t>
      </w:r>
      <w:r w:rsidR="00EF7AEF">
        <w:t>,</w:t>
      </w:r>
      <w:r>
        <w:t xml:space="preserve"> together with the </w:t>
      </w:r>
      <w:r w:rsidR="00716CFB">
        <w:t>l</w:t>
      </w:r>
      <w:r>
        <w:t xml:space="preserve">ocal </w:t>
      </w:r>
      <w:r w:rsidR="00716CFB">
        <w:t>g</w:t>
      </w:r>
      <w:r>
        <w:t xml:space="preserve">overnment </w:t>
      </w:r>
      <w:r w:rsidR="00716CFB">
        <w:t>a</w:t>
      </w:r>
      <w:r>
        <w:t>reas which form them</w:t>
      </w:r>
      <w:r w:rsidR="00EF7AEF">
        <w:t>,</w:t>
      </w:r>
      <w:r>
        <w:t xml:space="preserve"> in Table 3 </w:t>
      </w:r>
      <w:r>
        <w:fldChar w:fldCharType="begin"/>
      </w:r>
      <w:r>
        <w:instrText xml:space="preserve"> ADDIN EN.CITE &lt;EndNote&gt;&lt;Cite&gt;&lt;Author&gt;KPMG&lt;/Author&gt;&lt;Year&gt;2013&lt;/Year&gt;&lt;RecNum&gt;2962&lt;/RecNum&gt;&lt;DisplayText&gt;(Fleming and Measham, 2015; KPMG, 2013)&lt;/DisplayText&gt;&lt;record&gt;&lt;rec-number&gt;2962&lt;/rec-number&gt;&lt;foreign-keys&gt;&lt;key app="EN" db-id="vzav25azvd0fxjextfzvax229ff0apaprtda" timestamp="1504755172"&gt;2962&lt;/key&gt;&lt;/foreign-keys&gt;&lt;ref-type name="Report"&gt;27&lt;/ref-type&gt;&lt;contributors&gt;&lt;authors&gt;&lt;author&gt;KPMG,&lt;/author&gt;&lt;/authors&gt;&lt;/contributors&gt;&lt;titles&gt;&lt;title&gt;Analysis of the changing resident demograohic profile of Australia’s mining communities&lt;/title&gt;&lt;/titles&gt;&lt;dates&gt;&lt;year&gt;2013&lt;/year&gt;&lt;/dates&gt;&lt;urls&gt;&lt;related-urls&gt;&lt;url&gt;http://www.minerals.org.au/file_upload/files/reports/MCA-13-ResidentialProfile0131-MYR.pdf&lt;/url&gt;&lt;/related-urls&gt;&lt;pdf-urls&gt;&lt;url&gt;file://C:\Users\por083\Documents\EndNote\20170808-LP-Lib.Data\PDF\MCA-13-ResidentialProfile0131-MYR.pdf&lt;/url&gt;&lt;/pdf-urls&gt;&lt;/urls&gt;&lt;/record&gt;&lt;/Cite&gt;&lt;Cite&gt;&lt;Author&gt;Fleming&lt;/Author&gt;&lt;Year&gt;2015&lt;/Year&gt;&lt;RecNum&gt;2894&lt;/RecNum&gt;&lt;record&gt;&lt;rec-number&gt;2894&lt;/rec-number&gt;&lt;foreign-keys&gt;&lt;key app="EN" db-id="vzav25azvd0fxjextfzvax229ff0apaprtda" timestamp="1502078831"&gt;2894&lt;/key&gt;&lt;/foreign-keys&gt;&lt;ref-type name="Journal Article"&gt;17&lt;/ref-type&gt;&lt;contributors&gt;&lt;authors&gt;&lt;author&gt;Fleming, David A.&lt;/author&gt;&lt;author&gt;Measham, Thomas G.&lt;/author&gt;&lt;/authors&gt;&lt;/contributors&gt;&lt;titles&gt;&lt;title&gt;Income Inequality across Australian Regions during the Mining Boom: 2001–11&lt;/title&gt;&lt;secondary-title&gt;Australian Geographer&lt;/secondary-title&gt;&lt;/titles&gt;&lt;periodical&gt;&lt;full-title&gt;Australian Geographer&lt;/full-title&gt;&lt;/periodical&gt;&lt;pages&gt;203-216&lt;/pages&gt;&lt;volume&gt;46&lt;/volume&gt;&lt;number&gt;2&lt;/number&gt;&lt;dates&gt;&lt;year&gt;2015&lt;/year&gt;&lt;pub-dates&gt;&lt;date&gt;2015/04/03&lt;/date&gt;&lt;/pub-dates&gt;&lt;/dates&gt;&lt;publisher&gt;Routledge&lt;/publisher&gt;&lt;isbn&gt;0004-9182&lt;/isbn&gt;&lt;urls&gt;&lt;related-urls&gt;&lt;url&gt;http://dx.doi.org/10.1080/00049182.2015.1020596&lt;/url&gt;&lt;/related-urls&gt;&lt;pdf-urls&gt;&lt;url&gt;file://C:\Users\por083\Documents\EndNote\20170808-LP-Lib.Data\PDF\Fleming-2015-Income Inequality_ Mining Boom 2001 11.pdf&lt;/url&gt;&lt;/pdf-urls&gt;&lt;/urls&gt;&lt;electronic-resource-num&gt;10.1080/00049182.2015.1020596&lt;/electronic-resource-num&gt;&lt;/record&gt;&lt;/Cite&gt;&lt;/EndNote&gt;</w:instrText>
      </w:r>
      <w:r>
        <w:fldChar w:fldCharType="separate"/>
      </w:r>
      <w:r>
        <w:rPr>
          <w:noProof/>
        </w:rPr>
        <w:t>(Fleming and Measham, 2015; KPMG, 2013)</w:t>
      </w:r>
      <w:r>
        <w:fldChar w:fldCharType="end"/>
      </w:r>
      <w:r>
        <w:t>.</w:t>
      </w:r>
    </w:p>
    <w:p w14:paraId="5A6D6EE5" w14:textId="77777777" w:rsidR="001D7E21" w:rsidRDefault="001D7E21" w:rsidP="001D7E21">
      <w:pPr>
        <w:pStyle w:val="BodyText"/>
        <w:keepNext/>
      </w:pPr>
      <w:r>
        <w:rPr>
          <w:noProof/>
        </w:rPr>
        <w:lastRenderedPageBreak/>
        <w:drawing>
          <wp:inline distT="0" distB="0" distL="0" distR="0" wp14:anchorId="5A3504BD" wp14:editId="5F94F20C">
            <wp:extent cx="6120130" cy="4326890"/>
            <wp:effectExtent l="0" t="0" r="0" b="0"/>
            <wp:docPr id="47" name="Picture 47" descr="This map of Australia shows changes in local government areas." title="Apx Figure A.1 Percentage change in the inequality Gini coefficient in mining regions, 2006–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iniChange2006-2016_wMiningRegions.jpg"/>
                    <pic:cNvPicPr/>
                  </pic:nvPicPr>
                  <pic:blipFill>
                    <a:blip r:embed="rId31">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07A6FA64" w14:textId="1124BD20" w:rsidR="00B56D08" w:rsidRDefault="004C4580" w:rsidP="00B56D08">
      <w:pPr>
        <w:pStyle w:val="Caption"/>
      </w:pPr>
      <w:bookmarkStart w:id="33" w:name="_Toc515031477"/>
      <w:proofErr w:type="spellStart"/>
      <w:r>
        <w:t>Apx</w:t>
      </w:r>
      <w:proofErr w:type="spellEnd"/>
      <w:r>
        <w:t xml:space="preserve"> </w:t>
      </w:r>
      <w:r w:rsidR="00B56D08">
        <w:t xml:space="preserve">Figure </w:t>
      </w:r>
      <w:r w:rsidR="00B5448A">
        <w:rPr>
          <w:noProof/>
        </w:rPr>
        <w:fldChar w:fldCharType="begin"/>
      </w:r>
      <w:r w:rsidR="00B5448A">
        <w:rPr>
          <w:noProof/>
        </w:rPr>
        <w:instrText xml:space="preserve"> STYLEREF 9 \s </w:instrText>
      </w:r>
      <w:r w:rsidR="00B5448A">
        <w:rPr>
          <w:noProof/>
        </w:rPr>
        <w:fldChar w:fldCharType="separate"/>
      </w:r>
      <w:r w:rsidR="0083361D">
        <w:rPr>
          <w:noProof/>
        </w:rPr>
        <w:t>A</w:t>
      </w:r>
      <w:r w:rsidR="00B5448A">
        <w:rPr>
          <w:noProof/>
        </w:rPr>
        <w:fldChar w:fldCharType="end"/>
      </w:r>
      <w:r w:rsidR="00B56D08">
        <w:t>.</w:t>
      </w:r>
      <w:r w:rsidR="00B5448A">
        <w:rPr>
          <w:noProof/>
        </w:rPr>
        <w:fldChar w:fldCharType="begin"/>
      </w:r>
      <w:r w:rsidR="00B5448A">
        <w:rPr>
          <w:noProof/>
        </w:rPr>
        <w:instrText xml:space="preserve"> SEQ Apx_Figure \* ARABIC \s 9 </w:instrText>
      </w:r>
      <w:r w:rsidR="00B5448A">
        <w:rPr>
          <w:noProof/>
        </w:rPr>
        <w:fldChar w:fldCharType="separate"/>
      </w:r>
      <w:r w:rsidR="0083361D">
        <w:rPr>
          <w:noProof/>
        </w:rPr>
        <w:t>1</w:t>
      </w:r>
      <w:r w:rsidR="00B5448A">
        <w:rPr>
          <w:noProof/>
        </w:rPr>
        <w:fldChar w:fldCharType="end"/>
      </w:r>
      <w:r w:rsidR="00B56D08">
        <w:t xml:space="preserve"> Percentage change in the inequality Gini coefficient in mining regions, 2006–2016</w:t>
      </w:r>
      <w:bookmarkEnd w:id="33"/>
    </w:p>
    <w:p w14:paraId="3FBFC9E3" w14:textId="1B3EEA0D" w:rsidR="004F4DC0" w:rsidRDefault="008846BC" w:rsidP="005405D0">
      <w:pPr>
        <w:pStyle w:val="FootnoteText"/>
      </w:pPr>
      <w:r>
        <w:t>Data s</w:t>
      </w:r>
      <w:r w:rsidR="00B56D08">
        <w:t xml:space="preserve">ource: analysis based on </w:t>
      </w:r>
      <w:r w:rsidR="00472DAC">
        <w:t xml:space="preserve">Australian </w:t>
      </w:r>
      <w:r w:rsidR="00B56D08">
        <w:t>Census income data, SA3 level regions</w:t>
      </w:r>
      <w:r w:rsidR="00EF7AEF">
        <w:t>.</w:t>
      </w:r>
    </w:p>
    <w:p w14:paraId="6A2E148F" w14:textId="69D7CCF6" w:rsidR="004C4DEA" w:rsidRDefault="004C4DEA" w:rsidP="004C4DEA">
      <w:pPr>
        <w:pStyle w:val="BodyText"/>
      </w:pPr>
      <w:r>
        <w:t>To illustrate the incremental change in the Gini coefficient from 2006 to 2011 and from 2011 to 2016, additional figures are included below. However, no significant changes at the SA2 level were found.</w:t>
      </w:r>
    </w:p>
    <w:p w14:paraId="3BB0D8D1" w14:textId="5B5769D5" w:rsidR="004F4DC0" w:rsidRPr="004F4DC0" w:rsidRDefault="005405D0" w:rsidP="004F4DC0">
      <w:pPr>
        <w:pStyle w:val="Caption"/>
      </w:pPr>
      <w:bookmarkStart w:id="34" w:name="_Toc515031492"/>
      <w:r>
        <w:t xml:space="preserve">Table </w:t>
      </w:r>
      <w:r w:rsidR="00B5448A">
        <w:rPr>
          <w:noProof/>
        </w:rPr>
        <w:fldChar w:fldCharType="begin"/>
      </w:r>
      <w:r w:rsidR="00B5448A">
        <w:rPr>
          <w:noProof/>
        </w:rPr>
        <w:instrText xml:space="preserve"> STYLEREF 9 \s </w:instrText>
      </w:r>
      <w:r w:rsidR="00B5448A">
        <w:rPr>
          <w:noProof/>
        </w:rPr>
        <w:fldChar w:fldCharType="separate"/>
      </w:r>
      <w:r w:rsidR="0083361D">
        <w:rPr>
          <w:noProof/>
        </w:rPr>
        <w:t>A</w:t>
      </w:r>
      <w:r w:rsidR="00B5448A">
        <w:rPr>
          <w:noProof/>
        </w:rPr>
        <w:fldChar w:fldCharType="end"/>
      </w:r>
      <w:r>
        <w:t>.</w:t>
      </w:r>
      <w:r w:rsidR="00B5448A">
        <w:rPr>
          <w:noProof/>
        </w:rPr>
        <w:fldChar w:fldCharType="begin"/>
      </w:r>
      <w:r w:rsidR="00B5448A">
        <w:rPr>
          <w:noProof/>
        </w:rPr>
        <w:instrText xml:space="preserve"> SEQ Apx_Table \* ARABIC \s 9 </w:instrText>
      </w:r>
      <w:r w:rsidR="00B5448A">
        <w:rPr>
          <w:noProof/>
        </w:rPr>
        <w:fldChar w:fldCharType="separate"/>
      </w:r>
      <w:r w:rsidR="0083361D">
        <w:rPr>
          <w:noProof/>
        </w:rPr>
        <w:t>2</w:t>
      </w:r>
      <w:r w:rsidR="00B5448A">
        <w:rPr>
          <w:noProof/>
        </w:rPr>
        <w:fldChar w:fldCharType="end"/>
      </w:r>
      <w:r>
        <w:t xml:space="preserve"> </w:t>
      </w:r>
      <w:r w:rsidR="004F4DC0">
        <w:t>Gini coefficient values’ change t-test analysis, SA2 level analysis</w:t>
      </w:r>
      <w:bookmarkEnd w:id="34"/>
    </w:p>
    <w:tbl>
      <w:tblPr>
        <w:tblStyle w:val="TableCSIRO"/>
        <w:tblW w:w="0" w:type="auto"/>
        <w:tblLook w:val="0420" w:firstRow="1" w:lastRow="0" w:firstColumn="0" w:lastColumn="0" w:noHBand="0" w:noVBand="1"/>
        <w:tblCaption w:val="Table A.2 Gini coefficient values’ change t-test analysis, SA2 level analysis"/>
        <w:tblDescription w:val="This table lists data for Tests 1, 2 and 3."/>
      </w:tblPr>
      <w:tblGrid>
        <w:gridCol w:w="3431"/>
        <w:gridCol w:w="2031"/>
        <w:gridCol w:w="2031"/>
        <w:gridCol w:w="2032"/>
      </w:tblGrid>
      <w:tr w:rsidR="004F4DC0" w:rsidRPr="00052317" w14:paraId="021CC8CB" w14:textId="77777777" w:rsidTr="00252FC7">
        <w:trPr>
          <w:cnfStyle w:val="100000000000" w:firstRow="1" w:lastRow="0" w:firstColumn="0" w:lastColumn="0" w:oddVBand="0" w:evenVBand="0" w:oddHBand="0" w:evenHBand="0" w:firstRowFirstColumn="0" w:firstRowLastColumn="0" w:lastRowFirstColumn="0" w:lastRowLastColumn="0"/>
          <w:tblHeader/>
        </w:trPr>
        <w:tc>
          <w:tcPr>
            <w:tcW w:w="3431" w:type="dxa"/>
          </w:tcPr>
          <w:p w14:paraId="31BD2CD4" w14:textId="77777777" w:rsidR="004F4DC0" w:rsidRPr="00052317" w:rsidRDefault="004F4DC0" w:rsidP="00BD74D5">
            <w:pPr>
              <w:widowControl w:val="0"/>
              <w:autoSpaceDE w:val="0"/>
              <w:autoSpaceDN w:val="0"/>
              <w:adjustRightInd w:val="0"/>
              <w:spacing w:after="0"/>
              <w:rPr>
                <w:rFonts w:ascii="Times New Roman" w:hAnsi="Times New Roman"/>
                <w:color w:val="FFFFFF" w:themeColor="background1"/>
                <w:szCs w:val="24"/>
                <w:lang w:val="en-US"/>
              </w:rPr>
            </w:pPr>
          </w:p>
        </w:tc>
        <w:tc>
          <w:tcPr>
            <w:tcW w:w="2031" w:type="dxa"/>
          </w:tcPr>
          <w:p w14:paraId="416D82CE" w14:textId="16DEF17B" w:rsidR="004F4DC0" w:rsidRPr="00052317" w:rsidRDefault="004F4DC0" w:rsidP="00BD74D5">
            <w:pPr>
              <w:widowControl w:val="0"/>
              <w:autoSpaceDE w:val="0"/>
              <w:autoSpaceDN w:val="0"/>
              <w:adjustRightInd w:val="0"/>
              <w:spacing w:after="0"/>
              <w:jc w:val="center"/>
              <w:rPr>
                <w:rFonts w:ascii="Times New Roman" w:hAnsi="Times New Roman"/>
                <w:color w:val="FFFFFF" w:themeColor="background1"/>
                <w:szCs w:val="24"/>
                <w:lang w:val="en-US"/>
              </w:rPr>
            </w:pPr>
            <w:r>
              <w:rPr>
                <w:color w:val="FFFFFF" w:themeColor="background1"/>
              </w:rPr>
              <w:t xml:space="preserve">Test 1: </w:t>
            </w:r>
            <w:r w:rsidRPr="00052317">
              <w:rPr>
                <w:color w:val="FFFFFF" w:themeColor="background1"/>
              </w:rPr>
              <w:t>2006</w:t>
            </w:r>
            <w:r w:rsidR="00EA5DB3">
              <w:rPr>
                <w:color w:val="FFFFFF" w:themeColor="background1"/>
              </w:rPr>
              <w:t>–</w:t>
            </w:r>
            <w:r w:rsidRPr="00052317">
              <w:rPr>
                <w:color w:val="FFFFFF" w:themeColor="background1"/>
              </w:rPr>
              <w:t>11</w:t>
            </w:r>
          </w:p>
        </w:tc>
        <w:tc>
          <w:tcPr>
            <w:tcW w:w="2031" w:type="dxa"/>
          </w:tcPr>
          <w:p w14:paraId="213FDEBF" w14:textId="01E2B5AF" w:rsidR="004F4DC0" w:rsidRPr="00052317" w:rsidRDefault="004F4DC0" w:rsidP="00BD74D5">
            <w:pPr>
              <w:widowControl w:val="0"/>
              <w:autoSpaceDE w:val="0"/>
              <w:autoSpaceDN w:val="0"/>
              <w:adjustRightInd w:val="0"/>
              <w:spacing w:after="0"/>
              <w:jc w:val="center"/>
              <w:rPr>
                <w:rFonts w:ascii="Times New Roman" w:hAnsi="Times New Roman"/>
                <w:color w:val="FFFFFF" w:themeColor="background1"/>
                <w:szCs w:val="24"/>
                <w:lang w:val="en-US"/>
              </w:rPr>
            </w:pPr>
            <w:r>
              <w:rPr>
                <w:color w:val="FFFFFF" w:themeColor="background1"/>
              </w:rPr>
              <w:t xml:space="preserve">Test 2: </w:t>
            </w:r>
            <w:r w:rsidRPr="00052317">
              <w:rPr>
                <w:color w:val="FFFFFF" w:themeColor="background1"/>
              </w:rPr>
              <w:t>2011</w:t>
            </w:r>
            <w:r w:rsidR="00EA5DB3">
              <w:rPr>
                <w:color w:val="FFFFFF" w:themeColor="background1"/>
              </w:rPr>
              <w:t>–</w:t>
            </w:r>
            <w:r w:rsidRPr="00052317">
              <w:rPr>
                <w:color w:val="FFFFFF" w:themeColor="background1"/>
              </w:rPr>
              <w:t>16</w:t>
            </w:r>
          </w:p>
        </w:tc>
        <w:tc>
          <w:tcPr>
            <w:tcW w:w="2032" w:type="dxa"/>
          </w:tcPr>
          <w:p w14:paraId="2A510AEC" w14:textId="71609E50" w:rsidR="004F4DC0" w:rsidRPr="00052317" w:rsidRDefault="004F4DC0" w:rsidP="00BD74D5">
            <w:pPr>
              <w:widowControl w:val="0"/>
              <w:autoSpaceDE w:val="0"/>
              <w:autoSpaceDN w:val="0"/>
              <w:adjustRightInd w:val="0"/>
              <w:spacing w:after="0"/>
              <w:jc w:val="center"/>
              <w:rPr>
                <w:rFonts w:ascii="Times New Roman" w:hAnsi="Times New Roman"/>
                <w:color w:val="FFFFFF" w:themeColor="background1"/>
                <w:szCs w:val="24"/>
                <w:lang w:val="en-US"/>
              </w:rPr>
            </w:pPr>
            <w:r>
              <w:rPr>
                <w:color w:val="FFFFFF" w:themeColor="background1"/>
              </w:rPr>
              <w:t xml:space="preserve">Test 3: </w:t>
            </w:r>
            <w:r w:rsidRPr="00052317">
              <w:rPr>
                <w:color w:val="FFFFFF" w:themeColor="background1"/>
              </w:rPr>
              <w:t>2006</w:t>
            </w:r>
            <w:r w:rsidR="00EA5DB3">
              <w:rPr>
                <w:color w:val="FFFFFF" w:themeColor="background1"/>
              </w:rPr>
              <w:t>–</w:t>
            </w:r>
            <w:r w:rsidRPr="00052317">
              <w:rPr>
                <w:color w:val="FFFFFF" w:themeColor="background1"/>
              </w:rPr>
              <w:t>16</w:t>
            </w:r>
          </w:p>
        </w:tc>
      </w:tr>
      <w:tr w:rsidR="004F4DC0" w14:paraId="503DB651" w14:textId="77777777" w:rsidTr="00BD74D5">
        <w:trPr>
          <w:cnfStyle w:val="000000100000" w:firstRow="0" w:lastRow="0" w:firstColumn="0" w:lastColumn="0" w:oddVBand="0" w:evenVBand="0" w:oddHBand="1" w:evenHBand="0" w:firstRowFirstColumn="0" w:firstRowLastColumn="0" w:lastRowFirstColumn="0" w:lastRowLastColumn="0"/>
        </w:trPr>
        <w:tc>
          <w:tcPr>
            <w:tcW w:w="3431" w:type="dxa"/>
          </w:tcPr>
          <w:p w14:paraId="254FCB0C" w14:textId="22A6558F" w:rsidR="004F4DC0" w:rsidRPr="000F5F6E" w:rsidRDefault="004F4DC0" w:rsidP="00BD74D5">
            <w:pPr>
              <w:widowControl w:val="0"/>
              <w:autoSpaceDE w:val="0"/>
              <w:autoSpaceDN w:val="0"/>
              <w:adjustRightInd w:val="0"/>
              <w:spacing w:after="0"/>
              <w:rPr>
                <w:rFonts w:asciiTheme="minorHAnsi" w:hAnsiTheme="minorHAnsi"/>
                <w:szCs w:val="24"/>
                <w:lang w:val="en-US"/>
              </w:rPr>
            </w:pPr>
            <w:r w:rsidRPr="000F5F6E">
              <w:rPr>
                <w:rFonts w:asciiTheme="minorHAnsi" w:hAnsiTheme="minorHAnsi"/>
                <w:szCs w:val="24"/>
                <w:lang w:val="en-US"/>
              </w:rPr>
              <w:t>Gini mean change (%), non-mining regions</w:t>
            </w:r>
          </w:p>
          <w:p w14:paraId="012D40CA" w14:textId="77777777" w:rsidR="004F4DC0" w:rsidRPr="000F5F6E" w:rsidRDefault="004F4DC0" w:rsidP="00BD74D5">
            <w:pPr>
              <w:widowControl w:val="0"/>
              <w:autoSpaceDE w:val="0"/>
              <w:autoSpaceDN w:val="0"/>
              <w:adjustRightInd w:val="0"/>
              <w:spacing w:after="0"/>
              <w:rPr>
                <w:rFonts w:asciiTheme="minorHAnsi" w:hAnsiTheme="minorHAnsi"/>
                <w:szCs w:val="24"/>
                <w:lang w:val="en-US"/>
              </w:rPr>
            </w:pPr>
            <w:r w:rsidRPr="000F5F6E">
              <w:rPr>
                <w:rFonts w:asciiTheme="minorHAnsi" w:hAnsiTheme="minorHAnsi"/>
                <w:szCs w:val="24"/>
                <w:lang w:val="en-US"/>
              </w:rPr>
              <w:t>(standard error)</w:t>
            </w:r>
          </w:p>
        </w:tc>
        <w:tc>
          <w:tcPr>
            <w:tcW w:w="2031" w:type="dxa"/>
          </w:tcPr>
          <w:p w14:paraId="401B3D0E"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0.83</w:t>
            </w:r>
          </w:p>
          <w:p w14:paraId="70021A5A"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(0.24)</w:t>
            </w:r>
          </w:p>
        </w:tc>
        <w:tc>
          <w:tcPr>
            <w:tcW w:w="2031" w:type="dxa"/>
          </w:tcPr>
          <w:p w14:paraId="1BB9D2F4"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4.32</w:t>
            </w:r>
          </w:p>
          <w:p w14:paraId="42DE8F9D"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(0.37)</w:t>
            </w:r>
          </w:p>
        </w:tc>
        <w:tc>
          <w:tcPr>
            <w:tcW w:w="2032" w:type="dxa"/>
          </w:tcPr>
          <w:p w14:paraId="6F3863FB"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4.60</w:t>
            </w:r>
          </w:p>
          <w:p w14:paraId="61608E3D"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(0.28)</w:t>
            </w:r>
          </w:p>
        </w:tc>
      </w:tr>
      <w:tr w:rsidR="004F4DC0" w14:paraId="7E01C327" w14:textId="77777777" w:rsidTr="00BD74D5">
        <w:tc>
          <w:tcPr>
            <w:tcW w:w="3431" w:type="dxa"/>
          </w:tcPr>
          <w:p w14:paraId="6A881A70" w14:textId="77777777" w:rsidR="004F4DC0" w:rsidRPr="000F5F6E" w:rsidRDefault="004F4DC0" w:rsidP="00BD74D5">
            <w:pPr>
              <w:widowControl w:val="0"/>
              <w:autoSpaceDE w:val="0"/>
              <w:autoSpaceDN w:val="0"/>
              <w:adjustRightInd w:val="0"/>
              <w:spacing w:after="0"/>
              <w:rPr>
                <w:rFonts w:asciiTheme="minorHAnsi" w:hAnsiTheme="minorHAnsi"/>
                <w:szCs w:val="24"/>
                <w:lang w:val="en-US"/>
              </w:rPr>
            </w:pPr>
            <w:r w:rsidRPr="000F5F6E">
              <w:rPr>
                <w:rFonts w:asciiTheme="minorHAnsi" w:hAnsiTheme="minorHAnsi"/>
                <w:iCs/>
                <w:szCs w:val="24"/>
                <w:lang w:val="en-US"/>
              </w:rPr>
              <w:t>No. of observations for non-mining regions</w:t>
            </w:r>
          </w:p>
        </w:tc>
        <w:tc>
          <w:tcPr>
            <w:tcW w:w="2031" w:type="dxa"/>
          </w:tcPr>
          <w:p w14:paraId="026B32CD"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2066</w:t>
            </w:r>
          </w:p>
        </w:tc>
        <w:tc>
          <w:tcPr>
            <w:tcW w:w="2031" w:type="dxa"/>
          </w:tcPr>
          <w:p w14:paraId="65889C77"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2098</w:t>
            </w:r>
          </w:p>
        </w:tc>
        <w:tc>
          <w:tcPr>
            <w:tcW w:w="2032" w:type="dxa"/>
          </w:tcPr>
          <w:p w14:paraId="44E771B3"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2087</w:t>
            </w:r>
          </w:p>
        </w:tc>
      </w:tr>
      <w:tr w:rsidR="004F4DC0" w14:paraId="11BED0B0" w14:textId="77777777" w:rsidTr="00BD74D5">
        <w:trPr>
          <w:cnfStyle w:val="000000100000" w:firstRow="0" w:lastRow="0" w:firstColumn="0" w:lastColumn="0" w:oddVBand="0" w:evenVBand="0" w:oddHBand="1" w:evenHBand="0" w:firstRowFirstColumn="0" w:firstRowLastColumn="0" w:lastRowFirstColumn="0" w:lastRowLastColumn="0"/>
        </w:trPr>
        <w:tc>
          <w:tcPr>
            <w:tcW w:w="3431" w:type="dxa"/>
          </w:tcPr>
          <w:p w14:paraId="24A8BB49" w14:textId="622D081E" w:rsidR="004F4DC0" w:rsidRPr="000F5F6E" w:rsidRDefault="004F4DC0" w:rsidP="00BD74D5">
            <w:pPr>
              <w:widowControl w:val="0"/>
              <w:autoSpaceDE w:val="0"/>
              <w:autoSpaceDN w:val="0"/>
              <w:adjustRightInd w:val="0"/>
              <w:spacing w:after="0"/>
              <w:rPr>
                <w:rFonts w:asciiTheme="minorHAnsi" w:hAnsiTheme="minorHAnsi"/>
                <w:iCs/>
                <w:szCs w:val="24"/>
                <w:lang w:val="en-US"/>
              </w:rPr>
            </w:pPr>
            <w:r w:rsidRPr="000F5F6E">
              <w:rPr>
                <w:rFonts w:asciiTheme="minorHAnsi" w:hAnsiTheme="minorHAnsi"/>
                <w:iCs/>
                <w:szCs w:val="24"/>
                <w:lang w:val="en-US"/>
              </w:rPr>
              <w:t>Gini mean change (%), mining regions</w:t>
            </w:r>
          </w:p>
          <w:p w14:paraId="7825ACC4" w14:textId="77777777" w:rsidR="004F4DC0" w:rsidRPr="000F5F6E" w:rsidRDefault="004F4DC0" w:rsidP="00BD74D5">
            <w:pPr>
              <w:widowControl w:val="0"/>
              <w:autoSpaceDE w:val="0"/>
              <w:autoSpaceDN w:val="0"/>
              <w:adjustRightInd w:val="0"/>
              <w:spacing w:after="0"/>
              <w:rPr>
                <w:rFonts w:asciiTheme="minorHAnsi" w:hAnsiTheme="minorHAnsi"/>
                <w:iCs/>
                <w:szCs w:val="24"/>
                <w:lang w:val="en-US"/>
              </w:rPr>
            </w:pPr>
            <w:r w:rsidRPr="000F5F6E">
              <w:rPr>
                <w:rFonts w:asciiTheme="minorHAnsi" w:hAnsiTheme="minorHAnsi"/>
                <w:iCs/>
                <w:szCs w:val="24"/>
                <w:lang w:val="en-US"/>
              </w:rPr>
              <w:t>(standard error)</w:t>
            </w:r>
          </w:p>
        </w:tc>
        <w:tc>
          <w:tcPr>
            <w:tcW w:w="2031" w:type="dxa"/>
          </w:tcPr>
          <w:p w14:paraId="5861E5D2" w14:textId="749D5770" w:rsidR="004F4DC0" w:rsidRPr="000F5F6E" w:rsidRDefault="00EA5DB3"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w:t>
            </w:r>
            <w:r w:rsidR="004F4DC0" w:rsidRPr="000F5F6E">
              <w:rPr>
                <w:rFonts w:asciiTheme="minorHAnsi" w:hAnsiTheme="minorHAnsi"/>
                <w:szCs w:val="24"/>
                <w:lang w:val="en-US"/>
              </w:rPr>
              <w:t>0.03</w:t>
            </w:r>
          </w:p>
          <w:p w14:paraId="3EBA84A1"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(0.83)</w:t>
            </w:r>
          </w:p>
        </w:tc>
        <w:tc>
          <w:tcPr>
            <w:tcW w:w="2031" w:type="dxa"/>
          </w:tcPr>
          <w:p w14:paraId="147ED814"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5.03</w:t>
            </w:r>
          </w:p>
          <w:p w14:paraId="61342498"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(1.41)</w:t>
            </w:r>
          </w:p>
        </w:tc>
        <w:tc>
          <w:tcPr>
            <w:tcW w:w="2032" w:type="dxa"/>
          </w:tcPr>
          <w:p w14:paraId="286CD74D"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4.92</w:t>
            </w:r>
          </w:p>
          <w:p w14:paraId="728C7704"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(1.07)</w:t>
            </w:r>
          </w:p>
        </w:tc>
      </w:tr>
      <w:tr w:rsidR="004F4DC0" w14:paraId="3178093C" w14:textId="77777777" w:rsidTr="00BD74D5">
        <w:tc>
          <w:tcPr>
            <w:tcW w:w="3431" w:type="dxa"/>
          </w:tcPr>
          <w:p w14:paraId="6058A9B5" w14:textId="77777777" w:rsidR="004F4DC0" w:rsidRPr="000F5F6E" w:rsidRDefault="004F4DC0" w:rsidP="00BD74D5">
            <w:pPr>
              <w:widowControl w:val="0"/>
              <w:autoSpaceDE w:val="0"/>
              <w:autoSpaceDN w:val="0"/>
              <w:adjustRightInd w:val="0"/>
              <w:spacing w:after="0"/>
              <w:rPr>
                <w:rFonts w:asciiTheme="minorHAnsi" w:hAnsiTheme="minorHAnsi"/>
                <w:iCs/>
                <w:szCs w:val="24"/>
                <w:lang w:val="en-US"/>
              </w:rPr>
            </w:pPr>
            <w:r w:rsidRPr="000F5F6E">
              <w:rPr>
                <w:rFonts w:asciiTheme="minorHAnsi" w:hAnsiTheme="minorHAnsi"/>
                <w:iCs/>
                <w:szCs w:val="24"/>
                <w:lang w:val="en-US"/>
              </w:rPr>
              <w:t>No. of observations for mining regions</w:t>
            </w:r>
          </w:p>
        </w:tc>
        <w:tc>
          <w:tcPr>
            <w:tcW w:w="2031" w:type="dxa"/>
          </w:tcPr>
          <w:p w14:paraId="44736051"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72</w:t>
            </w:r>
          </w:p>
        </w:tc>
        <w:tc>
          <w:tcPr>
            <w:tcW w:w="2031" w:type="dxa"/>
          </w:tcPr>
          <w:p w14:paraId="1942DBEB"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73</w:t>
            </w:r>
          </w:p>
        </w:tc>
        <w:tc>
          <w:tcPr>
            <w:tcW w:w="2032" w:type="dxa"/>
          </w:tcPr>
          <w:p w14:paraId="34FB8DB4"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73</w:t>
            </w:r>
          </w:p>
        </w:tc>
      </w:tr>
      <w:tr w:rsidR="004F4DC0" w14:paraId="4D9A2771" w14:textId="77777777" w:rsidTr="00BD74D5">
        <w:trPr>
          <w:cnfStyle w:val="000000100000" w:firstRow="0" w:lastRow="0" w:firstColumn="0" w:lastColumn="0" w:oddVBand="0" w:evenVBand="0" w:oddHBand="1" w:evenHBand="0" w:firstRowFirstColumn="0" w:firstRowLastColumn="0" w:lastRowFirstColumn="0" w:lastRowLastColumn="0"/>
        </w:trPr>
        <w:tc>
          <w:tcPr>
            <w:tcW w:w="3431" w:type="dxa"/>
          </w:tcPr>
          <w:p w14:paraId="65070A47" w14:textId="77777777" w:rsidR="004F4DC0" w:rsidRPr="000F5F6E" w:rsidRDefault="004F4DC0" w:rsidP="00BD74D5">
            <w:pPr>
              <w:widowControl w:val="0"/>
              <w:autoSpaceDE w:val="0"/>
              <w:autoSpaceDN w:val="0"/>
              <w:adjustRightInd w:val="0"/>
              <w:spacing w:after="0"/>
              <w:rPr>
                <w:rFonts w:asciiTheme="minorHAnsi" w:hAnsiTheme="minorHAnsi"/>
                <w:szCs w:val="24"/>
                <w:lang w:val="en-US"/>
              </w:rPr>
            </w:pPr>
            <w:r w:rsidRPr="000F5F6E">
              <w:rPr>
                <w:rFonts w:asciiTheme="minorHAnsi" w:hAnsiTheme="minorHAnsi"/>
                <w:szCs w:val="24"/>
                <w:lang w:val="en-US"/>
              </w:rPr>
              <w:t>t-test statistic</w:t>
            </w:r>
          </w:p>
        </w:tc>
        <w:tc>
          <w:tcPr>
            <w:tcW w:w="2031" w:type="dxa"/>
          </w:tcPr>
          <w:p w14:paraId="5A222A92"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0.67</w:t>
            </w:r>
          </w:p>
        </w:tc>
        <w:tc>
          <w:tcPr>
            <w:tcW w:w="2031" w:type="dxa"/>
          </w:tcPr>
          <w:p w14:paraId="6BC808A4" w14:textId="53305D25" w:rsidR="004F4DC0" w:rsidRPr="000F5F6E" w:rsidRDefault="00EA5DB3"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w:t>
            </w:r>
            <w:r w:rsidR="004F4DC0" w:rsidRPr="000F5F6E">
              <w:rPr>
                <w:rFonts w:asciiTheme="minorHAnsi" w:hAnsiTheme="minorHAnsi"/>
                <w:szCs w:val="24"/>
                <w:lang w:val="en-US"/>
              </w:rPr>
              <w:t>0.36</w:t>
            </w:r>
          </w:p>
        </w:tc>
        <w:tc>
          <w:tcPr>
            <w:tcW w:w="2032" w:type="dxa"/>
          </w:tcPr>
          <w:p w14:paraId="7400611A" w14:textId="01723F38" w:rsidR="004F4DC0" w:rsidRPr="000F5F6E" w:rsidRDefault="00EA5DB3"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w:t>
            </w:r>
            <w:r w:rsidR="004F4DC0" w:rsidRPr="000F5F6E">
              <w:rPr>
                <w:rFonts w:asciiTheme="minorHAnsi" w:hAnsiTheme="minorHAnsi"/>
                <w:szCs w:val="24"/>
                <w:lang w:val="en-US"/>
              </w:rPr>
              <w:t>0.21</w:t>
            </w:r>
          </w:p>
        </w:tc>
      </w:tr>
      <w:tr w:rsidR="004F4DC0" w14:paraId="39858211" w14:textId="77777777" w:rsidTr="00BD74D5">
        <w:tc>
          <w:tcPr>
            <w:tcW w:w="3431" w:type="dxa"/>
          </w:tcPr>
          <w:p w14:paraId="2DE803C7" w14:textId="77777777" w:rsidR="004F4DC0" w:rsidRPr="000F5F6E" w:rsidRDefault="004F4DC0" w:rsidP="00BD74D5">
            <w:pPr>
              <w:widowControl w:val="0"/>
              <w:autoSpaceDE w:val="0"/>
              <w:autoSpaceDN w:val="0"/>
              <w:adjustRightInd w:val="0"/>
              <w:spacing w:after="0"/>
              <w:rPr>
                <w:rFonts w:asciiTheme="minorHAnsi" w:hAnsiTheme="minorHAnsi"/>
                <w:szCs w:val="24"/>
                <w:lang w:val="en-US"/>
              </w:rPr>
            </w:pPr>
            <w:proofErr w:type="spellStart"/>
            <w:r w:rsidRPr="000F5F6E">
              <w:rPr>
                <w:rFonts w:asciiTheme="minorHAnsi" w:hAnsiTheme="minorHAnsi"/>
                <w:szCs w:val="24"/>
                <w:lang w:val="en-US"/>
              </w:rPr>
              <w:t>Prob</w:t>
            </w:r>
            <w:proofErr w:type="spellEnd"/>
            <w:r w:rsidRPr="000F5F6E">
              <w:rPr>
                <w:rFonts w:asciiTheme="minorHAnsi" w:hAnsiTheme="minorHAnsi"/>
                <w:szCs w:val="24"/>
                <w:lang w:val="en-US"/>
              </w:rPr>
              <w:t xml:space="preserve"> ( |T| &gt; |t|)</w:t>
            </w:r>
          </w:p>
        </w:tc>
        <w:tc>
          <w:tcPr>
            <w:tcW w:w="2031" w:type="dxa"/>
          </w:tcPr>
          <w:p w14:paraId="38E5A815"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0.5005</w:t>
            </w:r>
          </w:p>
        </w:tc>
        <w:tc>
          <w:tcPr>
            <w:tcW w:w="2031" w:type="dxa"/>
          </w:tcPr>
          <w:p w14:paraId="5D6E0FB5"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0.7184</w:t>
            </w:r>
          </w:p>
        </w:tc>
        <w:tc>
          <w:tcPr>
            <w:tcW w:w="2032" w:type="dxa"/>
          </w:tcPr>
          <w:p w14:paraId="625D8A0A"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0.8305</w:t>
            </w:r>
          </w:p>
        </w:tc>
      </w:tr>
      <w:tr w:rsidR="004F4DC0" w14:paraId="2D011FCB" w14:textId="77777777" w:rsidTr="00BD74D5">
        <w:trPr>
          <w:cnfStyle w:val="000000100000" w:firstRow="0" w:lastRow="0" w:firstColumn="0" w:lastColumn="0" w:oddVBand="0" w:evenVBand="0" w:oddHBand="1" w:evenHBand="0" w:firstRowFirstColumn="0" w:firstRowLastColumn="0" w:lastRowFirstColumn="0" w:lastRowLastColumn="0"/>
        </w:trPr>
        <w:tc>
          <w:tcPr>
            <w:tcW w:w="3431" w:type="dxa"/>
          </w:tcPr>
          <w:p w14:paraId="51DB973F" w14:textId="77777777" w:rsidR="004F4DC0" w:rsidRPr="000F5F6E" w:rsidRDefault="004F4DC0" w:rsidP="00BD74D5">
            <w:pPr>
              <w:widowControl w:val="0"/>
              <w:autoSpaceDE w:val="0"/>
              <w:autoSpaceDN w:val="0"/>
              <w:adjustRightInd w:val="0"/>
              <w:spacing w:after="0"/>
              <w:rPr>
                <w:rFonts w:asciiTheme="minorHAnsi" w:hAnsiTheme="minorHAnsi"/>
                <w:szCs w:val="24"/>
                <w:lang w:val="en-US"/>
              </w:rPr>
            </w:pPr>
            <w:r w:rsidRPr="000F5F6E">
              <w:rPr>
                <w:rFonts w:asciiTheme="minorHAnsi" w:hAnsiTheme="minorHAnsi"/>
                <w:szCs w:val="24"/>
                <w:lang w:val="en-US"/>
              </w:rPr>
              <w:t>Degrees of freedom</w:t>
            </w:r>
          </w:p>
        </w:tc>
        <w:tc>
          <w:tcPr>
            <w:tcW w:w="2031" w:type="dxa"/>
          </w:tcPr>
          <w:p w14:paraId="70463A41"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2136</w:t>
            </w:r>
          </w:p>
        </w:tc>
        <w:tc>
          <w:tcPr>
            <w:tcW w:w="2031" w:type="dxa"/>
          </w:tcPr>
          <w:p w14:paraId="5135BECE"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2169</w:t>
            </w:r>
          </w:p>
        </w:tc>
        <w:tc>
          <w:tcPr>
            <w:tcW w:w="2032" w:type="dxa"/>
          </w:tcPr>
          <w:p w14:paraId="15E5D3F5" w14:textId="77777777" w:rsidR="004F4DC0" w:rsidRPr="000F5F6E" w:rsidRDefault="004F4DC0" w:rsidP="00BD74D5">
            <w:pPr>
              <w:widowControl w:val="0"/>
              <w:autoSpaceDE w:val="0"/>
              <w:autoSpaceDN w:val="0"/>
              <w:adjustRightInd w:val="0"/>
              <w:spacing w:after="0"/>
              <w:jc w:val="center"/>
              <w:rPr>
                <w:rFonts w:asciiTheme="minorHAnsi" w:hAnsiTheme="minorHAnsi"/>
                <w:szCs w:val="24"/>
                <w:lang w:val="en-US"/>
              </w:rPr>
            </w:pPr>
            <w:r w:rsidRPr="000F5F6E">
              <w:rPr>
                <w:rFonts w:asciiTheme="minorHAnsi" w:hAnsiTheme="minorHAnsi"/>
                <w:szCs w:val="24"/>
                <w:lang w:val="en-US"/>
              </w:rPr>
              <w:t>2158</w:t>
            </w:r>
          </w:p>
        </w:tc>
      </w:tr>
    </w:tbl>
    <w:p w14:paraId="780DA3D9" w14:textId="2537F571" w:rsidR="00595936" w:rsidRPr="00AF37BE" w:rsidRDefault="004F4DC0" w:rsidP="00471EF9">
      <w:pPr>
        <w:pStyle w:val="FootnoteText"/>
      </w:pPr>
      <w:r w:rsidRPr="00943B9C">
        <w:rPr>
          <w:vertAlign w:val="superscript"/>
          <w:lang w:val="en-US"/>
        </w:rPr>
        <w:t>*</w:t>
      </w:r>
      <w:r w:rsidRPr="00943B9C">
        <w:rPr>
          <w:lang w:val="en-US"/>
        </w:rPr>
        <w:t xml:space="preserve"> </w:t>
      </w:r>
      <w:r w:rsidRPr="00943B9C">
        <w:rPr>
          <w:i/>
          <w:iCs/>
          <w:lang w:val="en-US"/>
        </w:rPr>
        <w:t>p</w:t>
      </w:r>
      <w:r w:rsidRPr="00943B9C">
        <w:rPr>
          <w:lang w:val="en-US"/>
        </w:rPr>
        <w:t xml:space="preserve"> &lt; 0.10, </w:t>
      </w:r>
      <w:r w:rsidRPr="00943B9C">
        <w:rPr>
          <w:vertAlign w:val="superscript"/>
          <w:lang w:val="en-US"/>
        </w:rPr>
        <w:t>**</w:t>
      </w:r>
      <w:r w:rsidRPr="00943B9C">
        <w:rPr>
          <w:lang w:val="en-US"/>
        </w:rPr>
        <w:t xml:space="preserve"> </w:t>
      </w:r>
      <w:r w:rsidRPr="00943B9C">
        <w:rPr>
          <w:i/>
          <w:iCs/>
          <w:lang w:val="en-US"/>
        </w:rPr>
        <w:t>p</w:t>
      </w:r>
      <w:r w:rsidRPr="00943B9C">
        <w:rPr>
          <w:lang w:val="en-US"/>
        </w:rPr>
        <w:t xml:space="preserve"> &lt; 0.05, </w:t>
      </w:r>
      <w:r w:rsidRPr="00943B9C">
        <w:rPr>
          <w:vertAlign w:val="superscript"/>
          <w:lang w:val="en-US"/>
        </w:rPr>
        <w:t>***</w:t>
      </w:r>
      <w:r w:rsidRPr="00943B9C">
        <w:rPr>
          <w:lang w:val="en-US"/>
        </w:rPr>
        <w:t xml:space="preserve"> </w:t>
      </w:r>
      <w:r w:rsidRPr="00943B9C">
        <w:rPr>
          <w:i/>
          <w:iCs/>
          <w:lang w:val="en-US"/>
        </w:rPr>
        <w:t>p</w:t>
      </w:r>
      <w:r w:rsidRPr="00943B9C">
        <w:rPr>
          <w:lang w:val="en-US"/>
        </w:rPr>
        <w:t xml:space="preserve"> &lt; 0.01</w:t>
      </w:r>
      <w:r w:rsidRPr="00943B9C">
        <w:rPr>
          <w:sz w:val="18"/>
          <w:szCs w:val="18"/>
        </w:rPr>
        <w:t xml:space="preserve"> </w:t>
      </w:r>
      <w:bookmarkEnd w:id="28"/>
      <w:r w:rsidR="00B871FF">
        <w:br w:type="page"/>
      </w:r>
    </w:p>
    <w:p w14:paraId="468E7F88" w14:textId="37E30821" w:rsidR="0037498A" w:rsidRDefault="00A943B2" w:rsidP="00A20D07">
      <w:pPr>
        <w:pStyle w:val="Heading1notnumbered"/>
      </w:pPr>
      <w:bookmarkStart w:id="35" w:name="_Toc315694433"/>
      <w:bookmarkStart w:id="36" w:name="_Toc515031461"/>
      <w:r>
        <w:lastRenderedPageBreak/>
        <w:t>References</w:t>
      </w:r>
      <w:bookmarkEnd w:id="35"/>
      <w:bookmarkEnd w:id="36"/>
    </w:p>
    <w:p w14:paraId="18F5B5C4" w14:textId="77777777" w:rsidR="007948CE" w:rsidRPr="007948CE" w:rsidRDefault="0037498A" w:rsidP="007948CE">
      <w:pPr>
        <w:pStyle w:val="EndNoteBibliography"/>
        <w:spacing w:after="0"/>
        <w:ind w:left="720" w:hanging="720"/>
      </w:pPr>
      <w:r>
        <w:rPr>
          <w:sz w:val="18"/>
        </w:rPr>
        <w:fldChar w:fldCharType="begin"/>
      </w:r>
      <w:r>
        <w:rPr>
          <w:sz w:val="18"/>
        </w:rPr>
        <w:instrText xml:space="preserve"> ADDIN EN.REFLIST </w:instrText>
      </w:r>
      <w:r>
        <w:rPr>
          <w:sz w:val="18"/>
        </w:rPr>
        <w:fldChar w:fldCharType="separate"/>
      </w:r>
      <w:r w:rsidR="007948CE" w:rsidRPr="007948CE">
        <w:t>Australian Bureau of Statistics (2016a) 1270.0.55.001 - Australian Statistical Geography Standard (ASGS): Volume 1 - Main Structure and Greater Capital City Statistical Areas, July 2016. In: Australian Bureau of Statistics (ed.).</w:t>
      </w:r>
    </w:p>
    <w:p w14:paraId="7CEBE3CC" w14:textId="77777777" w:rsidR="007948CE" w:rsidRPr="007948CE" w:rsidRDefault="007948CE" w:rsidP="007948CE">
      <w:pPr>
        <w:pStyle w:val="EndNoteBibliography"/>
        <w:spacing w:after="0"/>
        <w:ind w:left="720" w:hanging="720"/>
      </w:pPr>
      <w:r w:rsidRPr="007948CE">
        <w:t>Australian Bureau of Statistics (2016b) 8158.0 - Innovation in Australian Business, 2014-15. In: Australian Bureau of Statistics (ed.). Australian Bureau of Statistics, Canberra.</w:t>
      </w:r>
    </w:p>
    <w:p w14:paraId="74CCB9FC" w14:textId="77777777" w:rsidR="007948CE" w:rsidRPr="007948CE" w:rsidRDefault="007948CE" w:rsidP="007948CE">
      <w:pPr>
        <w:pStyle w:val="EndNoteBibliography"/>
        <w:spacing w:after="0"/>
        <w:ind w:left="720" w:hanging="720"/>
      </w:pPr>
      <w:r w:rsidRPr="007948CE">
        <w:t>Australian Bureau of Statistics (2016c) Australian Census 2016: DataPacks. In: Australian Bureau of Statistics (ed.). Canberra.</w:t>
      </w:r>
    </w:p>
    <w:p w14:paraId="65BAC126" w14:textId="77777777" w:rsidR="007948CE" w:rsidRPr="007948CE" w:rsidRDefault="007948CE" w:rsidP="007948CE">
      <w:pPr>
        <w:pStyle w:val="EndNoteBibliography"/>
        <w:spacing w:after="0"/>
        <w:ind w:left="720" w:hanging="720"/>
      </w:pPr>
      <w:r w:rsidRPr="007948CE">
        <w:t>Australian Bureau of Statistics (2017a) 6291.0.55.003 Labour Force, Australia, Detailed, Quarterly. In: Australian Bureau of Statistics (ed.). Australian Bureau of Statistics, Canberra.</w:t>
      </w:r>
    </w:p>
    <w:p w14:paraId="314A0188" w14:textId="77777777" w:rsidR="007948CE" w:rsidRPr="007948CE" w:rsidRDefault="007948CE" w:rsidP="007948CE">
      <w:pPr>
        <w:pStyle w:val="EndNoteBibliography"/>
        <w:spacing w:after="0"/>
        <w:ind w:left="720" w:hanging="720"/>
      </w:pPr>
      <w:r w:rsidRPr="007948CE">
        <w:t>Australian Bureau of Statistics (2017b) 8412.0 Mineral and Petroleum Exploration, Australia. In: Australian Bureau of Statistics (ed.). Australian Bureau of Statistics, Canberra.</w:t>
      </w:r>
    </w:p>
    <w:p w14:paraId="6662B0CB" w14:textId="77777777" w:rsidR="007948CE" w:rsidRPr="007948CE" w:rsidRDefault="007948CE" w:rsidP="007948CE">
      <w:pPr>
        <w:pStyle w:val="EndNoteBibliography"/>
        <w:spacing w:after="0"/>
        <w:ind w:left="720" w:hanging="720"/>
      </w:pPr>
      <w:r w:rsidRPr="007948CE">
        <w:t>Australian Bureau of Statistics (2017c) Australian Census 2016: DataPacks. In: Australian Bureau of Statistics (ed.). Canberra.</w:t>
      </w:r>
    </w:p>
    <w:p w14:paraId="7984DF1F" w14:textId="77777777" w:rsidR="007948CE" w:rsidRPr="007948CE" w:rsidRDefault="007948CE" w:rsidP="007948CE">
      <w:pPr>
        <w:pStyle w:val="EndNoteBibliography"/>
        <w:spacing w:after="0"/>
        <w:ind w:left="720" w:hanging="720"/>
      </w:pPr>
      <w:r w:rsidRPr="007948CE">
        <w:t>Australian Bureau of Statistics (2017d) Labour Force, Australia, Detailed, cat. no. 6291.0.55.003. Canberra.</w:t>
      </w:r>
    </w:p>
    <w:p w14:paraId="708BBF87" w14:textId="77777777" w:rsidR="007948CE" w:rsidRPr="007948CE" w:rsidRDefault="007948CE" w:rsidP="007948CE">
      <w:pPr>
        <w:pStyle w:val="EndNoteBibliography"/>
        <w:spacing w:after="0"/>
        <w:ind w:left="720" w:hanging="720"/>
      </w:pPr>
      <w:r w:rsidRPr="007948CE">
        <w:t>Australian Bureau of Statistics (2017e) Research and Experimental Development, Businesses, Australia, cat. no. 8104.0. Canberra.</w:t>
      </w:r>
    </w:p>
    <w:p w14:paraId="2C9FA396" w14:textId="77777777" w:rsidR="007948CE" w:rsidRPr="007948CE" w:rsidRDefault="007948CE" w:rsidP="007948CE">
      <w:pPr>
        <w:pStyle w:val="EndNoteBibliography"/>
        <w:spacing w:after="0"/>
        <w:ind w:left="720" w:hanging="720"/>
      </w:pPr>
      <w:r w:rsidRPr="007948CE">
        <w:t>Australian Bureau of Statistics (2018a) 5302.0 - Balance of Payments and International Investment Position, Australia, March 2018. In: Australian Bureau of Statistics (ed.). Australian Bureau of Statistics, Canberra.</w:t>
      </w:r>
    </w:p>
    <w:p w14:paraId="7D7CF038" w14:textId="77777777" w:rsidR="007948CE" w:rsidRPr="007948CE" w:rsidRDefault="007948CE" w:rsidP="007948CE">
      <w:pPr>
        <w:pStyle w:val="EndNoteBibliography"/>
        <w:spacing w:after="0"/>
        <w:ind w:left="720" w:hanging="720"/>
      </w:pPr>
      <w:r w:rsidRPr="007948CE">
        <w:t>Australian Bureau of Statistics (2018b) 6291.0.55.003 Labour Force, Australia, Detailed, Quarterly. In: Australian Bureau of Statistics (ed.). Australian Bureau of Statistics, Canberra.</w:t>
      </w:r>
    </w:p>
    <w:p w14:paraId="7045992B" w14:textId="77777777" w:rsidR="007948CE" w:rsidRPr="007948CE" w:rsidRDefault="007948CE" w:rsidP="007948CE">
      <w:pPr>
        <w:pStyle w:val="EndNoteBibliography"/>
        <w:spacing w:after="0"/>
        <w:ind w:left="720" w:hanging="720"/>
      </w:pPr>
      <w:r w:rsidRPr="007948CE">
        <w:t>Australian Bureau of Statistics (2018c) 8412.0 Mineral and Petroleum Exploration, Australia. In: Australian Bureau of Statistics (ed.). Australian Bureau of Statistics, Canberra.</w:t>
      </w:r>
    </w:p>
    <w:p w14:paraId="0482940F" w14:textId="77777777" w:rsidR="007948CE" w:rsidRPr="007948CE" w:rsidRDefault="007948CE" w:rsidP="007948CE">
      <w:pPr>
        <w:pStyle w:val="EndNoteBibliography"/>
        <w:spacing w:after="0"/>
        <w:ind w:left="720" w:hanging="720"/>
      </w:pPr>
      <w:r w:rsidRPr="007948CE">
        <w:t>Bellamy D and Pravica L (2011) Assessing the impact of driverless haul trucks in Australian surface mining. Resources Policy 36(2), 149-158. DOI: 10.1016/j.resourpol.2010.09.002.</w:t>
      </w:r>
    </w:p>
    <w:p w14:paraId="1A3A63AF" w14:textId="77777777" w:rsidR="007948CE" w:rsidRPr="007948CE" w:rsidRDefault="007948CE" w:rsidP="007948CE">
      <w:pPr>
        <w:pStyle w:val="EndNoteBibliography"/>
        <w:spacing w:after="0"/>
        <w:ind w:left="720" w:hanging="720"/>
      </w:pPr>
      <w:r w:rsidRPr="007948CE">
        <w:t>Betz M, Farren M, Lobao L and Partridge MD (2014) Coal Mining, Economic Development, and the Natural Resource Curse. Munich Personal RePEc Archive. Munich.</w:t>
      </w:r>
    </w:p>
    <w:p w14:paraId="40731C04" w14:textId="77777777" w:rsidR="007948CE" w:rsidRPr="007948CE" w:rsidRDefault="007948CE" w:rsidP="007948CE">
      <w:pPr>
        <w:pStyle w:val="EndNoteBibliography"/>
        <w:spacing w:after="0"/>
        <w:ind w:left="720" w:hanging="720"/>
      </w:pPr>
      <w:r w:rsidRPr="007948CE">
        <w:t>De Maio FG (2007) Income inequality measures. Journal of Epidemiology and Community Health 61(10), 849-852. DOI: 10.1136/jech.2006.052969.</w:t>
      </w:r>
    </w:p>
    <w:p w14:paraId="65DAEBC8" w14:textId="77777777" w:rsidR="007948CE" w:rsidRPr="007948CE" w:rsidRDefault="007948CE" w:rsidP="007948CE">
      <w:pPr>
        <w:pStyle w:val="EndNoteBibliography"/>
        <w:spacing w:after="0"/>
        <w:ind w:left="720" w:hanging="720"/>
      </w:pPr>
      <w:r w:rsidRPr="007948CE">
        <w:t>Downes P, Hanslow K and Tulip P (2014) The Effect of the Mining Boom on the Australian Economy. Reserve Bank of Australia, Canberra.</w:t>
      </w:r>
    </w:p>
    <w:p w14:paraId="440B4621" w14:textId="77777777" w:rsidR="007948CE" w:rsidRPr="007948CE" w:rsidRDefault="007948CE" w:rsidP="007948CE">
      <w:pPr>
        <w:pStyle w:val="EndNoteBibliography"/>
        <w:spacing w:after="0"/>
        <w:ind w:left="720" w:hanging="720"/>
      </w:pPr>
      <w:r w:rsidRPr="007948CE">
        <w:t>Fernando FN and Cooley DR (2016) An Oil Boom’s Effect on Quality of Life (QoL): Lessons from Western North Dakota. Applied Research in Quality of Life 11(4), 1083-1115. DOI: 10.1007/s11482-015-9422-y.</w:t>
      </w:r>
    </w:p>
    <w:p w14:paraId="20E44B04" w14:textId="77777777" w:rsidR="007948CE" w:rsidRPr="007948CE" w:rsidRDefault="007948CE" w:rsidP="007948CE">
      <w:pPr>
        <w:pStyle w:val="EndNoteBibliography"/>
        <w:spacing w:after="0"/>
        <w:ind w:left="720" w:hanging="720"/>
      </w:pPr>
      <w:r w:rsidRPr="007948CE">
        <w:t>Fleming DA and Measham TG (2015) Income Inequality across Australian Regions during the Mining Boom: 2001–11. Australian Geographer 46(2), 203-216. DOI: 10.1080/00049182.2015.1020596.</w:t>
      </w:r>
    </w:p>
    <w:p w14:paraId="3CF64F1B" w14:textId="77777777" w:rsidR="007948CE" w:rsidRPr="007948CE" w:rsidRDefault="007948CE" w:rsidP="007948CE">
      <w:pPr>
        <w:pStyle w:val="EndNoteBibliography"/>
        <w:spacing w:after="0"/>
        <w:ind w:left="720" w:hanging="720"/>
      </w:pPr>
      <w:r w:rsidRPr="007948CE">
        <w:t>Fotheringham A and Rogerson P (2009) The SAGE Handbook of Spatial Analysis. London.</w:t>
      </w:r>
    </w:p>
    <w:p w14:paraId="6005F535" w14:textId="77777777" w:rsidR="007948CE" w:rsidRPr="007948CE" w:rsidRDefault="007948CE" w:rsidP="007948CE">
      <w:pPr>
        <w:pStyle w:val="EndNoteBibliography"/>
        <w:spacing w:after="0"/>
        <w:ind w:left="720" w:hanging="720"/>
      </w:pPr>
      <w:r w:rsidRPr="007948CE">
        <w:t>Haggerty J, Gude PH, Delorey M and Rasker R (2014) Long-term effects of income specialization in oil and gas extraction: The U.S. West, 1980–2011. Energy Economics 45, 186-195. DOI: 10.1016/j.eneco.2014.06.020.</w:t>
      </w:r>
    </w:p>
    <w:p w14:paraId="2150B839" w14:textId="77777777" w:rsidR="007948CE" w:rsidRPr="007948CE" w:rsidRDefault="007948CE" w:rsidP="007948CE">
      <w:pPr>
        <w:pStyle w:val="EndNoteBibliography"/>
        <w:spacing w:after="0"/>
        <w:ind w:left="720" w:hanging="720"/>
      </w:pPr>
      <w:r w:rsidRPr="007948CE">
        <w:t>Heath A (2015) The Terms of Trade: Outlook and Implications Reserve Bank of Australia, Canberra.</w:t>
      </w:r>
    </w:p>
    <w:p w14:paraId="52C0ED06" w14:textId="77777777" w:rsidR="007948CE" w:rsidRPr="007948CE" w:rsidRDefault="007948CE" w:rsidP="007948CE">
      <w:pPr>
        <w:pStyle w:val="EndNoteBibliography"/>
        <w:spacing w:after="0"/>
        <w:ind w:left="720" w:hanging="720"/>
      </w:pPr>
      <w:r w:rsidRPr="007948CE">
        <w:lastRenderedPageBreak/>
        <w:t xml:space="preserve">Jacquet J and Kay DL (2014) The Unconventional Boomtown: Updating the impact model to fit new spatial and temporal scales. Journal of Rural and Community Development 9(1). </w:t>
      </w:r>
    </w:p>
    <w:p w14:paraId="25A478ED" w14:textId="77777777" w:rsidR="007948CE" w:rsidRPr="007948CE" w:rsidRDefault="007948CE" w:rsidP="007948CE">
      <w:pPr>
        <w:pStyle w:val="EndNoteBibliography"/>
        <w:spacing w:after="0"/>
        <w:ind w:left="720" w:hanging="720"/>
      </w:pPr>
      <w:r w:rsidRPr="007948CE">
        <w:t>Kotey B and Rolfe J (2014) Demographic and economic impact of mining on remote communities in Australia. Resources Policy 42, 65-72. DOI: 10.1016/j.resourpol.2014.10.005.</w:t>
      </w:r>
    </w:p>
    <w:p w14:paraId="2768621E" w14:textId="18B46F98" w:rsidR="007948CE" w:rsidRPr="007948CE" w:rsidRDefault="007948CE" w:rsidP="007948CE">
      <w:pPr>
        <w:pStyle w:val="EndNoteBibliography"/>
        <w:spacing w:after="0"/>
        <w:ind w:left="720" w:hanging="720"/>
      </w:pPr>
      <w:r w:rsidRPr="007948CE">
        <w:t>KPMG (2013) Analysis of the changing resident demograohic profile of Australia’s mining communities. &lt;</w:t>
      </w:r>
      <w:hyperlink r:id="rId32" w:history="1">
        <w:r w:rsidRPr="007948CE">
          <w:rPr>
            <w:rStyle w:val="Hyperlink"/>
            <w:rFonts w:cs="Calibri"/>
          </w:rPr>
          <w:t>http://www.minerals.org.au/file_upload/files/reports/MCA-13-ResidentialProfile0131-MYR.pdf</w:t>
        </w:r>
      </w:hyperlink>
      <w:r w:rsidRPr="007948CE">
        <w:t>&gt;.</w:t>
      </w:r>
    </w:p>
    <w:p w14:paraId="6CB1B21F" w14:textId="77777777" w:rsidR="007948CE" w:rsidRPr="007948CE" w:rsidRDefault="007948CE" w:rsidP="007948CE">
      <w:pPr>
        <w:pStyle w:val="EndNoteBibliography"/>
        <w:spacing w:after="0"/>
        <w:ind w:left="720" w:hanging="720"/>
      </w:pPr>
      <w:r w:rsidRPr="007948CE">
        <w:t>McNab K and Garcia-Vasquez M (2011) Autonomous and remote operation technologies in Australian mining. CSIRO Minerals Down Under National Research Flagship, Australia.</w:t>
      </w:r>
    </w:p>
    <w:p w14:paraId="07F4747E" w14:textId="77777777" w:rsidR="007948CE" w:rsidRPr="007948CE" w:rsidRDefault="007948CE" w:rsidP="007948CE">
      <w:pPr>
        <w:pStyle w:val="EndNoteBibliography"/>
        <w:spacing w:after="0"/>
        <w:ind w:left="720" w:hanging="720"/>
      </w:pPr>
      <w:r w:rsidRPr="007948CE">
        <w:t>Measham TG, Fleming DA and Schandl H (2016) A conceptual model of the socioeconomic impacts of unconventional fossil fuel extraction. Global Environmental Change 36, 101-110. DOI: 10.1016/j.gloenvcha.2015.12.002.</w:t>
      </w:r>
    </w:p>
    <w:p w14:paraId="6B463227" w14:textId="0EE224DF" w:rsidR="007948CE" w:rsidRPr="007948CE" w:rsidRDefault="007948CE" w:rsidP="007948CE">
      <w:pPr>
        <w:pStyle w:val="EndNoteBibliography"/>
        <w:spacing w:after="0"/>
        <w:ind w:left="720" w:hanging="720"/>
      </w:pPr>
      <w:r w:rsidRPr="007948CE">
        <w:t>OECD (2005) Glossary of Statistical Terms. Viewed 10.08.2017, &lt;</w:t>
      </w:r>
      <w:hyperlink r:id="rId33" w:history="1">
        <w:r w:rsidRPr="007948CE">
          <w:rPr>
            <w:rStyle w:val="Hyperlink"/>
            <w:rFonts w:cs="Calibri"/>
          </w:rPr>
          <w:t>https://stats.oecd.org/glossary/</w:t>
        </w:r>
      </w:hyperlink>
      <w:r w:rsidRPr="007948CE">
        <w:t>&gt;.</w:t>
      </w:r>
    </w:p>
    <w:p w14:paraId="57D5DA9A" w14:textId="77777777" w:rsidR="007948CE" w:rsidRPr="007948CE" w:rsidRDefault="007948CE" w:rsidP="007948CE">
      <w:pPr>
        <w:pStyle w:val="EndNoteBibliography"/>
        <w:spacing w:after="0"/>
        <w:ind w:left="720" w:hanging="720"/>
      </w:pPr>
      <w:r w:rsidRPr="007948CE">
        <w:t>Office of the Chief Economist (2017a) Resources and energy quarterly. Canberra, Australia.</w:t>
      </w:r>
    </w:p>
    <w:p w14:paraId="4AECD771" w14:textId="323870DE" w:rsidR="007948CE" w:rsidRPr="007948CE" w:rsidRDefault="007948CE" w:rsidP="007948CE">
      <w:pPr>
        <w:pStyle w:val="EndNoteBibliography"/>
        <w:spacing w:after="0"/>
        <w:ind w:left="720" w:hanging="720"/>
      </w:pPr>
      <w:r w:rsidRPr="007948CE">
        <w:t>Office of the Chief Economist (2017b) Resources and Energy Quarterly: June 2017. &lt;</w:t>
      </w:r>
      <w:hyperlink r:id="rId34" w:history="1">
        <w:r w:rsidRPr="007948CE">
          <w:rPr>
            <w:rStyle w:val="Hyperlink"/>
            <w:rFonts w:cs="Calibri"/>
          </w:rPr>
          <w:t>https://www.industry.gov.au/Office-of-the-Chief-Economist/Publications/ResourcesandEnergyQuarterlyJune2017/index.html</w:t>
        </w:r>
      </w:hyperlink>
      <w:r w:rsidRPr="007948CE">
        <w:t>&gt;.</w:t>
      </w:r>
    </w:p>
    <w:p w14:paraId="7BCFBB2B" w14:textId="77777777" w:rsidR="007948CE" w:rsidRPr="007948CE" w:rsidRDefault="007948CE" w:rsidP="007948CE">
      <w:pPr>
        <w:pStyle w:val="EndNoteBibliography"/>
        <w:spacing w:after="0"/>
        <w:ind w:left="720" w:hanging="720"/>
      </w:pPr>
      <w:r w:rsidRPr="007948CE">
        <w:t>Office of the Chief Economist (2018) Resources and Energy Quarterly: March 2018.</w:t>
      </w:r>
    </w:p>
    <w:p w14:paraId="68B5F83B" w14:textId="77777777" w:rsidR="007948CE" w:rsidRPr="007948CE" w:rsidRDefault="007948CE" w:rsidP="007948CE">
      <w:pPr>
        <w:pStyle w:val="EndNoteBibliography"/>
        <w:spacing w:after="0"/>
        <w:ind w:left="720" w:hanging="720"/>
      </w:pPr>
      <w:r w:rsidRPr="007948CE">
        <w:t>Parker RN and Fenwick R (1983) The pareto curve and its utility for open-ended income distributions in survey research. Social Forces 61(3), 872-885. DOI: 10.1093/sf/61.3.872.</w:t>
      </w:r>
    </w:p>
    <w:p w14:paraId="3893DC67" w14:textId="77777777" w:rsidR="007948CE" w:rsidRPr="007948CE" w:rsidRDefault="007948CE" w:rsidP="007948CE">
      <w:pPr>
        <w:pStyle w:val="EndNoteBibliography"/>
        <w:spacing w:after="0"/>
        <w:ind w:left="720" w:hanging="720"/>
      </w:pPr>
      <w:r w:rsidRPr="007948CE">
        <w:t>Productivity Commission (2017) Transitioning Regional Economies. Productivity Commission, Canberra, Australia.</w:t>
      </w:r>
    </w:p>
    <w:p w14:paraId="60A2D78D" w14:textId="4E12B8D1" w:rsidR="007948CE" w:rsidRPr="007948CE" w:rsidRDefault="007948CE" w:rsidP="007948CE">
      <w:pPr>
        <w:pStyle w:val="EndNoteBibliography"/>
        <w:spacing w:after="0"/>
        <w:ind w:left="720" w:hanging="720"/>
      </w:pPr>
      <w:r w:rsidRPr="007948CE">
        <w:t>Reserve Bank of Australia (2017) Monetary Policy and Current Economic Conditions. &lt;</w:t>
      </w:r>
      <w:hyperlink r:id="rId35" w:history="1">
        <w:r w:rsidRPr="007948CE">
          <w:rPr>
            <w:rStyle w:val="Hyperlink"/>
            <w:rFonts w:cs="Calibri"/>
          </w:rPr>
          <w:t>http://www.rba.gov.au/education/teacher-student-guide/</w:t>
        </w:r>
      </w:hyperlink>
      <w:r w:rsidRPr="007948CE">
        <w:t>&gt;.</w:t>
      </w:r>
    </w:p>
    <w:p w14:paraId="6D3273FF" w14:textId="3F211724" w:rsidR="007948CE" w:rsidRPr="007948CE" w:rsidRDefault="007948CE" w:rsidP="007948CE">
      <w:pPr>
        <w:pStyle w:val="EndNoteBibliography"/>
        <w:spacing w:after="0"/>
        <w:ind w:left="720" w:hanging="720"/>
      </w:pPr>
      <w:r w:rsidRPr="007948CE">
        <w:t>Rio Tinto (2016) Annual report. &lt;</w:t>
      </w:r>
      <w:hyperlink r:id="rId36" w:history="1">
        <w:r w:rsidRPr="007948CE">
          <w:rPr>
            <w:rStyle w:val="Hyperlink"/>
            <w:rFonts w:cs="Calibri"/>
          </w:rPr>
          <w:t>http://www.riotinto.com/documents/RT_2016_Annual_report.pdf</w:t>
        </w:r>
      </w:hyperlink>
      <w:r w:rsidRPr="007948CE">
        <w:t>&gt;.</w:t>
      </w:r>
    </w:p>
    <w:p w14:paraId="5BD99AAF" w14:textId="3FCF29BA" w:rsidR="007948CE" w:rsidRPr="007948CE" w:rsidRDefault="007948CE" w:rsidP="007948CE">
      <w:pPr>
        <w:pStyle w:val="EndNoteBibliography"/>
        <w:spacing w:after="0"/>
        <w:ind w:left="720" w:hanging="720"/>
      </w:pPr>
      <w:r w:rsidRPr="007948CE">
        <w:t>Rio Tinto (2017) RioTinto Operations Centre. RioTinto. Viewed 10.10.2017, &lt;</w:t>
      </w:r>
      <w:hyperlink r:id="rId37" w:history="1">
        <w:r w:rsidRPr="007948CE">
          <w:rPr>
            <w:rStyle w:val="Hyperlink"/>
            <w:rFonts w:cs="Calibri"/>
          </w:rPr>
          <w:t>https://riotintogroundbreakers.com/50-operations-centre/</w:t>
        </w:r>
      </w:hyperlink>
      <w:r w:rsidRPr="007948CE">
        <w:t>&gt;.</w:t>
      </w:r>
    </w:p>
    <w:p w14:paraId="36863EC7" w14:textId="77777777" w:rsidR="007948CE" w:rsidRPr="007948CE" w:rsidRDefault="007948CE" w:rsidP="007948CE">
      <w:pPr>
        <w:pStyle w:val="EndNoteBibliography"/>
        <w:ind w:left="720" w:hanging="720"/>
      </w:pPr>
      <w:r w:rsidRPr="007948CE">
        <w:t>Robertson SA, Blackwell BD and McFarlane JA (2017) The viability of remote mining communities: insights from community perceptions and employment impact assessments. Impact Assessment and Project Appraisal, 1-15. DOI: 10.1080/14615517.2017.1354640.</w:t>
      </w:r>
    </w:p>
    <w:p w14:paraId="074D2F52" w14:textId="7125143C" w:rsidR="00320351" w:rsidRDefault="0037498A" w:rsidP="0037498A">
      <w:pPr>
        <w:pStyle w:val="Reference"/>
      </w:pPr>
      <w:r>
        <w:rPr>
          <w:sz w:val="18"/>
        </w:rPr>
        <w:fldChar w:fldCharType="end"/>
      </w:r>
      <w:r w:rsidR="000D6B9E">
        <w:rPr>
          <w:rFonts w:eastAsiaTheme="minorHAnsi"/>
          <w:b/>
          <w:caps/>
          <w:noProof/>
          <w:color w:val="FFFFFF"/>
          <w:spacing w:val="16"/>
          <w:szCs w:val="24"/>
          <w:lang w:eastAsia="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Caption w:val="Contact details"/>
      </w:tblPr>
      <w:tblGrid>
        <w:gridCol w:w="3337"/>
        <w:gridCol w:w="457"/>
        <w:gridCol w:w="4961"/>
      </w:tblGrid>
      <w:tr w:rsidR="00B46B69" w14:paraId="70C0D57A" w14:textId="77777777" w:rsidTr="00252FC7">
        <w:trPr>
          <w:trHeight w:hRule="exact" w:val="992"/>
          <w:tblHeader/>
        </w:trPr>
        <w:tc>
          <w:tcPr>
            <w:tcW w:w="8755" w:type="dxa"/>
            <w:gridSpan w:val="3"/>
          </w:tcPr>
          <w:p w14:paraId="371D0E78" w14:textId="341EF5A7" w:rsidR="00B46B69" w:rsidRPr="005F573F" w:rsidRDefault="00AB1978" w:rsidP="0024666C">
            <w:pPr>
              <w:pStyle w:val="BackCoverContactDetails"/>
            </w:pPr>
            <w:bookmarkStart w:id="37" w:name="_GoBack"/>
            <w:r>
              <w:rPr>
                <w:noProof/>
              </w:rPr>
              <w:lastRenderedPageBreak/>
              <mc:AlternateContent>
                <mc:Choice Requires="wps">
                  <w:drawing>
                    <wp:anchor distT="0" distB="0" distL="114300" distR="114300" simplePos="0" relativeHeight="251782144" behindDoc="1" locked="0" layoutInCell="1" allowOverlap="1" wp14:anchorId="2F3C7800" wp14:editId="27D3BB1A">
                      <wp:simplePos x="0" y="0"/>
                      <wp:positionH relativeFrom="column">
                        <wp:posOffset>-759460</wp:posOffset>
                      </wp:positionH>
                      <wp:positionV relativeFrom="paragraph">
                        <wp:posOffset>-746125</wp:posOffset>
                      </wp:positionV>
                      <wp:extent cx="7598410" cy="7686675"/>
                      <wp:effectExtent l="0" t="2540" r="3810" b="0"/>
                      <wp:wrapNone/>
                      <wp:docPr id="6" name="Rectangle 680" descr="background elemen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8410" cy="7686675"/>
                              </a:xfrm>
                              <a:prstGeom prst="rect">
                                <a:avLst/>
                              </a:prstGeom>
                              <a:noFill/>
                              <a:ln>
                                <a:noFill/>
                              </a:ln>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E8E6B" id="Rectangle 680" o:spid="_x0000_s1026" alt="background elements" style="position:absolute;margin-left:-59.8pt;margin-top:-58.75pt;width:598.3pt;height:605.2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" filled="f" fillcolor="#00a9ce [3204]" stroked="f"/>
                  </w:pict>
                </mc:Fallback>
              </mc:AlternateContent>
            </w:r>
            <w:bookmarkEnd w:id="37"/>
          </w:p>
        </w:tc>
      </w:tr>
      <w:tr w:rsidR="00595E34" w14:paraId="17DDC5B5" w14:textId="77777777" w:rsidTr="0024666C">
        <w:tc>
          <w:tcPr>
            <w:tcW w:w="3337" w:type="dxa"/>
          </w:tcPr>
          <w:p w14:paraId="30CA98E4" w14:textId="77777777" w:rsidR="00595E34" w:rsidRPr="00585C0D" w:rsidRDefault="00595E34" w:rsidP="00953FF6">
            <w:pPr>
              <w:pStyle w:val="BackCoverContactHeading"/>
            </w:pPr>
            <w:r w:rsidRPr="00585C0D">
              <w:t>CONTACT US</w:t>
            </w:r>
          </w:p>
          <w:p w14:paraId="67582822" w14:textId="77777777" w:rsidR="00595E34" w:rsidRPr="00585C0D" w:rsidRDefault="00595E34" w:rsidP="00953FF6">
            <w:pPr>
              <w:pStyle w:val="BackCoverContactDetails"/>
            </w:pPr>
            <w:r w:rsidRPr="00585C0D">
              <w:rPr>
                <w:rStyle w:val="BackCoverContactBold"/>
              </w:rPr>
              <w:t>t</w:t>
            </w:r>
            <w:r w:rsidRPr="00585C0D">
              <w:t xml:space="preserve"> </w:t>
            </w:r>
            <w:r w:rsidRPr="00585C0D">
              <w:tab/>
              <w:t>1300 363 400</w:t>
            </w:r>
          </w:p>
          <w:p w14:paraId="3C08A13B" w14:textId="77777777" w:rsidR="00595E34" w:rsidRPr="00585C0D" w:rsidRDefault="00595E34" w:rsidP="00953FF6">
            <w:pPr>
              <w:pStyle w:val="BackCoverContactDetails"/>
            </w:pPr>
            <w:r w:rsidRPr="00585C0D">
              <w:tab/>
              <w:t>+61 3 9545 2176</w:t>
            </w:r>
          </w:p>
          <w:p w14:paraId="321E1818" w14:textId="77777777" w:rsidR="00595E34" w:rsidRPr="00585C0D" w:rsidRDefault="00595E34" w:rsidP="00953FF6">
            <w:pPr>
              <w:pStyle w:val="BackCoverContactDetails"/>
            </w:pPr>
            <w:r w:rsidRPr="00585C0D">
              <w:rPr>
                <w:rStyle w:val="BackCoverContactBold"/>
              </w:rPr>
              <w:t>e</w:t>
            </w:r>
            <w:r w:rsidRPr="00585C0D">
              <w:t xml:space="preserve"> </w:t>
            </w:r>
            <w:r w:rsidRPr="00585C0D">
              <w:tab/>
            </w:r>
            <w:r>
              <w:t>csiro</w:t>
            </w:r>
            <w:r w:rsidRPr="00585C0D">
              <w:t>enquiries@csiro.au</w:t>
            </w:r>
          </w:p>
          <w:p w14:paraId="478F2B62" w14:textId="77777777" w:rsidR="00595E34" w:rsidRPr="00585C0D" w:rsidRDefault="00595E34" w:rsidP="00953FF6">
            <w:pPr>
              <w:pStyle w:val="BackCoverContactDetails"/>
            </w:pPr>
            <w:r w:rsidRPr="00585C0D">
              <w:rPr>
                <w:rStyle w:val="BackCoverContactBold"/>
              </w:rPr>
              <w:t>w</w:t>
            </w:r>
            <w:r w:rsidRPr="00585C0D">
              <w:t xml:space="preserve"> </w:t>
            </w:r>
            <w:r w:rsidRPr="00585C0D">
              <w:tab/>
              <w:t>www.csiro.au</w:t>
            </w:r>
          </w:p>
          <w:p w14:paraId="5A802032" w14:textId="16EFF49A" w:rsidR="00595E34" w:rsidRPr="00585C0D" w:rsidRDefault="00595E34" w:rsidP="00953FF6">
            <w:pPr>
              <w:pStyle w:val="BackCoverContactHeading"/>
            </w:pPr>
            <w:r w:rsidRPr="00585C0D">
              <w:t>At CSIRO</w:t>
            </w:r>
            <w:r w:rsidRPr="00192293">
              <w:t xml:space="preserve">, we do the </w:t>
            </w:r>
            <w:r>
              <w:br/>
            </w:r>
            <w:r w:rsidRPr="00192293">
              <w:t>extraordinary every day</w:t>
            </w:r>
          </w:p>
          <w:p w14:paraId="006016F4" w14:textId="0E8786B3" w:rsidR="00595E34" w:rsidRDefault="00595E34" w:rsidP="00953FF6">
            <w:pPr>
              <w:pStyle w:val="BackCoverContactDetails"/>
              <w:spacing w:after="60"/>
            </w:pPr>
            <w:r>
              <w:t>We innovate for tomorrow and help improve today – for our customers, all Australians and the world.</w:t>
            </w:r>
          </w:p>
          <w:p w14:paraId="015D3AA1" w14:textId="00473C56" w:rsidR="00595E34" w:rsidRDefault="00595E34" w:rsidP="00953FF6">
            <w:pPr>
              <w:pStyle w:val="BackCoverContactDetails"/>
              <w:spacing w:after="60"/>
            </w:pPr>
            <w:r>
              <w:t xml:space="preserve">Our innovations contribute billions of dollars to the Australian economy </w:t>
            </w:r>
            <w:r>
              <w:br/>
              <w:t xml:space="preserve">every year. As the largest patent holder </w:t>
            </w:r>
            <w:r>
              <w:br/>
              <w:t xml:space="preserve">in the nation, our vast wealth of intellectual property has led to more </w:t>
            </w:r>
            <w:r>
              <w:br/>
              <w:t>than 150 spin-off companies.</w:t>
            </w:r>
          </w:p>
          <w:p w14:paraId="709ED780" w14:textId="47E26D05" w:rsidR="00595E34" w:rsidRDefault="00595E34" w:rsidP="00953FF6">
            <w:pPr>
              <w:pStyle w:val="BackCoverContactDetails"/>
              <w:spacing w:after="60"/>
            </w:pPr>
            <w:r>
              <w:t>With more than 5,000 experts and a burning desire to get things done, we are Australia’s catalyst for innovation.</w:t>
            </w:r>
          </w:p>
          <w:p w14:paraId="18BE4DBD" w14:textId="77777777" w:rsidR="00595E34" w:rsidRPr="00585C0D" w:rsidRDefault="00595E34" w:rsidP="00953FF6">
            <w:pPr>
              <w:pStyle w:val="BackCoverContactDetails"/>
            </w:pPr>
            <w:r>
              <w:t xml:space="preserve">CSIRO. WE IMAGINE. WE COLLABORATE. </w:t>
            </w:r>
            <w:r>
              <w:br/>
              <w:t>WE INNOVATE.</w:t>
            </w:r>
          </w:p>
        </w:tc>
        <w:tc>
          <w:tcPr>
            <w:tcW w:w="457" w:type="dxa"/>
          </w:tcPr>
          <w:p w14:paraId="57B90AAC" w14:textId="77777777" w:rsidR="00595E34" w:rsidRPr="00585C0D" w:rsidRDefault="00595E34" w:rsidP="00953FF6">
            <w:pPr>
              <w:pStyle w:val="BackCoverContactHeading"/>
            </w:pPr>
          </w:p>
        </w:tc>
        <w:tc>
          <w:tcPr>
            <w:tcW w:w="4961" w:type="dxa"/>
          </w:tcPr>
          <w:p w14:paraId="70DB5F78" w14:textId="77777777" w:rsidR="00595E34" w:rsidRPr="00585C0D" w:rsidRDefault="00595E34" w:rsidP="00953FF6">
            <w:pPr>
              <w:pStyle w:val="BackCoverContactHeading"/>
            </w:pPr>
            <w:r w:rsidRPr="00585C0D">
              <w:t>For further information</w:t>
            </w:r>
          </w:p>
          <w:p w14:paraId="2AEA6985" w14:textId="1191471B" w:rsidR="00595E34" w:rsidRPr="002B15B7" w:rsidRDefault="003C31C6" w:rsidP="00953FF6">
            <w:pPr>
              <w:pStyle w:val="BackCoverContactDetails"/>
              <w:rPr>
                <w:rStyle w:val="BackCoverContactBold"/>
              </w:rPr>
            </w:pPr>
            <w:r>
              <w:rPr>
                <w:rStyle w:val="BackCoverContactBold"/>
              </w:rPr>
              <w:t>CSIRO Land and Water</w:t>
            </w:r>
          </w:p>
          <w:p w14:paraId="7DDECE95" w14:textId="008E097D" w:rsidR="00595E34" w:rsidRPr="00585C0D" w:rsidRDefault="003C31C6" w:rsidP="00953FF6">
            <w:pPr>
              <w:pStyle w:val="BackCoverContactDetails"/>
            </w:pPr>
            <w:r>
              <w:t xml:space="preserve">Lavinia </w:t>
            </w:r>
            <w:proofErr w:type="spellStart"/>
            <w:r>
              <w:t>Poruschi</w:t>
            </w:r>
            <w:proofErr w:type="spellEnd"/>
            <w:r w:rsidR="00595E34">
              <w:br/>
            </w:r>
            <w:r w:rsidR="00595E34" w:rsidRPr="00585C0D">
              <w:rPr>
                <w:rStyle w:val="BackCoverContactBold"/>
              </w:rPr>
              <w:t>t</w:t>
            </w:r>
            <w:r w:rsidR="00595E34" w:rsidRPr="00585C0D">
              <w:t xml:space="preserve"> </w:t>
            </w:r>
            <w:r w:rsidR="00595E34" w:rsidRPr="00585C0D">
              <w:tab/>
            </w:r>
            <w:r>
              <w:rPr>
                <w:rStyle w:val="BackCoverContactBold"/>
                <w:b w:val="0"/>
              </w:rPr>
              <w:t>+61 7 3833</w:t>
            </w:r>
            <w:r w:rsidR="00595E34" w:rsidRPr="00CA09F4">
              <w:rPr>
                <w:rStyle w:val="BackCoverContactBold"/>
                <w:b w:val="0"/>
              </w:rPr>
              <w:t xml:space="preserve"> </w:t>
            </w:r>
            <w:r>
              <w:rPr>
                <w:rStyle w:val="BackCoverContactBold"/>
                <w:b w:val="0"/>
              </w:rPr>
              <w:t>5571</w:t>
            </w:r>
          </w:p>
          <w:p w14:paraId="67A81DF7" w14:textId="5B786F11" w:rsidR="00595E34" w:rsidRPr="00585C0D" w:rsidRDefault="00595E34" w:rsidP="00953FF6">
            <w:pPr>
              <w:pStyle w:val="BackCoverContactDetails"/>
            </w:pPr>
            <w:r w:rsidRPr="00585C0D">
              <w:rPr>
                <w:rStyle w:val="BackCoverContactBold"/>
              </w:rPr>
              <w:t>e</w:t>
            </w:r>
            <w:r w:rsidRPr="00585C0D">
              <w:t xml:space="preserve"> </w:t>
            </w:r>
            <w:r w:rsidRPr="00585C0D">
              <w:tab/>
            </w:r>
            <w:r w:rsidR="003C31C6" w:rsidRPr="003C31C6">
              <w:rPr>
                <w:rStyle w:val="BackCoverContactBold"/>
                <w:b w:val="0"/>
              </w:rPr>
              <w:t>lavinia</w:t>
            </w:r>
            <w:r w:rsidR="003C31C6">
              <w:rPr>
                <w:rStyle w:val="BackCoverContactBold"/>
                <w:b w:val="0"/>
              </w:rPr>
              <w:t>.poruschi</w:t>
            </w:r>
            <w:r w:rsidRPr="00CA09F4">
              <w:rPr>
                <w:rStyle w:val="BackCoverContactBold"/>
                <w:b w:val="0"/>
              </w:rPr>
              <w:t>@csiro.au</w:t>
            </w:r>
          </w:p>
          <w:p w14:paraId="3792860A" w14:textId="66F150DC" w:rsidR="00595E34" w:rsidRDefault="00595E34" w:rsidP="00953FF6">
            <w:pPr>
              <w:pStyle w:val="BackCoverContactDetails"/>
              <w:rPr>
                <w:rStyle w:val="BackCoverContactBold"/>
                <w:b w:val="0"/>
              </w:rPr>
            </w:pPr>
            <w:r w:rsidRPr="00585C0D">
              <w:rPr>
                <w:rStyle w:val="BackCoverContactBold"/>
              </w:rPr>
              <w:t>w</w:t>
            </w:r>
            <w:r w:rsidRPr="00585C0D">
              <w:t xml:space="preserve"> </w:t>
            </w:r>
            <w:r w:rsidRPr="00585C0D">
              <w:tab/>
            </w:r>
            <w:r w:rsidR="003C31C6">
              <w:rPr>
                <w:rStyle w:val="BackCoverContactBold"/>
                <w:b w:val="0"/>
              </w:rPr>
              <w:t>www.csiro.au</w:t>
            </w:r>
          </w:p>
          <w:p w14:paraId="0B2D0A66" w14:textId="77777777" w:rsidR="00595E34" w:rsidRDefault="00595E34" w:rsidP="00953FF6">
            <w:pPr>
              <w:pStyle w:val="BackCoverContactDetails"/>
              <w:rPr>
                <w:rStyle w:val="BackCoverContactBold"/>
              </w:rPr>
            </w:pPr>
          </w:p>
          <w:p w14:paraId="6B5A4A9F" w14:textId="77777777" w:rsidR="003C31C6" w:rsidRPr="002B15B7" w:rsidRDefault="003C31C6" w:rsidP="003C31C6">
            <w:pPr>
              <w:pStyle w:val="BackCoverContactDetails"/>
              <w:rPr>
                <w:rStyle w:val="BackCoverContactBold"/>
              </w:rPr>
            </w:pPr>
            <w:r>
              <w:rPr>
                <w:rStyle w:val="BackCoverContactBold"/>
              </w:rPr>
              <w:t>CSIRO Land and Water</w:t>
            </w:r>
          </w:p>
          <w:p w14:paraId="17B4E19E" w14:textId="2A0351D1" w:rsidR="00595E34" w:rsidRPr="00585C0D" w:rsidRDefault="003C31C6" w:rsidP="00953FF6">
            <w:pPr>
              <w:pStyle w:val="BackCoverContactDetails"/>
            </w:pPr>
            <w:r>
              <w:t xml:space="preserve">Tom </w:t>
            </w:r>
            <w:proofErr w:type="spellStart"/>
            <w:r>
              <w:t>Measham</w:t>
            </w:r>
            <w:proofErr w:type="spellEnd"/>
            <w:r w:rsidR="00595E34">
              <w:br/>
            </w:r>
            <w:r w:rsidR="00595E34" w:rsidRPr="00585C0D">
              <w:rPr>
                <w:rStyle w:val="BackCoverContactBold"/>
              </w:rPr>
              <w:t>t</w:t>
            </w:r>
            <w:r w:rsidR="00595E34" w:rsidRPr="00585C0D">
              <w:t xml:space="preserve"> </w:t>
            </w:r>
            <w:r w:rsidR="00595E34" w:rsidRPr="00585C0D">
              <w:tab/>
            </w:r>
            <w:r w:rsidR="00595E34" w:rsidRPr="00CA09F4">
              <w:rPr>
                <w:rStyle w:val="BackCoverContactBold"/>
                <w:b w:val="0"/>
              </w:rPr>
              <w:t xml:space="preserve">+61 </w:t>
            </w:r>
            <w:r>
              <w:rPr>
                <w:rStyle w:val="BackCoverContactBold"/>
                <w:b w:val="0"/>
              </w:rPr>
              <w:t>7 3833 5962</w:t>
            </w:r>
          </w:p>
          <w:p w14:paraId="114020E0" w14:textId="48BE0E98" w:rsidR="00595E34" w:rsidRPr="00585C0D" w:rsidRDefault="00595E34" w:rsidP="00953FF6">
            <w:pPr>
              <w:pStyle w:val="BackCoverContactDetails"/>
            </w:pPr>
            <w:r w:rsidRPr="00585C0D">
              <w:rPr>
                <w:rStyle w:val="BackCoverContactBold"/>
              </w:rPr>
              <w:t>e</w:t>
            </w:r>
            <w:r w:rsidRPr="00585C0D">
              <w:t xml:space="preserve"> </w:t>
            </w:r>
            <w:r w:rsidRPr="00585C0D">
              <w:tab/>
            </w:r>
            <w:r w:rsidR="003C31C6" w:rsidRPr="003C31C6">
              <w:rPr>
                <w:rStyle w:val="BackCoverContactBold"/>
                <w:b w:val="0"/>
              </w:rPr>
              <w:t>tom</w:t>
            </w:r>
            <w:r w:rsidR="003C31C6">
              <w:rPr>
                <w:rStyle w:val="BackCoverContactBold"/>
                <w:b w:val="0"/>
              </w:rPr>
              <w:t>.measham</w:t>
            </w:r>
            <w:r w:rsidRPr="00CA09F4">
              <w:rPr>
                <w:rStyle w:val="BackCoverContactBold"/>
                <w:b w:val="0"/>
              </w:rPr>
              <w:t>@csiro.au</w:t>
            </w:r>
          </w:p>
          <w:p w14:paraId="6439E6DF" w14:textId="37E55D05" w:rsidR="00595E34" w:rsidRDefault="00595E34" w:rsidP="00953FF6">
            <w:pPr>
              <w:pStyle w:val="BackCoverContactDetails"/>
            </w:pPr>
            <w:r w:rsidRPr="00585C0D">
              <w:rPr>
                <w:rStyle w:val="BackCoverContactBold"/>
              </w:rPr>
              <w:t>w</w:t>
            </w:r>
            <w:r w:rsidRPr="00585C0D">
              <w:t xml:space="preserve"> </w:t>
            </w:r>
            <w:r w:rsidRPr="00585C0D">
              <w:tab/>
            </w:r>
            <w:r w:rsidR="003C31C6">
              <w:rPr>
                <w:rStyle w:val="BackCoverContactBold"/>
                <w:b w:val="0"/>
              </w:rPr>
              <w:t>www.csiro.au</w:t>
            </w:r>
          </w:p>
          <w:p w14:paraId="33F9F94D" w14:textId="752E54F1" w:rsidR="00595E34" w:rsidRPr="00585C0D" w:rsidRDefault="00595E34" w:rsidP="00953FF6">
            <w:pPr>
              <w:pStyle w:val="BackCoverContactDetails"/>
            </w:pPr>
          </w:p>
        </w:tc>
      </w:tr>
    </w:tbl>
    <w:p w14:paraId="31F67637" w14:textId="22C2D78B" w:rsidR="00CE69FC" w:rsidRDefault="004C2BB2" w:rsidP="006C3DCD">
      <w:pPr>
        <w:pStyle w:val="BodyText"/>
        <w:rPr>
          <w:sz w:val="18"/>
        </w:rPr>
      </w:pPr>
      <w:r>
        <w:rPr>
          <w:noProof/>
        </w:rPr>
        <mc:AlternateContent>
          <mc:Choice Requires="wpg">
            <w:drawing>
              <wp:anchor distT="0" distB="0" distL="114300" distR="114300" simplePos="0" relativeHeight="251809280" behindDoc="1" locked="0" layoutInCell="1" allowOverlap="1" wp14:anchorId="511F4251" wp14:editId="4CDDDB17">
                <wp:simplePos x="0" y="0"/>
                <wp:positionH relativeFrom="column">
                  <wp:posOffset>-814070</wp:posOffset>
                </wp:positionH>
                <wp:positionV relativeFrom="paragraph">
                  <wp:posOffset>-5222875</wp:posOffset>
                </wp:positionV>
                <wp:extent cx="8500745" cy="10968355"/>
                <wp:effectExtent l="0" t="0" r="5715" b="4445"/>
                <wp:wrapNone/>
                <wp:docPr id="7" name="Group 928" descr="background" title="Decorative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0745" cy="10968355"/>
                          <a:chOff x="-136" y="-465"/>
                          <a:chExt cx="13387" cy="17273"/>
                        </a:xfrm>
                      </wpg:grpSpPr>
                      <wpg:grpSp>
                        <wpg:cNvPr id="8" name="Group 818" descr="background"/>
                        <wpg:cNvGrpSpPr>
                          <a:grpSpLocks/>
                        </wpg:cNvGrpSpPr>
                        <wpg:grpSpPr bwMode="auto">
                          <a:xfrm>
                            <a:off x="-75" y="-465"/>
                            <a:ext cx="13326" cy="17273"/>
                            <a:chOff x="-75" y="-465"/>
                            <a:chExt cx="13326" cy="17273"/>
                          </a:xfrm>
                        </wpg:grpSpPr>
                        <wps:wsp>
                          <wps:cNvPr id="9" name="Rectangle 816" descr="background"/>
                          <wps:cNvSpPr>
                            <a:spLocks noChangeAspect="1" noChangeArrowheads="1"/>
                          </wps:cNvSpPr>
                          <wps:spPr bwMode="auto">
                            <a:xfrm>
                              <a:off x="-75" y="-465"/>
                              <a:ext cx="12008" cy="17273"/>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b" anchorCtr="0" upright="1">
                            <a:noAutofit/>
                          </wps:bodyPr>
                        </wps:wsp>
                        <wps:wsp>
                          <wps:cNvPr id="10" name="Freeform 817" descr="background"/>
                          <wps:cNvSpPr>
                            <a:spLocks noChangeAspect="1" noEditPoints="1"/>
                          </wps:cNvSpPr>
                          <wps:spPr bwMode="auto">
                            <a:xfrm>
                              <a:off x="-38" y="8385"/>
                              <a:ext cx="13289" cy="1758"/>
                            </a:xfrm>
                            <a:custGeom>
                              <a:avLst/>
                              <a:gdLst>
                                <a:gd name="T0" fmla="*/ 2447 w 2447"/>
                                <a:gd name="T1" fmla="*/ 91 h 321"/>
                                <a:gd name="T2" fmla="*/ 1146 w 2447"/>
                                <a:gd name="T3" fmla="*/ 91 h 321"/>
                                <a:gd name="T4" fmla="*/ 353 w 2447"/>
                                <a:gd name="T5" fmla="*/ 91 h 321"/>
                                <a:gd name="T6" fmla="*/ 97 w 2447"/>
                                <a:gd name="T7" fmla="*/ 91 h 321"/>
                                <a:gd name="T8" fmla="*/ 26 w 2447"/>
                                <a:gd name="T9" fmla="*/ 91 h 321"/>
                                <a:gd name="T10" fmla="*/ 0 w 2447"/>
                                <a:gd name="T11" fmla="*/ 91 h 321"/>
                                <a:gd name="T12" fmla="*/ 0 w 2447"/>
                                <a:gd name="T13" fmla="*/ 94 h 321"/>
                                <a:gd name="T14" fmla="*/ 2447 w 2447"/>
                                <a:gd name="T15" fmla="*/ 94 h 321"/>
                                <a:gd name="T16" fmla="*/ 2447 w 2447"/>
                                <a:gd name="T17" fmla="*/ 91 h 321"/>
                                <a:gd name="T18" fmla="*/ 2447 w 2447"/>
                                <a:gd name="T19" fmla="*/ 136 h 321"/>
                                <a:gd name="T20" fmla="*/ 0 w 2447"/>
                                <a:gd name="T21" fmla="*/ 136 h 321"/>
                                <a:gd name="T22" fmla="*/ 0 w 2447"/>
                                <a:gd name="T23" fmla="*/ 139 h 321"/>
                                <a:gd name="T24" fmla="*/ 0 w 2447"/>
                                <a:gd name="T25" fmla="*/ 139 h 321"/>
                                <a:gd name="T26" fmla="*/ 2447 w 2447"/>
                                <a:gd name="T27" fmla="*/ 139 h 321"/>
                                <a:gd name="T28" fmla="*/ 2447 w 2447"/>
                                <a:gd name="T29" fmla="*/ 136 h 321"/>
                                <a:gd name="T30" fmla="*/ 2447 w 2447"/>
                                <a:gd name="T31" fmla="*/ 181 h 321"/>
                                <a:gd name="T32" fmla="*/ 1146 w 2447"/>
                                <a:gd name="T33" fmla="*/ 181 h 321"/>
                                <a:gd name="T34" fmla="*/ 353 w 2447"/>
                                <a:gd name="T35" fmla="*/ 181 h 321"/>
                                <a:gd name="T36" fmla="*/ 97 w 2447"/>
                                <a:gd name="T37" fmla="*/ 181 h 321"/>
                                <a:gd name="T38" fmla="*/ 26 w 2447"/>
                                <a:gd name="T39" fmla="*/ 181 h 321"/>
                                <a:gd name="T40" fmla="*/ 0 w 2447"/>
                                <a:gd name="T41" fmla="*/ 181 h 321"/>
                                <a:gd name="T42" fmla="*/ 0 w 2447"/>
                                <a:gd name="T43" fmla="*/ 184 h 321"/>
                                <a:gd name="T44" fmla="*/ 2447 w 2447"/>
                                <a:gd name="T45" fmla="*/ 184 h 321"/>
                                <a:gd name="T46" fmla="*/ 2447 w 2447"/>
                                <a:gd name="T47" fmla="*/ 181 h 321"/>
                                <a:gd name="T48" fmla="*/ 2447 w 2447"/>
                                <a:gd name="T49" fmla="*/ 227 h 321"/>
                                <a:gd name="T50" fmla="*/ 0 w 2447"/>
                                <a:gd name="T51" fmla="*/ 227 h 321"/>
                                <a:gd name="T52" fmla="*/ 0 w 2447"/>
                                <a:gd name="T53" fmla="*/ 230 h 321"/>
                                <a:gd name="T54" fmla="*/ 1146 w 2447"/>
                                <a:gd name="T55" fmla="*/ 230 h 321"/>
                                <a:gd name="T56" fmla="*/ 2447 w 2447"/>
                                <a:gd name="T57" fmla="*/ 230 h 321"/>
                                <a:gd name="T58" fmla="*/ 2447 w 2447"/>
                                <a:gd name="T59" fmla="*/ 227 h 321"/>
                                <a:gd name="T60" fmla="*/ 0 w 2447"/>
                                <a:gd name="T61" fmla="*/ 318 h 321"/>
                                <a:gd name="T62" fmla="*/ 0 w 2447"/>
                                <a:gd name="T63" fmla="*/ 321 h 321"/>
                                <a:gd name="T64" fmla="*/ 2447 w 2447"/>
                                <a:gd name="T65" fmla="*/ 321 h 321"/>
                                <a:gd name="T66" fmla="*/ 2447 w 2447"/>
                                <a:gd name="T67" fmla="*/ 318 h 321"/>
                                <a:gd name="T68" fmla="*/ 0 w 2447"/>
                                <a:gd name="T69" fmla="*/ 318 h 321"/>
                                <a:gd name="T70" fmla="*/ 2447 w 2447"/>
                                <a:gd name="T71" fmla="*/ 0 h 321"/>
                                <a:gd name="T72" fmla="*/ 1146 w 2447"/>
                                <a:gd name="T73" fmla="*/ 0 h 321"/>
                                <a:gd name="T74" fmla="*/ 353 w 2447"/>
                                <a:gd name="T75" fmla="*/ 0 h 321"/>
                                <a:gd name="T76" fmla="*/ 97 w 2447"/>
                                <a:gd name="T77" fmla="*/ 0 h 321"/>
                                <a:gd name="T78" fmla="*/ 26 w 2447"/>
                                <a:gd name="T79" fmla="*/ 0 h 321"/>
                                <a:gd name="T80" fmla="*/ 0 w 2447"/>
                                <a:gd name="T81" fmla="*/ 0 h 321"/>
                                <a:gd name="T82" fmla="*/ 0 w 2447"/>
                                <a:gd name="T83" fmla="*/ 3 h 321"/>
                                <a:gd name="T84" fmla="*/ 2447 w 2447"/>
                                <a:gd name="T85" fmla="*/ 3 h 321"/>
                                <a:gd name="T86" fmla="*/ 2447 w 2447"/>
                                <a:gd name="T87" fmla="*/ 0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447" h="321">
                                  <a:moveTo>
                                    <a:pt x="2447" y="91"/>
                                  </a:moveTo>
                                  <a:cubicBezTo>
                                    <a:pt x="2343" y="91"/>
                                    <a:pt x="1731" y="91"/>
                                    <a:pt x="1146" y="91"/>
                                  </a:cubicBezTo>
                                  <a:cubicBezTo>
                                    <a:pt x="853" y="91"/>
                                    <a:pt x="566" y="91"/>
                                    <a:pt x="353" y="91"/>
                                  </a:cubicBezTo>
                                  <a:cubicBezTo>
                                    <a:pt x="247" y="91"/>
                                    <a:pt x="159" y="91"/>
                                    <a:pt x="97" y="91"/>
                                  </a:cubicBezTo>
                                  <a:cubicBezTo>
                                    <a:pt x="66" y="91"/>
                                    <a:pt x="42" y="91"/>
                                    <a:pt x="26" y="91"/>
                                  </a:cubicBezTo>
                                  <a:cubicBezTo>
                                    <a:pt x="9" y="91"/>
                                    <a:pt x="0" y="91"/>
                                    <a:pt x="0" y="91"/>
                                  </a:cubicBezTo>
                                  <a:cubicBezTo>
                                    <a:pt x="0" y="94"/>
                                    <a:pt x="0" y="94"/>
                                    <a:pt x="0" y="94"/>
                                  </a:cubicBezTo>
                                  <a:cubicBezTo>
                                    <a:pt x="0" y="94"/>
                                    <a:pt x="2239" y="94"/>
                                    <a:pt x="2447" y="94"/>
                                  </a:cubicBezTo>
                                  <a:cubicBezTo>
                                    <a:pt x="2447" y="91"/>
                                    <a:pt x="2447" y="91"/>
                                    <a:pt x="2447" y="91"/>
                                  </a:cubicBezTo>
                                  <a:moveTo>
                                    <a:pt x="2447" y="136"/>
                                  </a:moveTo>
                                  <a:cubicBezTo>
                                    <a:pt x="2239" y="136"/>
                                    <a:pt x="0" y="136"/>
                                    <a:pt x="0" y="136"/>
                                  </a:cubicBezTo>
                                  <a:cubicBezTo>
                                    <a:pt x="0" y="139"/>
                                    <a:pt x="0" y="139"/>
                                    <a:pt x="0" y="139"/>
                                  </a:cubicBezTo>
                                  <a:cubicBezTo>
                                    <a:pt x="0" y="139"/>
                                    <a:pt x="0" y="139"/>
                                    <a:pt x="0" y="139"/>
                                  </a:cubicBezTo>
                                  <a:cubicBezTo>
                                    <a:pt x="0" y="139"/>
                                    <a:pt x="2239" y="139"/>
                                    <a:pt x="2447" y="139"/>
                                  </a:cubicBezTo>
                                  <a:cubicBezTo>
                                    <a:pt x="2447" y="136"/>
                                    <a:pt x="2447" y="136"/>
                                    <a:pt x="2447" y="136"/>
                                  </a:cubicBezTo>
                                  <a:moveTo>
                                    <a:pt x="2447" y="181"/>
                                  </a:moveTo>
                                  <a:cubicBezTo>
                                    <a:pt x="2343" y="181"/>
                                    <a:pt x="1731" y="181"/>
                                    <a:pt x="1146" y="181"/>
                                  </a:cubicBezTo>
                                  <a:cubicBezTo>
                                    <a:pt x="853" y="181"/>
                                    <a:pt x="566" y="181"/>
                                    <a:pt x="353" y="181"/>
                                  </a:cubicBezTo>
                                  <a:cubicBezTo>
                                    <a:pt x="247" y="181"/>
                                    <a:pt x="159" y="181"/>
                                    <a:pt x="97" y="181"/>
                                  </a:cubicBezTo>
                                  <a:cubicBezTo>
                                    <a:pt x="66" y="181"/>
                                    <a:pt x="42" y="181"/>
                                    <a:pt x="26" y="181"/>
                                  </a:cubicBezTo>
                                  <a:cubicBezTo>
                                    <a:pt x="9" y="181"/>
                                    <a:pt x="0" y="181"/>
                                    <a:pt x="0" y="181"/>
                                  </a:cubicBezTo>
                                  <a:cubicBezTo>
                                    <a:pt x="0" y="184"/>
                                    <a:pt x="0" y="184"/>
                                    <a:pt x="0" y="184"/>
                                  </a:cubicBezTo>
                                  <a:cubicBezTo>
                                    <a:pt x="0" y="184"/>
                                    <a:pt x="2239" y="184"/>
                                    <a:pt x="2447" y="184"/>
                                  </a:cubicBezTo>
                                  <a:cubicBezTo>
                                    <a:pt x="2447" y="181"/>
                                    <a:pt x="2447" y="181"/>
                                    <a:pt x="2447" y="181"/>
                                  </a:cubicBezTo>
                                  <a:moveTo>
                                    <a:pt x="2447" y="227"/>
                                  </a:moveTo>
                                  <a:cubicBezTo>
                                    <a:pt x="2239" y="227"/>
                                    <a:pt x="0" y="227"/>
                                    <a:pt x="0" y="227"/>
                                  </a:cubicBezTo>
                                  <a:cubicBezTo>
                                    <a:pt x="0" y="230"/>
                                    <a:pt x="0" y="230"/>
                                    <a:pt x="0" y="230"/>
                                  </a:cubicBezTo>
                                  <a:cubicBezTo>
                                    <a:pt x="0" y="230"/>
                                    <a:pt x="560" y="230"/>
                                    <a:pt x="1146" y="230"/>
                                  </a:cubicBezTo>
                                  <a:cubicBezTo>
                                    <a:pt x="1731" y="230"/>
                                    <a:pt x="2343" y="230"/>
                                    <a:pt x="2447" y="230"/>
                                  </a:cubicBezTo>
                                  <a:cubicBezTo>
                                    <a:pt x="2447" y="227"/>
                                    <a:pt x="2447" y="227"/>
                                    <a:pt x="2447" y="227"/>
                                  </a:cubicBezTo>
                                  <a:moveTo>
                                    <a:pt x="0" y="318"/>
                                  </a:moveTo>
                                  <a:cubicBezTo>
                                    <a:pt x="0" y="321"/>
                                    <a:pt x="0" y="321"/>
                                    <a:pt x="0" y="321"/>
                                  </a:cubicBezTo>
                                  <a:cubicBezTo>
                                    <a:pt x="0" y="321"/>
                                    <a:pt x="2239" y="321"/>
                                    <a:pt x="2447" y="321"/>
                                  </a:cubicBezTo>
                                  <a:cubicBezTo>
                                    <a:pt x="2447" y="318"/>
                                    <a:pt x="2447" y="318"/>
                                    <a:pt x="2447" y="318"/>
                                  </a:cubicBezTo>
                                  <a:cubicBezTo>
                                    <a:pt x="2239" y="318"/>
                                    <a:pt x="0" y="318"/>
                                    <a:pt x="0" y="318"/>
                                  </a:cubicBezTo>
                                  <a:moveTo>
                                    <a:pt x="2447" y="0"/>
                                  </a:moveTo>
                                  <a:cubicBezTo>
                                    <a:pt x="2343" y="0"/>
                                    <a:pt x="1731" y="0"/>
                                    <a:pt x="1146" y="0"/>
                                  </a:cubicBezTo>
                                  <a:cubicBezTo>
                                    <a:pt x="853" y="0"/>
                                    <a:pt x="566" y="0"/>
                                    <a:pt x="353" y="0"/>
                                  </a:cubicBezTo>
                                  <a:cubicBezTo>
                                    <a:pt x="247" y="0"/>
                                    <a:pt x="159" y="0"/>
                                    <a:pt x="97" y="0"/>
                                  </a:cubicBezTo>
                                  <a:cubicBezTo>
                                    <a:pt x="66" y="0"/>
                                    <a:pt x="42" y="0"/>
                                    <a:pt x="26" y="0"/>
                                  </a:cubicBezTo>
                                  <a:cubicBezTo>
                                    <a:pt x="9" y="0"/>
                                    <a:pt x="0" y="0"/>
                                    <a:pt x="0" y="0"/>
                                  </a:cubicBezTo>
                                  <a:cubicBezTo>
                                    <a:pt x="0" y="3"/>
                                    <a:pt x="0" y="3"/>
                                    <a:pt x="0" y="3"/>
                                  </a:cubicBezTo>
                                  <a:cubicBezTo>
                                    <a:pt x="0" y="3"/>
                                    <a:pt x="2239" y="3"/>
                                    <a:pt x="2447" y="3"/>
                                  </a:cubicBezTo>
                                  <a:cubicBezTo>
                                    <a:pt x="2447" y="0"/>
                                    <a:pt x="2447" y="0"/>
                                    <a:pt x="2447" y="0"/>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 name="Group 684" descr="background"/>
                        <wpg:cNvGrpSpPr>
                          <a:grpSpLocks/>
                        </wpg:cNvGrpSpPr>
                        <wpg:grpSpPr bwMode="auto">
                          <a:xfrm>
                            <a:off x="-136" y="913"/>
                            <a:ext cx="12119" cy="830"/>
                            <a:chOff x="0" y="0"/>
                            <a:chExt cx="89528" cy="6261"/>
                          </a:xfrm>
                        </wpg:grpSpPr>
                        <wps:wsp>
                          <wps:cNvPr id="12" name="AutoShape 26"/>
                          <wps:cNvSpPr>
                            <a:spLocks noChangeAspect="1" noChangeArrowheads="1"/>
                          </wps:cNvSpPr>
                          <wps:spPr bwMode="auto">
                            <a:xfrm>
                              <a:off x="0" y="0"/>
                              <a:ext cx="89528" cy="6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 name="Rectangle 34"/>
                          <wps:cNvSpPr>
                            <a:spLocks noChangeArrowheads="1"/>
                          </wps:cNvSpPr>
                          <wps:spPr bwMode="auto">
                            <a:xfrm>
                              <a:off x="146" y="190"/>
                              <a:ext cx="89223" cy="5950"/>
                            </a:xfrm>
                            <a:prstGeom prst="rect">
                              <a:avLst/>
                            </a:prstGeom>
                            <a:solidFill>
                              <a:srgbClr val="C8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4" name="Group 91"/>
                          <wpg:cNvGrpSpPr>
                            <a:grpSpLocks/>
                          </wpg:cNvGrpSpPr>
                          <wpg:grpSpPr bwMode="auto">
                            <a:xfrm>
                              <a:off x="114" y="190"/>
                              <a:ext cx="89255" cy="5950"/>
                              <a:chOff x="114" y="190"/>
                              <a:chExt cx="89255" cy="5950"/>
                            </a:xfrm>
                          </wpg:grpSpPr>
                          <wps:wsp>
                            <wps:cNvPr id="15" name="Rectangle 35" descr="background"/>
                            <wps:cNvSpPr>
                              <a:spLocks noChangeArrowheads="1"/>
                            </wps:cNvSpPr>
                            <wps:spPr bwMode="auto">
                              <a:xfrm>
                                <a:off x="146" y="190"/>
                                <a:ext cx="89223" cy="595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Rectangle 36" descr="background"/>
                            <wps:cNvSpPr>
                              <a:spLocks noChangeArrowheads="1"/>
                            </wps:cNvSpPr>
                            <wps:spPr bwMode="auto">
                              <a:xfrm>
                                <a:off x="114" y="984"/>
                                <a:ext cx="89255" cy="5156"/>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349C0F30" id="Group 928" o:spid="_x0000_s1026" alt="Title: Decorative image - Description: background" style="position:absolute;margin-left:-64.1pt;margin-top:-411.25pt;width:669.35pt;height:863.65pt;z-index:-251507200" coordorigin="-136,-465" coordsize="13387,1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">
                <v:group id="Group 818" o:spid="_x0000_s1027" alt="background" style="position:absolute;left:-75;top:-465;width:13326;height:17273" coordorigin="-75,-465" coordsize="13326,17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rect id="Rectangle 816" o:spid="_x0000_s1028" alt="background" style="position:absolute;left:-75;top:-465;width:12008;height:1727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TPsQA&#10;AADaAAAADwAAAGRycy9kb3ducmV2LnhtbESPT4vCMBTE78J+h/AWvIimKshajSKCfxb0YFcUb4/m&#10;bVu2eSlN1PrtN4LgcZiZ3zDTeWNKcaPaFZYV9HsRCOLU6oIzBcefVfcLhPPIGkvLpOBBDuazj9YU&#10;Y23vfKBb4jMRIOxiVJB7X8VSujQng65nK+Lg/draoA+yzqSu8R7gppSDKBpJgwWHhRwrWuaU/iVX&#10;o2B3OZyLPZXf/U660cMITxd3XSvV/mwWExCeGv8Ov9pbrWAMzyvhBs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Ez7EAAAA2gAAAA8AAAAAAAAAAAAAAAAAmAIAAGRycy9k&#10;b3ducmV2LnhtbFBLBQYAAAAABAAEAPUAAACJAwAAAAA=&#10;" fillcolor="white [3214]" stroked="f">
                    <o:lock v:ext="edit" aspectratio="t"/>
                    <v:textbox inset="0,0,0,0"/>
                  </v:rect>
                  <v:shape id="Freeform 817" o:spid="_x0000_s1029" alt="background" style="position:absolute;left:-38;top:8385;width:13289;height:1758;visibility:visible;mso-wrap-style:square;v-text-anchor:top" coordsize="2447,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IrlsQA&#10;AADbAAAADwAAAGRycy9kb3ducmV2LnhtbESPMW/CQAyFdyT+w8lIbHChEhUKHAilonRoBwILm5Vz&#10;kzQ5X5S7kvTf10Olbrbe83ufd4fRtepBfag9G1gtE1DEhbc1lwZu19NiAypEZIutZzLwQwEO++lk&#10;h6n1A1/okcdSSQiHFA1UMXap1qGoyGFY+o5YtE/fO4yy9qW2PQ4S7lr9lCTP2mHN0lBhR1lFRZN/&#10;OwPDe5u9rq/uhHnx0bB/WX+d3d2Y+Ww8bkFFGuO/+e/6zQq+0MsvMoD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SK5bEAAAA2wAAAA8AAAAAAAAAAAAAAAAAmAIAAGRycy9k&#10;b3ducmV2LnhtbFBLBQYAAAAABAAEAPUAAACJAwAAAAA=&#10;" path="m2447,91v-104,,-716,,-1301,c853,91,566,91,353,91v-106,,-194,,-256,c66,91,42,91,26,91,9,91,,91,,91v,3,,3,,3c,94,2239,94,2447,94v,-3,,-3,,-3m2447,136c2239,136,,136,,136v,3,,3,,3c,139,,139,,139v,,2239,,2447,c2447,136,2447,136,2447,136t,45c2343,181,1731,181,1146,181v-293,,-580,,-793,c247,181,159,181,97,181v-31,,-55,,-71,c9,181,,181,,181v,3,,3,,3c,184,2239,184,2447,184v,-3,,-3,,-3m2447,227c2239,227,,227,,227v,3,,3,,3c,230,560,230,1146,230v585,,1197,,1301,c2447,227,2447,227,2447,227m,318v,3,,3,,3c,321,2239,321,2447,321v,-3,,-3,,-3c2239,318,,318,,318m2447,c2343,,1731,,1146,,853,,566,,353,,247,,159,,97,,66,,42,,26,,9,,,,,,,3,,3,,3v,,2239,,2447,c2447,,2447,,2447,e" fillcolor="#00a9ce [3204]" stroked="f">
                    <v:path arrowok="t" o:connecttype="custom" o:connectlocs="13289,498;6224,498;1917,498;527,498;141,498;0,498;0,515;13289,515;13289,498;13289,745;0,745;0,761;0,761;13289,761;13289,745;13289,991;6224,991;1917,991;527,991;141,991;0,991;0,1008;13289,1008;13289,991;13289,1243;0,1243;0,1260;6224,1260;13289,1260;13289,1243;0,1742;0,1758;13289,1758;13289,1742;0,1742;13289,0;6224,0;1917,0;527,0;141,0;0,0;0,16;13289,16;13289,0" o:connectangles="0,0,0,0,0,0,0,0,0,0,0,0,0,0,0,0,0,0,0,0,0,0,0,0,0,0,0,0,0,0,0,0,0,0,0,0,0,0,0,0,0,0,0,0"/>
                    <o:lock v:ext="edit" aspectratio="t" verticies="t"/>
                  </v:shape>
                </v:group>
                <v:group id="Group 684" o:spid="_x0000_s1030" alt="background" style="position:absolute;left:-136;top:913;width:12119;height:830" coordsize="89528,6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rect id="AutoShape 26" o:spid="_x0000_s1031" style="position:absolute;width:89528;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M88EA&#10;AADbAAAADwAAAGRycy9kb3ducmV2LnhtbERPS4vCMBC+C/sfwix4kTXVg0jXKIuwWBZBrI/z0Ixt&#10;sZnUJtvWf28Ewdt8fM9ZrHpTiZYaV1pWMBlHIIgzq0vOFRwPv19zEM4ja6wsk4I7OVgtPwYLjLXt&#10;eE9t6nMRQtjFqKDwvo6ldFlBBt3Y1sSBu9jGoA+wyaVusAvhppLTKJpJgyWHhgJrWheUXdN/o6DL&#10;du35sN3I3eicWL4lt3V6+lNq+Nn/fIPw1Pu3+OVOdJg/hecv4QC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SzPPBAAAA2wAAAA8AAAAAAAAAAAAAAAAAmAIAAGRycy9kb3du&#10;cmV2LnhtbFBLBQYAAAAABAAEAPUAAACGAwAAAAA=&#10;" filled="f" stroked="f">
                    <o:lock v:ext="edit" aspectratio="t"/>
                  </v:rect>
                  <v:rect id="Rectangle 34" o:spid="_x0000_s1032"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J9cIA&#10;AADbAAAADwAAAGRycy9kb3ducmV2LnhtbERP32vCMBB+H/g/hBN8KTNVYYxqlDFRBGEw3Xw+mlsT&#10;bC5dE2v9781g4Nt9fD9vsepdLTpqg/WsYDLOQRCXXluuFHwdN8+vIEJE1lh7JgU3CrBaDp4WWGh/&#10;5U/qDrESKYRDgQpMjE0hZSgNOQxj3xAn7se3DmOCbSV1i9cU7mo5zfMX6dByajDY0Luh8ny4OAXT&#10;23bd2I9dOJ9sn+1/vzMz6zKlRsP+bQ4iUh8f4n/3Tqf5M/j7JR0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8Mn1wgAAANsAAAAPAAAAAAAAAAAAAAAAAJgCAABkcnMvZG93&#10;bnJldi54bWxQSwUGAAAAAAQABAD1AAAAhwMAAAAA&#10;" fillcolor="#c8c7c7" stroked="f"/>
                  <v:group id="Group 91" o:spid="_x0000_s1033" style="position:absolute;left:114;top:190;width:89255;height:5950" coordorigin="114,190" coordsize="8925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rect id="Rectangle 35" o:spid="_x0000_s1034" alt="background"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gm7sIA&#10;AADbAAAADwAAAGRycy9kb3ducmV2LnhtbERPS2vCQBC+F/wPywheQt1UqdjoKlYUvflo8TxkxySY&#10;nQ3Z1UR/vSsUepuP7znTeWtKcaPaFZYVfPRjEMSp1QVnCn5/1u9jEM4jaywtk4I7OZjPOm9TTLRt&#10;+EC3o89ECGGXoILc+yqR0qU5GXR9WxEH7mxrgz7AOpO6xiaEm1IO4ngkDRYcGnKsaJlTejlejYKo&#10;Gp6+m8d+G+3W8X21OR2+sqhVqtdtFxMQnlr/L/5zb3WY/wmvX8IB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CbuwgAAANsAAAAPAAAAAAAAAAAAAAAAAJgCAABkcnMvZG93&#10;bnJldi54bWxQSwUGAAAAAAQABAD1AAAAhwMAAAAA&#10;" fillcolor="#bfbfbf" stroked="f"/>
                    <v:rect id="Rectangle 36" o:spid="_x0000_s1035" alt="background" style="position:absolute;left:114;top:984;width:89255;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UQPcEA&#10;AADbAAAADwAAAGRycy9kb3ducmV2LnhtbERPTYvCMBC9L/gfwgje1tQ9yFKNUgRR3INYF9bj2IxN&#10;aTMpTaz1328WFrzN433Ocj3YRvTU+cqxgtk0AUFcOF1xqeD7vH3/BOEDssbGMSl4kof1avS2xFS7&#10;B5+oz0MpYgj7FBWYENpUSl8YsuinriWO3M11FkOEXSl1h48Ybhv5kSRzabHi2GCwpY2hos7vVsH+&#10;koXd4Xo/uJ/sVOdf5tjX9VGpyXjIFiACDeEl/nfvdZw/h79f4g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FED3BAAAA2wAAAA8AAAAAAAAAAAAAAAAAmAIAAGRycy9kb3du&#10;cmV2LnhtbFBLBQYAAAAABAAEAPUAAACGAwAAAAA=&#10;" fillcolor="#00a9ce [3204]" stroked="f"/>
                  </v:group>
                </v:group>
              </v:group>
            </w:pict>
          </mc:Fallback>
        </mc:AlternateContent>
      </w:r>
    </w:p>
    <w:p w14:paraId="5721DE11" w14:textId="77777777" w:rsidR="00CE69FC" w:rsidRDefault="00CE69FC" w:rsidP="006C3DCD">
      <w:pPr>
        <w:pStyle w:val="BodyText"/>
        <w:rPr>
          <w:sz w:val="18"/>
        </w:rPr>
      </w:pPr>
    </w:p>
    <w:p w14:paraId="495113F5" w14:textId="0A920D41" w:rsidR="00A14107" w:rsidRPr="006C2F7A" w:rsidRDefault="00A14107" w:rsidP="006C3DCD">
      <w:pPr>
        <w:pStyle w:val="BodyText"/>
        <w:rPr>
          <w:sz w:val="18"/>
        </w:rPr>
      </w:pPr>
    </w:p>
    <w:sectPr w:rsidR="00A14107" w:rsidRPr="006C2F7A" w:rsidSect="006C3DCD">
      <w:type w:val="evenPage"/>
      <w:pgSz w:w="11906" w:h="16838" w:code="9"/>
      <w:pgMar w:top="1134" w:right="1134" w:bottom="1134" w:left="1134" w:header="510" w:footer="624" w:gutter="0"/>
      <w:cols w:space="85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6D56B5" w14:textId="77777777" w:rsidR="00B5448A" w:rsidRDefault="00B5448A" w:rsidP="009964E7">
      <w:r>
        <w:separator/>
      </w:r>
    </w:p>
    <w:p w14:paraId="46A435DF" w14:textId="77777777" w:rsidR="00B5448A" w:rsidRDefault="00B5448A"/>
  </w:endnote>
  <w:endnote w:type="continuationSeparator" w:id="0">
    <w:p w14:paraId="13E3E7BC" w14:textId="77777777" w:rsidR="00B5448A" w:rsidRDefault="00B5448A" w:rsidP="009964E7">
      <w:r>
        <w:continuationSeparator/>
      </w:r>
    </w:p>
    <w:p w14:paraId="293DDCE8" w14:textId="77777777" w:rsidR="00B5448A" w:rsidRDefault="00B5448A"/>
  </w:endnote>
  <w:endnote w:type="continuationNotice" w:id="1">
    <w:p w14:paraId="3C5709E0" w14:textId="77777777" w:rsidR="00B5448A" w:rsidRDefault="00B5448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78AED" w14:textId="77777777" w:rsidR="00B5448A" w:rsidRDefault="00B5448A"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4C2BB2">
      <w:rPr>
        <w:rStyle w:val="PageNumber"/>
        <w:noProof/>
      </w:rPr>
      <w:t>32</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4C2BB2">
      <w:rPr>
        <w:noProof/>
      </w:rPr>
      <w:t>Extractive industries lifecycle and benefit distribution</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FA0D14" w14:textId="77777777" w:rsidR="00B5448A" w:rsidRDefault="00B5448A"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separate"/>
    </w:r>
    <w:r w:rsidR="004C2BB2">
      <w:rPr>
        <w:noProof/>
      </w:rPr>
      <w:t>Extractive industries lifecycle and benefit distribution</w: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sidR="004C2BB2">
      <w:rPr>
        <w:rStyle w:val="PageNumber"/>
        <w:noProof/>
      </w:rPr>
      <w:t>33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6511E1" w14:textId="77777777" w:rsidR="00B5448A" w:rsidRDefault="00B5448A" w:rsidP="009964E7">
      <w:r>
        <w:separator/>
      </w:r>
    </w:p>
    <w:p w14:paraId="096BD6DC" w14:textId="77777777" w:rsidR="00B5448A" w:rsidRDefault="00B5448A"/>
  </w:footnote>
  <w:footnote w:type="continuationSeparator" w:id="0">
    <w:p w14:paraId="6CAA77A6" w14:textId="77777777" w:rsidR="00B5448A" w:rsidRDefault="00B5448A" w:rsidP="009964E7">
      <w:r>
        <w:continuationSeparator/>
      </w:r>
    </w:p>
    <w:p w14:paraId="62BD162F" w14:textId="77777777" w:rsidR="00B5448A" w:rsidRDefault="00B5448A"/>
  </w:footnote>
  <w:footnote w:type="continuationNotice" w:id="1">
    <w:p w14:paraId="7414C1B4" w14:textId="77777777" w:rsidR="00B5448A" w:rsidRDefault="00B5448A">
      <w:pPr>
        <w:spacing w:after="0"/>
      </w:pPr>
    </w:p>
  </w:footnote>
  <w:footnote w:id="2">
    <w:p w14:paraId="2F046A40" w14:textId="7F907F69" w:rsidR="00B5448A" w:rsidRDefault="00B5448A" w:rsidP="00383F43">
      <w:pPr>
        <w:pStyle w:val="FootnoteText"/>
        <w:jc w:val="both"/>
      </w:pPr>
      <w:r>
        <w:rPr>
          <w:rStyle w:val="FootnoteReference"/>
        </w:rPr>
        <w:footnoteRef/>
      </w:r>
      <w:r>
        <w:t xml:space="preserve"> The terms of trade index (or index of commodity prices) </w:t>
      </w:r>
      <w:r w:rsidRPr="00E81C9F">
        <w:t xml:space="preserve">is defined by the Reserve Bank and measured by the Australian Bureau of Statistics as  the ratio of export prices to import prices </w:t>
      </w:r>
      <w:r w:rsidRPr="00E81C9F">
        <w:fldChar w:fldCharType="begin"/>
      </w:r>
      <w:r>
        <w:instrText xml:space="preserve"> ADDIN EN.CITE &lt;EndNote&gt;&lt;Cite&gt;&lt;Author&gt;Australian Bureau of Statistics&lt;/Author&gt;&lt;Year&gt;2018&lt;/Year&gt;&lt;RecNum&gt;3094&lt;/RecNum&gt;&lt;DisplayText&gt;(Australian Bureau of Statistics, 2018a)&lt;/DisplayText&gt;&lt;record&gt;&lt;rec-number&gt;3094&lt;/rec-number&gt;&lt;foreign-keys&gt;&lt;key app="EN" db-id="vzav25azvd0fxjextfzvax229ff0apaprtda" timestamp="1506650013"&gt;3094&lt;/key&gt;&lt;/foreign-keys&gt;&lt;ref-type name="Dataset"&gt;59&lt;/ref-type&gt;&lt;contributors&gt;&lt;authors&gt;&lt;author&gt;Australian Bureau of Statistics,&lt;/author&gt;&lt;/authors&gt;&lt;secondary-authors&gt;&lt;author&gt;Australian Bureau of Statistics,&lt;/author&gt;&lt;/secondary-authors&gt;&lt;/contributors&gt;&lt;titles&gt;&lt;title&gt;5302.0 - Balance of Payments and International Investment Position, Australia, March 2018&lt;/title&gt;&lt;/titles&gt;&lt;edition&gt;March 2018&lt;/edition&gt;&lt;dates&gt;&lt;year&gt;2018&lt;/year&gt;&lt;/dates&gt;&lt;pub-location&gt;Canberra&lt;/pub-location&gt;&lt;publisher&gt;Australian Bureau of Statistics&lt;/publisher&gt;&lt;urls&gt;&lt;related-urls&gt;&lt;url&gt;http://www.abs.gov.au/AUSSTATS/abs@.nsf/Latestproducts/5302.0Main%20Features4Jun%202017?opendocument&amp;amp;tabname=Summary&amp;amp;prodno=5302.0&amp;amp;issue=Jun%202017&amp;amp;num=&amp;amp;view=&lt;/url&gt;&lt;/related-urls&gt;&lt;/urls&gt;&lt;access-date&gt;03.05.2018&lt;/access-date&gt;&lt;/record&gt;&lt;/Cite&gt;&lt;/EndNote&gt;</w:instrText>
      </w:r>
      <w:r w:rsidRPr="00E81C9F">
        <w:fldChar w:fldCharType="separate"/>
      </w:r>
      <w:r>
        <w:rPr>
          <w:noProof/>
        </w:rPr>
        <w:t>(Australian Bureau of Statistics, 2018a)</w:t>
      </w:r>
      <w:r w:rsidRPr="00E81C9F">
        <w:fldChar w:fldCharType="end"/>
      </w:r>
      <w:r w:rsidRPr="00E81C9F">
        <w:t>.</w:t>
      </w:r>
      <w:r>
        <w:t xml:space="preserve"> It measures the prices received for exported materials compared with the prices for imported materials.</w:t>
      </w:r>
    </w:p>
  </w:footnote>
  <w:footnote w:id="3">
    <w:p w14:paraId="4FAFF478" w14:textId="77777777" w:rsidR="00B5448A" w:rsidRDefault="00B5448A" w:rsidP="00383F43">
      <w:pPr>
        <w:pStyle w:val="FootnoteText"/>
        <w:jc w:val="both"/>
      </w:pPr>
      <w:r>
        <w:rPr>
          <w:rStyle w:val="FootnoteReference"/>
        </w:rPr>
        <w:footnoteRef/>
      </w:r>
      <w:r>
        <w:t xml:space="preserve"> Alumina, aluminium, copper, gold, iron ore, nickel, zinc, LNG, metallurgical coal, thermal coal, oil, uranium.</w:t>
      </w:r>
    </w:p>
  </w:footnote>
  <w:footnote w:id="4">
    <w:p w14:paraId="5C64A2A4" w14:textId="09F0DFCC" w:rsidR="00B5448A" w:rsidRDefault="00B5448A" w:rsidP="00383F43">
      <w:pPr>
        <w:pStyle w:val="FootnoteText"/>
        <w:jc w:val="both"/>
      </w:pPr>
      <w:r>
        <w:rPr>
          <w:rStyle w:val="FootnoteReference"/>
        </w:rPr>
        <w:footnoteRef/>
      </w:r>
      <w:r>
        <w:t xml:space="preserve"> China is the world’s largest producer of steel, accounting for 50% of global production. Demand for these two Australian major resources, coal and iron ore, and energy exports could also decrease due to a slowdown in Chinese economic activity and investment in its own infrastructure.</w:t>
      </w:r>
    </w:p>
  </w:footnote>
  <w:footnote w:id="5">
    <w:p w14:paraId="4E9EABAE" w14:textId="78C649EE" w:rsidR="00B5448A" w:rsidRDefault="00B5448A" w:rsidP="00383F43">
      <w:pPr>
        <w:pStyle w:val="FootnoteText"/>
        <w:jc w:val="both"/>
      </w:pPr>
      <w:r>
        <w:rPr>
          <w:rStyle w:val="FootnoteReference"/>
        </w:rPr>
        <w:footnoteRef/>
      </w:r>
      <w:r>
        <w:t xml:space="preserve"> The services industries correspond to the ANZSIC divisions D, F–S.</w:t>
      </w:r>
    </w:p>
  </w:footnote>
  <w:footnote w:id="6">
    <w:p w14:paraId="730885CB" w14:textId="4B730932" w:rsidR="00B5448A" w:rsidRDefault="00B5448A" w:rsidP="00383F43">
      <w:pPr>
        <w:pStyle w:val="FootnoteText"/>
        <w:jc w:val="both"/>
      </w:pPr>
      <w:r>
        <w:rPr>
          <w:rStyle w:val="FootnoteReference"/>
        </w:rPr>
        <w:footnoteRef/>
      </w:r>
      <w:r>
        <w:t xml:space="preserve"> This refers to expenditure by private organisations in exploration for minerals and petroleum (excludes water). Exploration refers to activities to search for ‘concentrations of naturally occurring solid, liquid or gaseous materials and includes new field wildcat and stratigraphical and extension/appraisal wells and mineral appraisals intended to delineate or greatly extend the limits of known deposits by geological, geophysical, geochemical, drilling or other methods’ </w:t>
      </w:r>
      <w:r>
        <w:fldChar w:fldCharType="begin"/>
      </w:r>
      <w:r>
        <w:instrText xml:space="preserve"> ADDIN EN.CITE &lt;EndNote&gt;&lt;Cite AuthorYear="1"&gt;&lt;Author&gt;Australian Bureau of Statistics&lt;/Author&gt;&lt;Year&gt;2017&lt;/Year&gt;&lt;RecNum&gt;3105&lt;/RecNum&gt;&lt;DisplayText&gt;Australian Bureau of Statistics (2017b)&lt;/DisplayText&gt;&lt;record&gt;&lt;rec-number&gt;3105&lt;/rec-number&gt;&lt;foreign-keys&gt;&lt;key app="EN" db-id="vzav25azvd0fxjextfzvax229ff0apaprtda" timestamp="1507168414"&gt;3105&lt;/key&gt;&lt;/foreign-keys&gt;&lt;ref-type name="Dataset"&gt;59&lt;/ref-type&gt;&lt;contributors&gt;&lt;authors&gt;&lt;author&gt;Australian Bureau of Statistics,&lt;/author&gt;&lt;/authors&gt;&lt;secondary-authors&gt;&lt;author&gt;Australian Bureau of Statistics,&lt;/author&gt;&lt;/secondary-authors&gt;&lt;/contributors&gt;&lt;titles&gt;&lt;title&gt;8412.0 Mineral and Petroleum Exploration, Australia&lt;/title&gt;&lt;/titles&gt;&lt;edition&gt;September 2017&lt;/edition&gt;&lt;dates&gt;&lt;year&gt;2017&lt;/year&gt;&lt;/dates&gt;&lt;pub-location&gt;Canberra&lt;/pub-location&gt;&lt;publisher&gt;Australian Bureau of Statistics&lt;/publisher&gt;&lt;urls&gt;&lt;related-urls&gt;&lt;url&gt;http://www.abs.gov.au/ausstats/abs@.nsf/mf/8412.0&lt;/url&gt;&lt;/related-urls&gt;&lt;/urls&gt;&lt;access-date&gt;5.10.2017&lt;/access-date&gt;&lt;/record&gt;&lt;/Cite&gt;&lt;/EndNote&gt;</w:instrText>
      </w:r>
      <w:r>
        <w:fldChar w:fldCharType="separate"/>
      </w:r>
      <w:r>
        <w:rPr>
          <w:noProof/>
        </w:rPr>
        <w:t>Australian Bureau of Statistics (2017b)</w:t>
      </w:r>
      <w:r>
        <w:fldChar w:fldCharType="end"/>
      </w:r>
      <w:r>
        <w:t>.</w:t>
      </w:r>
    </w:p>
  </w:footnote>
  <w:footnote w:id="7">
    <w:p w14:paraId="4E70ED44" w14:textId="0AB49454" w:rsidR="00B5448A" w:rsidRDefault="00B5448A" w:rsidP="00383F43">
      <w:pPr>
        <w:pStyle w:val="FootnoteText"/>
        <w:jc w:val="both"/>
      </w:pPr>
      <w:r>
        <w:rPr>
          <w:rStyle w:val="FootnoteReference"/>
        </w:rPr>
        <w:footnoteRef/>
      </w:r>
      <w:r>
        <w:t xml:space="preserve"> Decreasing activity in petroleum exploration is seen in onshore exploration investment. Actual expenditure has been quite consistently only half of expected expenditure since the middle of 2012. On the other hand, offshore expenditure frequently exceeded 200% of expected costs.</w:t>
      </w:r>
    </w:p>
  </w:footnote>
  <w:footnote w:id="8">
    <w:p w14:paraId="7ECA0610" w14:textId="1C0638BA" w:rsidR="00B5448A" w:rsidRDefault="00B5448A" w:rsidP="00383F43">
      <w:pPr>
        <w:pStyle w:val="FootnoteText"/>
        <w:jc w:val="both"/>
      </w:pPr>
      <w:r>
        <w:rPr>
          <w:rStyle w:val="FootnoteReference"/>
        </w:rPr>
        <w:footnoteRef/>
      </w:r>
      <w:r>
        <w:t xml:space="preserve"> This estimate includes the whole of the Northern Territory and excludes the Australian Capital Territory. In general, regional areas for each state exclude the state’s Greater Capital City Statistical Area (GCCSA). While the Northern Territory has a capital city area, the Greater Darwin GCCSA, the quarterly labour employment data reported by the ABS only includes state totals. GCCSAs are geographical areas designed by the Australian Bureau of Statistics (ABS) to represent the functional extent of the state and territories’ capital cities, namely the labour market of each capital city </w:t>
      </w:r>
      <w:r>
        <w:fldChar w:fldCharType="begin"/>
      </w:r>
      <w:r>
        <w:instrText xml:space="preserve"> ADDIN EN.CITE &lt;EndNote&gt;&lt;Cite&gt;&lt;Author&gt;Australian Bureau of Statistics&lt;/Author&gt;&lt;Year&gt;2016&lt;/Year&gt;&lt;RecNum&gt;3263&lt;/RecNum&gt;&lt;DisplayText&gt;(Australian Bureau of Statistics, 2016a)&lt;/DisplayText&gt;&lt;record&gt;&lt;rec-number&gt;3263&lt;/rec-number&gt;&lt;foreign-keys&gt;&lt;key app="EN" db-id="vzav25azvd0fxjextfzvax229ff0apaprtda" timestamp="1511762344"&gt;3263&lt;/key&gt;&lt;/foreign-keys&gt;&lt;ref-type name="Dataset"&gt;59&lt;/ref-type&gt;&lt;contributors&gt;&lt;authors&gt;&lt;author&gt;Australian Bureau of Statistics,&lt;/author&gt;&lt;/authors&gt;&lt;secondary-authors&gt;&lt;author&gt;Australian Bureau of Statistics,&lt;/author&gt;&lt;/secondary-authors&gt;&lt;/contributors&gt;&lt;titles&gt;&lt;title&gt;1270.0.55.001 - Australian Statistical Geography Standard (ASGS): Volume 1 - Main Structure and Greater Capital City Statistical Areas, July 2016&lt;/title&gt;&lt;/titles&gt;&lt;section&gt;July 2016&lt;/section&gt;&lt;dates&gt;&lt;year&gt;2016&lt;/year&gt;&lt;/dates&gt;&lt;orig-pub&gt;July 2016&lt;/orig-pub&gt;&lt;reviewed-item&gt;Australia&lt;/reviewed-item&gt;&lt;urls&gt;&lt;related-urls&gt;&lt;url&gt;http://www.abs.gov.au/AUSSTATS/abs@.nsf/allprimarymainfeatures/871A7FF33DF471FBCA257801000DCD5F?opendocument&lt;/url&gt;&lt;/related-urls&gt;&lt;/urls&gt;&lt;access-date&gt;15.08.16&lt;/access-date&gt;&lt;/record&gt;&lt;/Cite&gt;&lt;/EndNote&gt;</w:instrText>
      </w:r>
      <w:r>
        <w:fldChar w:fldCharType="separate"/>
      </w:r>
      <w:r>
        <w:rPr>
          <w:noProof/>
        </w:rPr>
        <w:t>(Australian Bureau of Statistics, 2016a)</w:t>
      </w:r>
      <w:r>
        <w:fldChar w:fldCharType="end"/>
      </w:r>
      <w:r>
        <w:t>.</w:t>
      </w:r>
    </w:p>
  </w:footnote>
  <w:footnote w:id="9">
    <w:p w14:paraId="378D3832" w14:textId="77777777" w:rsidR="00B5448A" w:rsidRDefault="00B5448A" w:rsidP="00A443E2">
      <w:pPr>
        <w:pStyle w:val="FootnoteText"/>
        <w:jc w:val="both"/>
      </w:pPr>
      <w:r>
        <w:rPr>
          <w:rStyle w:val="FootnoteReference"/>
        </w:rPr>
        <w:footnoteRef/>
      </w:r>
      <w:r>
        <w:t xml:space="preserve"> Regional areas refer to state areas excluding greater capital city statistical areas – GCCSAs. Regional figures exclude the </w:t>
      </w:r>
      <w:r w:rsidRPr="00134BD3">
        <w:t>Australian Capital Territory</w:t>
      </w:r>
      <w:r>
        <w:t xml:space="preserve"> and, due to data reporting limitations,</w:t>
      </w:r>
      <w:r w:rsidRPr="00134BD3">
        <w:t xml:space="preserve"> include </w:t>
      </w:r>
      <w:r>
        <w:t xml:space="preserve">the </w:t>
      </w:r>
      <w:r w:rsidRPr="00134BD3">
        <w:t xml:space="preserve">whole of </w:t>
      </w:r>
      <w:r>
        <w:t xml:space="preserve">the </w:t>
      </w:r>
      <w:r w:rsidRPr="00134BD3">
        <w:t>Northern Territory</w:t>
      </w:r>
      <w:r>
        <w:t xml:space="preserve"> </w:t>
      </w:r>
      <w:r w:rsidRPr="002448BE">
        <w:fldChar w:fldCharType="begin"/>
      </w:r>
      <w:r>
        <w:instrText xml:space="preserve"> ADDIN EN.CITE &lt;EndNote&gt;&lt;Cite&gt;&lt;Author&gt;Australian Bureau of Statistics&lt;/Author&gt;&lt;Year&gt;2017&lt;/Year&gt;&lt;RecNum&gt;2946&lt;/RecNum&gt;&lt;DisplayText&gt;(Australian Bureau of Statistics, 2017d)&lt;/DisplayText&gt;&lt;record&gt;&lt;rec-number&gt;2946&lt;/rec-number&gt;&lt;foreign-keys&gt;&lt;key app="EN" db-id="vzav25azvd0fxjextfzvax229ff0apaprtda" timestamp="1503288133"&gt;2946&lt;/key&gt;&lt;/foreign-keys&gt;&lt;ref-type name="Dataset"&gt;59&lt;/ref-type&gt;&lt;contributors&gt;&lt;authors&gt;&lt;author&gt;Australian Bureau of Statistics,&lt;/author&gt;&lt;/authors&gt;&lt;/contributors&gt;&lt;titles&gt;&lt;title&gt;Labour Force, Australia, Detailed, cat. no. 6291.0.55.003&lt;/title&gt;&lt;/titles&gt;&lt;edition&gt;23.03.2015&lt;/edition&gt;&lt;dates&gt;&lt;year&gt;2017&lt;/year&gt;&lt;pub-dates&gt;&lt;date&gt;21.08.2017&lt;/date&gt;&lt;/pub-dates&gt;&lt;/dates&gt;&lt;pub-location&gt;Canberra&lt;/pub-location&gt;&lt;urls&gt;&lt;related-urls&gt;&lt;url&gt;http://www.abs.gov.au&lt;/url&gt;&lt;/related-urls&gt;&lt;/urls&gt;&lt;/record&gt;&lt;/Cite&gt;&lt;/EndNote&gt;</w:instrText>
      </w:r>
      <w:r w:rsidRPr="002448BE">
        <w:fldChar w:fldCharType="separate"/>
      </w:r>
      <w:r>
        <w:rPr>
          <w:noProof/>
        </w:rPr>
        <w:t>(Australian Bureau of Statistics, 2017d)</w:t>
      </w:r>
      <w:r w:rsidRPr="002448BE">
        <w:fldChar w:fldCharType="end"/>
      </w:r>
      <w:r w:rsidRPr="007D5ACD">
        <w:t>. For the same reason the Northern Territory regional versus capital area employment trend diagram is not available.</w:t>
      </w:r>
    </w:p>
  </w:footnote>
  <w:footnote w:id="10">
    <w:p w14:paraId="3EC003A0" w14:textId="0E168841" w:rsidR="00B5448A" w:rsidRDefault="00B5448A" w:rsidP="00E77211">
      <w:pPr>
        <w:pStyle w:val="FootnoteText"/>
      </w:pPr>
      <w:r w:rsidRPr="006A5EC7">
        <w:rPr>
          <w:rStyle w:val="FootnoteReference"/>
        </w:rPr>
        <w:footnoteRef/>
      </w:r>
      <w:r w:rsidRPr="006A5EC7">
        <w:t xml:space="preserve"> These LGAs are: Perth, Claremont, Cottesloe, Mandurah and Murray. The overlap refers to these LGAs</w:t>
      </w:r>
      <w:r>
        <w:t>’</w:t>
      </w:r>
      <w:r w:rsidRPr="006A5EC7">
        <w:t xml:space="preserve"> centroid area being located within the boundary of a greater capital city statistical area (GCCSA). Note that Perth LGA and Perth GCCSA cover different areas, with the lat</w:t>
      </w:r>
      <w:r>
        <w:t>t</w:t>
      </w:r>
      <w:r w:rsidRPr="006A5EC7">
        <w:t>er referring to the broader labour market of Perth capital city.</w:t>
      </w:r>
    </w:p>
  </w:footnote>
  <w:footnote w:id="11">
    <w:p w14:paraId="66505403" w14:textId="4DA49FFD" w:rsidR="00B5448A" w:rsidRDefault="00B5448A">
      <w:pPr>
        <w:pStyle w:val="FootnoteText"/>
      </w:pPr>
      <w:r w:rsidRPr="006A5EC7">
        <w:rPr>
          <w:rStyle w:val="FootnoteReference"/>
        </w:rPr>
        <w:footnoteRef/>
      </w:r>
      <w:r w:rsidRPr="006A5EC7">
        <w:t xml:space="preserve"> The comparison is made between Mount Isa local government area (LGA) and the Kalgoorlie/Boulder LGA.</w:t>
      </w:r>
    </w:p>
  </w:footnote>
  <w:footnote w:id="12">
    <w:p w14:paraId="114F9D9A" w14:textId="5269DAC3" w:rsidR="00B5448A" w:rsidRDefault="00B5448A" w:rsidP="00B460A3">
      <w:pPr>
        <w:pStyle w:val="FootnoteText"/>
      </w:pPr>
      <w:r>
        <w:rPr>
          <w:rStyle w:val="FootnoteReference"/>
        </w:rPr>
        <w:footnoteRef/>
      </w:r>
      <w:r>
        <w:t xml:space="preserve"> SA2s are Australian Census geographical units defined in the Australian Statistical Geography Standard (ASGS). They are one of the most disaggregated levels of reporting data publicly other than the Census. These areas are defined based on a combined set of population and functional criteria, with a mean population of about 10,000 people. In the boundary design of SA2s, the Australian Bureau of Statistics took into consideration the boundaries of other types of geographical areas with local significance, such as suburbs and local government areas, but SA2s may not always align with these areas </w:t>
      </w:r>
      <w:r>
        <w:fldChar w:fldCharType="begin"/>
      </w:r>
      <w:r>
        <w:instrText xml:space="preserve"> ADDIN EN.CITE &lt;EndNote&gt;&lt;Cite&gt;&lt;Author&gt;Australian Bureau of Statistics&lt;/Author&gt;&lt;Year&gt;2016&lt;/Year&gt;&lt;RecNum&gt;3263&lt;/RecNum&gt;&lt;DisplayText&gt;(Australian Bureau of Statistics, 2016a)&lt;/DisplayText&gt;&lt;record&gt;&lt;rec-number&gt;3263&lt;/rec-number&gt;&lt;foreign-keys&gt;&lt;key app="EN" db-id="vzav25azvd0fxjextfzvax229ff0apaprtda" timestamp="1511762344"&gt;3263&lt;/key&gt;&lt;/foreign-keys&gt;&lt;ref-type name="Dataset"&gt;59&lt;/ref-type&gt;&lt;contributors&gt;&lt;authors&gt;&lt;author&gt;Australian Bureau of Statistics,&lt;/author&gt;&lt;/authors&gt;&lt;secondary-authors&gt;&lt;author&gt;Australian Bureau of Statistics,&lt;/author&gt;&lt;/secondary-authors&gt;&lt;/contributors&gt;&lt;titles&gt;&lt;title&gt;1270.0.55.001 - Australian Statistical Geography Standard (ASGS): Volume 1 - Main Structure and Greater Capital City Statistical Areas, July 2016&lt;/title&gt;&lt;/titles&gt;&lt;section&gt;July 2016&lt;/section&gt;&lt;dates&gt;&lt;year&gt;2016&lt;/year&gt;&lt;/dates&gt;&lt;orig-pub&gt;July 2016&lt;/orig-pub&gt;&lt;reviewed-item&gt;Australia&lt;/reviewed-item&gt;&lt;urls&gt;&lt;related-urls&gt;&lt;url&gt;http://www.abs.gov.au/AUSSTATS/abs@.nsf/allprimarymainfeatures/871A7FF33DF471FBCA257801000DCD5F?opendocument&lt;/url&gt;&lt;/related-urls&gt;&lt;/urls&gt;&lt;access-date&gt;15.08.16&lt;/access-date&gt;&lt;/record&gt;&lt;/Cite&gt;&lt;/EndNote&gt;</w:instrText>
      </w:r>
      <w:r>
        <w:fldChar w:fldCharType="separate"/>
      </w:r>
      <w:r>
        <w:rPr>
          <w:noProof/>
        </w:rPr>
        <w:t>(Australian Bureau of Statistics, 2016a)</w:t>
      </w:r>
      <w:r>
        <w:fldChar w:fldCharType="end"/>
      </w:r>
      <w:r>
        <w:t>.</w:t>
      </w:r>
    </w:p>
  </w:footnote>
  <w:footnote w:id="13">
    <w:p w14:paraId="365DE900" w14:textId="77777777" w:rsidR="00B5448A" w:rsidRDefault="00B5448A" w:rsidP="00B460A3">
      <w:pPr>
        <w:pStyle w:val="FootnoteText"/>
      </w:pPr>
      <w:r>
        <w:rPr>
          <w:rStyle w:val="FootnoteReference"/>
        </w:rPr>
        <w:footnoteRef/>
      </w:r>
      <w:r>
        <w:t xml:space="preserve"> The Gini coefficient is defined as the size of the area between the 45 degree line of equality and the Lorenz curve. The Lorenz curve is drawn to represent the relationship between the percentage of the income earned by a cumulative percentage of the population e.g. </w:t>
      </w:r>
      <w:r>
        <w:fldChar w:fldCharType="begin"/>
      </w:r>
      <w:r>
        <w:instrText xml:space="preserve"> ADDIN EN.CITE &lt;EndNote&gt;&lt;Cite&gt;&lt;Author&gt;De Maio&lt;/Author&gt;&lt;Year&gt;2007&lt;/Year&gt;&lt;RecNum&gt;2976&lt;/RecNum&gt;&lt;DisplayText&gt;(De Maio, 2007)&lt;/DisplayText&gt;&lt;record&gt;&lt;rec-number&gt;2976&lt;/rec-number&gt;&lt;foreign-keys&gt;&lt;key app="EN" db-id="vzav25azvd0fxjextfzvax229ff0apaprtda" timestamp="1504837135"&gt;2976&lt;/key&gt;&lt;/foreign-keys&gt;&lt;ref-type name="Journal Article"&gt;17&lt;/ref-type&gt;&lt;contributors&gt;&lt;authors&gt;&lt;author&gt;De Maio, Fernando G&lt;/author&gt;&lt;/authors&gt;&lt;/contributors&gt;&lt;titles&gt;&lt;title&gt;Income inequality measures&lt;/title&gt;&lt;secondary-title&gt;Journal of Epidemiology and Community Health&lt;/secondary-title&gt;&lt;/titles&gt;&lt;periodical&gt;&lt;full-title&gt;Journal of Epidemiology and Community Health&lt;/full-title&gt;&lt;/periodical&gt;&lt;pages&gt;849-852&lt;/pages&gt;&lt;volume&gt;61&lt;/volume&gt;&lt;number&gt;10&lt;/number&gt;&lt;dates&gt;&lt;year&gt;2007&lt;/year&gt;&lt;/dates&gt;&lt;urls&gt;&lt;related-urls&gt;&lt;url&gt;https://www.ncbi.nlm.nih.gov/pmc/articles/PMC2652960/pdf/849.pdf&lt;/url&gt;&lt;/related-urls&gt;&lt;/urls&gt;&lt;electronic-resource-num&gt;10.1136/jech.2006.052969&lt;/electronic-resource-num&gt;&lt;/record&gt;&lt;/Cite&gt;&lt;/EndNote&gt;</w:instrText>
      </w:r>
      <w:r>
        <w:fldChar w:fldCharType="separate"/>
      </w:r>
      <w:r>
        <w:rPr>
          <w:noProof/>
        </w:rPr>
        <w:t>(De Maio, 2007)</w:t>
      </w:r>
      <w:r>
        <w:fldChar w:fldCharType="end"/>
      </w:r>
      <w:r>
        <w:t>.</w:t>
      </w:r>
    </w:p>
  </w:footnote>
  <w:footnote w:id="14">
    <w:p w14:paraId="30FF7AE9" w14:textId="1B74F967" w:rsidR="00B5448A" w:rsidRDefault="00B5448A" w:rsidP="00383F43">
      <w:pPr>
        <w:pStyle w:val="BodyText"/>
        <w:jc w:val="both"/>
      </w:pPr>
      <w:r w:rsidRPr="008A7440">
        <w:rPr>
          <w:sz w:val="16"/>
          <w:szCs w:val="20"/>
          <w:vertAlign w:val="superscript"/>
        </w:rPr>
        <w:footnoteRef/>
      </w:r>
      <w:r w:rsidRPr="002A2BD9">
        <w:rPr>
          <w:sz w:val="16"/>
          <w:szCs w:val="20"/>
        </w:rPr>
        <w:t xml:space="preserve"> </w:t>
      </w:r>
      <w:r w:rsidRPr="008A7440">
        <w:rPr>
          <w:sz w:val="16"/>
          <w:szCs w:val="20"/>
        </w:rPr>
        <w:t>The Modifiable Area Unit Problem is a common problem in geographical analysis, where research has endeavoured to find solutions for a long time. While certain methods can alleviate</w:t>
      </w:r>
      <w:r w:rsidRPr="008A7440">
        <w:t xml:space="preserve"> </w:t>
      </w:r>
      <w:r w:rsidRPr="008A7440">
        <w:rPr>
          <w:sz w:val="16"/>
          <w:szCs w:val="20"/>
        </w:rPr>
        <w:t>parts of the problem, like the zoning issue, they might not deal with the scale problem. One</w:t>
      </w:r>
      <w:r>
        <w:rPr>
          <w:sz w:val="16"/>
          <w:szCs w:val="20"/>
        </w:rPr>
        <w:t xml:space="preserve"> of</w:t>
      </w:r>
      <w:r w:rsidRPr="008A7440">
        <w:rPr>
          <w:sz w:val="16"/>
          <w:szCs w:val="20"/>
        </w:rPr>
        <w:t xml:space="preserve"> the simplest and </w:t>
      </w:r>
      <w:r>
        <w:rPr>
          <w:sz w:val="16"/>
          <w:szCs w:val="20"/>
        </w:rPr>
        <w:t>most</w:t>
      </w:r>
      <w:r w:rsidRPr="008A7440">
        <w:rPr>
          <w:sz w:val="16"/>
          <w:szCs w:val="20"/>
        </w:rPr>
        <w:t xml:space="preserve"> practical minimum solution</w:t>
      </w:r>
      <w:r>
        <w:rPr>
          <w:sz w:val="16"/>
          <w:szCs w:val="20"/>
        </w:rPr>
        <w:t>s</w:t>
      </w:r>
      <w:r w:rsidRPr="008A7440">
        <w:rPr>
          <w:sz w:val="16"/>
          <w:szCs w:val="20"/>
        </w:rPr>
        <w:t xml:space="preserve"> recommended</w:t>
      </w:r>
      <w:r>
        <w:rPr>
          <w:sz w:val="16"/>
          <w:szCs w:val="20"/>
        </w:rPr>
        <w:t>,</w:t>
      </w:r>
      <w:r w:rsidRPr="008A7440">
        <w:rPr>
          <w:sz w:val="16"/>
          <w:szCs w:val="20"/>
        </w:rPr>
        <w:t xml:space="preserve"> in a digital technology and GIS-enabled world, is to repeat the analysis at different scales and verify </w:t>
      </w:r>
      <w:r>
        <w:rPr>
          <w:sz w:val="16"/>
          <w:szCs w:val="20"/>
        </w:rPr>
        <w:t>whether</w:t>
      </w:r>
      <w:r w:rsidRPr="008A7440">
        <w:rPr>
          <w:sz w:val="16"/>
          <w:szCs w:val="20"/>
        </w:rPr>
        <w:t xml:space="preserve"> the results hold </w:t>
      </w:r>
      <w:r w:rsidRPr="008A7440">
        <w:rPr>
          <w:sz w:val="16"/>
          <w:szCs w:val="20"/>
        </w:rPr>
        <w:fldChar w:fldCharType="begin"/>
      </w:r>
      <w:r w:rsidRPr="008A7440">
        <w:rPr>
          <w:sz w:val="16"/>
          <w:szCs w:val="20"/>
        </w:rPr>
        <w:instrText xml:space="preserve"> ADDIN EN.CITE &lt;EndNote&gt;&lt;Cite&gt;&lt;Author&gt;Fotheringham&lt;/Author&gt;&lt;Year&gt;2009&lt;/Year&gt;&lt;RecNum&gt;3145&lt;/RecNum&gt;&lt;DisplayText&gt;(Fotheringham and Rogerson, 2009)&lt;/DisplayText&gt;&lt;record&gt;&lt;rec-number&gt;3145&lt;/rec-number&gt;&lt;foreign-keys&gt;&lt;key app="EN" db-id="vzav25azvd0fxjextfzvax229ff0apaprtda" timestamp="1509583356"&gt;3145&lt;/key&gt;&lt;/foreign-keys&gt;&lt;ref-type name="Electronic Book"&gt;44&lt;/ref-type&gt;&lt;contributors&gt;&lt;authors&gt;&lt;author&gt;Fotheringham, A.&lt;/author&gt;&lt;author&gt;Rogerson, Peter&lt;/author&gt;&lt;/authors&gt;&lt;/contributors&gt;&lt;titles&gt;&lt;title&gt;The SAGE Handbook of Spatial Analysis&lt;/title&gt;&lt;/titles&gt;&lt;dates&gt;&lt;year&gt;2009&lt;/year&gt;&lt;pub-dates&gt;&lt;date&gt;2017/11/01&lt;/date&gt;&lt;/pub-dates&gt;&lt;/dates&gt;&lt;pub-location&gt;London&lt;/pub-location&gt;&lt;urls&gt;&lt;related-urls&gt;&lt;url&gt;http://methods.sagepub.com/book/the-sage-handbook-of-spatial-analysis&lt;/url&gt;&lt;/related-urls&gt;&lt;pdf-urls&gt;&lt;url&gt;file://C:\Users\por083\Documents\EndNote\20170808-LP-Lib.Data\PDF\Ch7-MAUP-sage-handbook-of-spatial-analysis.pdf&lt;/url&gt;&lt;/pdf-urls&gt;&lt;/urls&gt;&lt;electronic-resource-num&gt;10.4135/9780857020130&lt;/electronic-resource-num&gt;&lt;/record&gt;&lt;/Cite&gt;&lt;/EndNote&gt;</w:instrText>
      </w:r>
      <w:r w:rsidRPr="008A7440">
        <w:rPr>
          <w:sz w:val="16"/>
          <w:szCs w:val="20"/>
        </w:rPr>
        <w:fldChar w:fldCharType="separate"/>
      </w:r>
      <w:r w:rsidRPr="008A7440">
        <w:rPr>
          <w:noProof/>
          <w:sz w:val="16"/>
          <w:szCs w:val="20"/>
        </w:rPr>
        <w:t>(Fotheringham and Rogerson, 2009)</w:t>
      </w:r>
      <w:r w:rsidRPr="008A7440">
        <w:rPr>
          <w:sz w:val="16"/>
          <w:szCs w:val="20"/>
        </w:rPr>
        <w:fldChar w:fldCharType="end"/>
      </w:r>
      <w:r w:rsidRPr="008A7440">
        <w:rPr>
          <w:sz w:val="16"/>
          <w:szCs w:val="20"/>
        </w:rPr>
        <w:t>.</w:t>
      </w:r>
    </w:p>
  </w:footnote>
  <w:footnote w:id="15">
    <w:p w14:paraId="2D5CD455" w14:textId="7C56A387" w:rsidR="00B5448A" w:rsidRDefault="00B5448A" w:rsidP="00383F43">
      <w:pPr>
        <w:pStyle w:val="FootnoteText"/>
        <w:jc w:val="both"/>
      </w:pPr>
      <w:r>
        <w:rPr>
          <w:rStyle w:val="FootnoteReference"/>
        </w:rPr>
        <w:footnoteRef/>
      </w:r>
      <w:r>
        <w:t xml:space="preserve"> The manufacturing sector has still not reached the agriculture, forestry and fisheries sector. Tasmanian data seems to indicate that abrupt changes occurred. Based on survey methodology explanatory notes of the ABS, there is no particular reason to believe the methodology has suffered major changes and that these outcomes could be the result of such changes.</w:t>
      </w:r>
    </w:p>
  </w:footnote>
  <w:footnote w:id="16">
    <w:p w14:paraId="7AD63241" w14:textId="3FCD8C9C" w:rsidR="00B5448A" w:rsidRDefault="00B5448A" w:rsidP="00383F43">
      <w:pPr>
        <w:pStyle w:val="FootnoteText"/>
        <w:jc w:val="both"/>
      </w:pPr>
      <w:r>
        <w:rPr>
          <w:rStyle w:val="FootnoteReference"/>
        </w:rPr>
        <w:footnoteRef/>
      </w:r>
      <w:r>
        <w:t xml:space="preserve"> These estimates excluded a series of costs, such as setting up the monitoring room, GPS and Radar requirements, and training costs for technical specialists.</w:t>
      </w:r>
    </w:p>
  </w:footnote>
  <w:footnote w:id="17">
    <w:p w14:paraId="7FC34D45" w14:textId="205C11BC" w:rsidR="00B5448A" w:rsidRDefault="00B5448A" w:rsidP="00383F43">
      <w:pPr>
        <w:pStyle w:val="FootnoteText"/>
        <w:jc w:val="both"/>
      </w:pPr>
      <w:r>
        <w:rPr>
          <w:rStyle w:val="FootnoteReference"/>
        </w:rPr>
        <w:footnoteRef/>
      </w:r>
      <w:r>
        <w:t xml:space="preserve"> According to an October 2017 media release, ‘</w:t>
      </w:r>
      <w:r w:rsidRPr="00136F40">
        <w:t>Rio Tinto operates about 200 locomotives on more than 1,700 kilometres of track in the Pilbara, transporting ore from 16 mines to four port</w:t>
      </w:r>
      <w:r w:rsidRPr="00506220">
        <w:t xml:space="preserve"> </w:t>
      </w:r>
      <w:r w:rsidRPr="00136F40">
        <w:t>terminals</w:t>
      </w:r>
      <w:r>
        <w:t>’.</w:t>
      </w:r>
    </w:p>
  </w:footnote>
  <w:footnote w:id="18">
    <w:p w14:paraId="1E6115B9" w14:textId="14DB8A4F" w:rsidR="00B5448A" w:rsidRDefault="00B5448A" w:rsidP="00383F43">
      <w:pPr>
        <w:pStyle w:val="FootnoteText"/>
        <w:jc w:val="both"/>
      </w:pPr>
      <w:r>
        <w:rPr>
          <w:rStyle w:val="FootnoteReference"/>
        </w:rPr>
        <w:footnoteRef/>
      </w:r>
      <w:r>
        <w:t xml:space="preserve"> Out of 17 ANZSIC categories, the mining industry had the fourth lowest ratio of businesses with any innovation in goods or services, 12.6%, as opposed to trade and manufacturing at the top end of the scale, with 31.7 and 28.5%. </w:t>
      </w:r>
      <w:r w:rsidRPr="00AB1D45">
        <w:rPr>
          <w:rFonts w:asciiTheme="minorHAnsi" w:eastAsia="Times New Roman" w:hAnsiTheme="minorHAnsi"/>
          <w:color w:val="auto"/>
          <w:szCs w:val="24"/>
          <w:lang w:eastAsia="en-US"/>
        </w:rPr>
        <w:t>Yet, in terms of the percentage of mining businesses which introduce new or improved methods of manufacturing, 12.2%, this figure represents the second hi</w:t>
      </w:r>
      <w:r>
        <w:rPr>
          <w:rFonts w:asciiTheme="minorHAnsi" w:eastAsia="Times New Roman" w:hAnsiTheme="minorHAnsi"/>
          <w:color w:val="auto"/>
          <w:szCs w:val="24"/>
          <w:lang w:eastAsia="en-US"/>
        </w:rPr>
        <w:t xml:space="preserve">ghest percentage (after manufacturing). </w:t>
      </w:r>
      <w:r w:rsidRPr="00BF2B7D">
        <w:t xml:space="preserve">A much smaller percentage of businesses surveyed by the ABS innovate other operational processes, such as logistics or activities supporting business operations. In terms of organisation processes innovation, mining businesses are situated relatively low on the scale when compared to other sectors, but </w:t>
      </w:r>
      <w:r>
        <w:t xml:space="preserve">were in </w:t>
      </w:r>
      <w:r w:rsidRPr="00BF2B7D">
        <w:t>third place in 2014</w:t>
      </w:r>
      <w:r>
        <w:t>–</w:t>
      </w:r>
      <w:r w:rsidRPr="00BF2B7D">
        <w:t>15 with regard to methods of organising external relations with other businesses or public institutions.</w:t>
      </w:r>
    </w:p>
  </w:footnote>
  <w:footnote w:id="19">
    <w:p w14:paraId="7A7C7225" w14:textId="77777777" w:rsidR="00B5448A" w:rsidRDefault="00B5448A" w:rsidP="00383F43">
      <w:pPr>
        <w:pStyle w:val="FootnoteText"/>
        <w:jc w:val="both"/>
      </w:pPr>
      <w:r>
        <w:rPr>
          <w:rStyle w:val="FootnoteReference"/>
        </w:rPr>
        <w:footnoteRef/>
      </w:r>
      <w:r>
        <w:t xml:space="preserve"> The percentage is the fourth highest behind three other industries: (a) Electricity, Gas, Water and Waste Services; (2) Administrative and Support Services; and (3) Retail Trade industries.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112D15C2"/>
    <w:multiLevelType w:val="hybridMultilevel"/>
    <w:tmpl w:val="B2562C2E"/>
    <w:lvl w:ilvl="0" w:tplc="9BFEFA4A">
      <w:numFmt w:val="bullet"/>
      <w:lvlText w:val="-"/>
      <w:lvlJc w:val="left"/>
      <w:pPr>
        <w:ind w:left="720" w:hanging="360"/>
      </w:pPr>
      <w:rPr>
        <w:rFonts w:ascii="Times New Roman" w:eastAsia="Calibr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8"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9"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0" w15:restartNumberingAfterBreak="0">
    <w:nsid w:val="3EA7459B"/>
    <w:multiLevelType w:val="hybridMultilevel"/>
    <w:tmpl w:val="090C4A92"/>
    <w:lvl w:ilvl="0" w:tplc="B29A3278">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1" w15:restartNumberingAfterBreak="0">
    <w:nsid w:val="4265682E"/>
    <w:multiLevelType w:val="multilevel"/>
    <w:tmpl w:val="6E74B694"/>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2" w15:restartNumberingAfterBreak="0">
    <w:nsid w:val="4C896CC3"/>
    <w:multiLevelType w:val="hybridMultilevel"/>
    <w:tmpl w:val="79320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9444BE6"/>
    <w:multiLevelType w:val="multilevel"/>
    <w:tmpl w:val="092ADFE4"/>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9506"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4" w15:restartNumberingAfterBreak="0">
    <w:nsid w:val="5A1767B6"/>
    <w:multiLevelType w:val="multilevel"/>
    <w:tmpl w:val="14C8A526"/>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5" w15:restartNumberingAfterBreak="0">
    <w:nsid w:val="5CDF2B62"/>
    <w:multiLevelType w:val="hybridMultilevel"/>
    <w:tmpl w:val="0FC2EB5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6" w15:restartNumberingAfterBreak="0">
    <w:nsid w:val="5D8743A4"/>
    <w:multiLevelType w:val="hybridMultilevel"/>
    <w:tmpl w:val="771E21DE"/>
    <w:lvl w:ilvl="0" w:tplc="05920732">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8" w15:restartNumberingAfterBreak="0">
    <w:nsid w:val="66063429"/>
    <w:multiLevelType w:val="multilevel"/>
    <w:tmpl w:val="FCBECBAC"/>
    <w:lvl w:ilvl="0">
      <w:start w:val="1"/>
      <w:numFmt w:val="upperLetter"/>
      <w:pStyle w:val="AppendixHeading1base"/>
      <w:lvlText w:val="Appendix %1 "/>
      <w:lvlJc w:val="left"/>
      <w:pPr>
        <w:ind w:left="567"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3261"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9" w15:restartNumberingAfterBreak="0">
    <w:nsid w:val="75CD14EB"/>
    <w:multiLevelType w:val="hybridMultilevel"/>
    <w:tmpl w:val="56521184"/>
    <w:lvl w:ilvl="0" w:tplc="3B6CF2E0">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11"/>
  </w:num>
  <w:num w:numId="6">
    <w:abstractNumId w:val="7"/>
  </w:num>
  <w:num w:numId="7">
    <w:abstractNumId w:val="7"/>
  </w:num>
  <w:num w:numId="8">
    <w:abstractNumId w:val="6"/>
  </w:num>
  <w:num w:numId="9">
    <w:abstractNumId w:val="14"/>
  </w:num>
  <w:num w:numId="10">
    <w:abstractNumId w:val="9"/>
  </w:num>
  <w:num w:numId="11">
    <w:abstractNumId w:val="8"/>
  </w:num>
  <w:num w:numId="12">
    <w:abstractNumId w:val="17"/>
  </w:num>
  <w:num w:numId="13">
    <w:abstractNumId w:val="0"/>
  </w:num>
  <w:num w:numId="14">
    <w:abstractNumId w:val="13"/>
  </w:num>
  <w:num w:numId="15">
    <w:abstractNumId w:val="18"/>
  </w:num>
  <w:num w:numId="16">
    <w:abstractNumId w:val="20"/>
  </w:num>
  <w:num w:numId="17">
    <w:abstractNumId w:val="16"/>
  </w:num>
  <w:num w:numId="18">
    <w:abstractNumId w:val="10"/>
  </w:num>
  <w:num w:numId="19">
    <w:abstractNumId w:val="12"/>
  </w:num>
  <w:num w:numId="20">
    <w:abstractNumId w:val="5"/>
  </w:num>
  <w:num w:numId="21">
    <w:abstractNumId w:val="19"/>
  </w:num>
  <w:num w:numId="22">
    <w:abstractNumId w:val="1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10"/>
  <w:displayHorizontalDrawingGridEvery w:val="2"/>
  <w:characterSpacingControl w:val="doNotCompress"/>
  <w:hdrShapeDefaults>
    <o:shapedefaults v:ext="edit" spidmax="6145" style="mso-position-vertical-relative:page;v-text-anchor:bottom" fill="f" fillcolor="white" stroke="f">
      <v:fill color="white" on="f"/>
      <v:stroke on="f"/>
      <v:textbox inset="0,0,0,0"/>
      <o:colormru v:ext="edit" colors="#ddd,#f8f8f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 w:name="EN.InstantFormat" w:val="&lt;ENInstantFormat&gt;&lt;Enabled&gt;0&lt;/Enabled&gt;&lt;ScanUnformatted&gt;1&lt;/ScanUnformatted&gt;&lt;ScanChanges&gt;1&lt;/ScanChanges&gt;&lt;Suspended&gt;0&lt;/Suspended&gt;&lt;/ENInstantFormat&gt;"/>
    <w:docVar w:name="EN.Layout" w:val="&lt;ENLayout&gt;&lt;Style&gt;CSIRO-EndNoteStyl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zav25azvd0fxjextfzvax229ff0apaprtda&quot;&gt;20170808-LP-Lib&lt;record-ids&gt;&lt;item&gt;2320&lt;/item&gt;&lt;item&gt;2888&lt;/item&gt;&lt;item&gt;2894&lt;/item&gt;&lt;item&gt;2900&lt;/item&gt;&lt;item&gt;2903&lt;/item&gt;&lt;item&gt;2906&lt;/item&gt;&lt;item&gt;2937&lt;/item&gt;&lt;item&gt;2938&lt;/item&gt;&lt;item&gt;2945&lt;/item&gt;&lt;item&gt;2956&lt;/item&gt;&lt;item&gt;2957&lt;/item&gt;&lt;item&gt;2962&lt;/item&gt;&lt;item&gt;2976&lt;/item&gt;&lt;item&gt;2992&lt;/item&gt;&lt;item&gt;2997&lt;/item&gt;&lt;item&gt;3060&lt;/item&gt;&lt;item&gt;3094&lt;/item&gt;&lt;item&gt;3105&lt;/item&gt;&lt;item&gt;3107&lt;/item&gt;&lt;item&gt;3109&lt;/item&gt;&lt;item&gt;3124&lt;/item&gt;&lt;item&gt;3137&lt;/item&gt;&lt;item&gt;3138&lt;/item&gt;&lt;item&gt;3139&lt;/item&gt;&lt;item&gt;3141&lt;/item&gt;&lt;item&gt;3142&lt;/item&gt;&lt;item&gt;3145&lt;/item&gt;&lt;item&gt;3263&lt;/item&gt;&lt;item&gt;3301&lt;/item&gt;&lt;item&gt;3597&lt;/item&gt;&lt;item&gt;3598&lt;/item&gt;&lt;item&gt;3599&lt;/item&gt;&lt;item&gt;3600&lt;/item&gt;&lt;/record-ids&gt;&lt;/item&gt;&lt;/Libraries&gt;"/>
  </w:docVars>
  <w:rsids>
    <w:rsidRoot w:val="00AB1978"/>
    <w:rsid w:val="0000026F"/>
    <w:rsid w:val="000006D4"/>
    <w:rsid w:val="00000EEA"/>
    <w:rsid w:val="00001864"/>
    <w:rsid w:val="00002AA7"/>
    <w:rsid w:val="00002EDB"/>
    <w:rsid w:val="000031E1"/>
    <w:rsid w:val="00003970"/>
    <w:rsid w:val="00004FB7"/>
    <w:rsid w:val="0000644A"/>
    <w:rsid w:val="0000669C"/>
    <w:rsid w:val="00007643"/>
    <w:rsid w:val="00010001"/>
    <w:rsid w:val="000104EF"/>
    <w:rsid w:val="00010A74"/>
    <w:rsid w:val="00010A8A"/>
    <w:rsid w:val="00011070"/>
    <w:rsid w:val="00011FC6"/>
    <w:rsid w:val="000126EB"/>
    <w:rsid w:val="00013073"/>
    <w:rsid w:val="000132C1"/>
    <w:rsid w:val="00015E82"/>
    <w:rsid w:val="00015F32"/>
    <w:rsid w:val="000162FF"/>
    <w:rsid w:val="00016D31"/>
    <w:rsid w:val="0001775B"/>
    <w:rsid w:val="00020B33"/>
    <w:rsid w:val="00020C86"/>
    <w:rsid w:val="00021711"/>
    <w:rsid w:val="00021AF4"/>
    <w:rsid w:val="00022CFC"/>
    <w:rsid w:val="00024B1A"/>
    <w:rsid w:val="00024F6E"/>
    <w:rsid w:val="00025880"/>
    <w:rsid w:val="00025FD5"/>
    <w:rsid w:val="00026044"/>
    <w:rsid w:val="0002686D"/>
    <w:rsid w:val="000268B9"/>
    <w:rsid w:val="00026CEF"/>
    <w:rsid w:val="000274D4"/>
    <w:rsid w:val="00030E13"/>
    <w:rsid w:val="000312EA"/>
    <w:rsid w:val="000316D4"/>
    <w:rsid w:val="00031A44"/>
    <w:rsid w:val="00031E11"/>
    <w:rsid w:val="0003217B"/>
    <w:rsid w:val="00032C10"/>
    <w:rsid w:val="000331D4"/>
    <w:rsid w:val="000347E0"/>
    <w:rsid w:val="0003544B"/>
    <w:rsid w:val="000363EB"/>
    <w:rsid w:val="00040064"/>
    <w:rsid w:val="0004269D"/>
    <w:rsid w:val="00042A1A"/>
    <w:rsid w:val="00042D4F"/>
    <w:rsid w:val="00043507"/>
    <w:rsid w:val="00043876"/>
    <w:rsid w:val="000443E1"/>
    <w:rsid w:val="0004558A"/>
    <w:rsid w:val="00046533"/>
    <w:rsid w:val="0005048B"/>
    <w:rsid w:val="00050A11"/>
    <w:rsid w:val="00051219"/>
    <w:rsid w:val="0005130A"/>
    <w:rsid w:val="00051456"/>
    <w:rsid w:val="00052053"/>
    <w:rsid w:val="0005226F"/>
    <w:rsid w:val="00052317"/>
    <w:rsid w:val="0005371F"/>
    <w:rsid w:val="00053E83"/>
    <w:rsid w:val="00054F9E"/>
    <w:rsid w:val="00056FD0"/>
    <w:rsid w:val="00057200"/>
    <w:rsid w:val="000574AF"/>
    <w:rsid w:val="00061FE1"/>
    <w:rsid w:val="000627FC"/>
    <w:rsid w:val="0006384D"/>
    <w:rsid w:val="00063BD0"/>
    <w:rsid w:val="00064280"/>
    <w:rsid w:val="00064612"/>
    <w:rsid w:val="00064716"/>
    <w:rsid w:val="0006529C"/>
    <w:rsid w:val="000666BC"/>
    <w:rsid w:val="000667A4"/>
    <w:rsid w:val="00067679"/>
    <w:rsid w:val="00067B0B"/>
    <w:rsid w:val="0007346A"/>
    <w:rsid w:val="00073702"/>
    <w:rsid w:val="00074DFE"/>
    <w:rsid w:val="000756AA"/>
    <w:rsid w:val="00075774"/>
    <w:rsid w:val="00075B0B"/>
    <w:rsid w:val="000815C2"/>
    <w:rsid w:val="000818A7"/>
    <w:rsid w:val="00083CBE"/>
    <w:rsid w:val="00083FBD"/>
    <w:rsid w:val="00084104"/>
    <w:rsid w:val="00085DC0"/>
    <w:rsid w:val="00086B06"/>
    <w:rsid w:val="0008799C"/>
    <w:rsid w:val="00087ADA"/>
    <w:rsid w:val="00090788"/>
    <w:rsid w:val="000907F1"/>
    <w:rsid w:val="00091E65"/>
    <w:rsid w:val="00094C2B"/>
    <w:rsid w:val="00095617"/>
    <w:rsid w:val="000969BE"/>
    <w:rsid w:val="00096D0A"/>
    <w:rsid w:val="00096EDA"/>
    <w:rsid w:val="000979AD"/>
    <w:rsid w:val="000A2BEC"/>
    <w:rsid w:val="000A512F"/>
    <w:rsid w:val="000A5E9E"/>
    <w:rsid w:val="000A6D60"/>
    <w:rsid w:val="000A6F40"/>
    <w:rsid w:val="000B0A3D"/>
    <w:rsid w:val="000B1470"/>
    <w:rsid w:val="000B1930"/>
    <w:rsid w:val="000B3486"/>
    <w:rsid w:val="000B4FD3"/>
    <w:rsid w:val="000B633F"/>
    <w:rsid w:val="000B744A"/>
    <w:rsid w:val="000B76E2"/>
    <w:rsid w:val="000B7B2A"/>
    <w:rsid w:val="000C02C0"/>
    <w:rsid w:val="000C05F1"/>
    <w:rsid w:val="000C0743"/>
    <w:rsid w:val="000C0940"/>
    <w:rsid w:val="000C0E41"/>
    <w:rsid w:val="000C2523"/>
    <w:rsid w:val="000C4021"/>
    <w:rsid w:val="000C4051"/>
    <w:rsid w:val="000C440E"/>
    <w:rsid w:val="000C5523"/>
    <w:rsid w:val="000C5ECF"/>
    <w:rsid w:val="000C61C0"/>
    <w:rsid w:val="000C7D15"/>
    <w:rsid w:val="000D0298"/>
    <w:rsid w:val="000D19DE"/>
    <w:rsid w:val="000D1EEB"/>
    <w:rsid w:val="000D24E8"/>
    <w:rsid w:val="000D27B7"/>
    <w:rsid w:val="000D284A"/>
    <w:rsid w:val="000D3E11"/>
    <w:rsid w:val="000D436B"/>
    <w:rsid w:val="000D4813"/>
    <w:rsid w:val="000D5F1F"/>
    <w:rsid w:val="000D6B9E"/>
    <w:rsid w:val="000D6D2F"/>
    <w:rsid w:val="000D72A4"/>
    <w:rsid w:val="000D75F5"/>
    <w:rsid w:val="000E1CF3"/>
    <w:rsid w:val="000E1EEE"/>
    <w:rsid w:val="000E2037"/>
    <w:rsid w:val="000E2422"/>
    <w:rsid w:val="000E29F6"/>
    <w:rsid w:val="000E339F"/>
    <w:rsid w:val="000E34AC"/>
    <w:rsid w:val="000E3A0A"/>
    <w:rsid w:val="000E52A5"/>
    <w:rsid w:val="000E53C3"/>
    <w:rsid w:val="000E583C"/>
    <w:rsid w:val="000E599F"/>
    <w:rsid w:val="000E623E"/>
    <w:rsid w:val="000E6702"/>
    <w:rsid w:val="000F1EC3"/>
    <w:rsid w:val="000F1FE4"/>
    <w:rsid w:val="000F3128"/>
    <w:rsid w:val="000F489A"/>
    <w:rsid w:val="000F5F6E"/>
    <w:rsid w:val="000F61B3"/>
    <w:rsid w:val="000F73B9"/>
    <w:rsid w:val="000F7D23"/>
    <w:rsid w:val="0010057F"/>
    <w:rsid w:val="00100705"/>
    <w:rsid w:val="00100C1D"/>
    <w:rsid w:val="00101A2A"/>
    <w:rsid w:val="00101EC1"/>
    <w:rsid w:val="001029F5"/>
    <w:rsid w:val="00102A37"/>
    <w:rsid w:val="00103865"/>
    <w:rsid w:val="001042BC"/>
    <w:rsid w:val="00104FBD"/>
    <w:rsid w:val="001067F0"/>
    <w:rsid w:val="001068F9"/>
    <w:rsid w:val="001073EE"/>
    <w:rsid w:val="00107C66"/>
    <w:rsid w:val="00107D70"/>
    <w:rsid w:val="00107F65"/>
    <w:rsid w:val="001100D4"/>
    <w:rsid w:val="00111F76"/>
    <w:rsid w:val="00113317"/>
    <w:rsid w:val="0011346D"/>
    <w:rsid w:val="00113673"/>
    <w:rsid w:val="0011470B"/>
    <w:rsid w:val="00114B30"/>
    <w:rsid w:val="00116C3E"/>
    <w:rsid w:val="0011723B"/>
    <w:rsid w:val="00117E59"/>
    <w:rsid w:val="00121AD3"/>
    <w:rsid w:val="00121D86"/>
    <w:rsid w:val="0012201E"/>
    <w:rsid w:val="00123B5D"/>
    <w:rsid w:val="00123BCC"/>
    <w:rsid w:val="00123E58"/>
    <w:rsid w:val="00123E70"/>
    <w:rsid w:val="00123FD7"/>
    <w:rsid w:val="001249CC"/>
    <w:rsid w:val="0013089B"/>
    <w:rsid w:val="00132D7C"/>
    <w:rsid w:val="00132F76"/>
    <w:rsid w:val="001331AB"/>
    <w:rsid w:val="0013384F"/>
    <w:rsid w:val="00133CB0"/>
    <w:rsid w:val="00134BD3"/>
    <w:rsid w:val="00134FC3"/>
    <w:rsid w:val="0013514C"/>
    <w:rsid w:val="00136189"/>
    <w:rsid w:val="001362D8"/>
    <w:rsid w:val="00136B7F"/>
    <w:rsid w:val="00141D5A"/>
    <w:rsid w:val="001449AB"/>
    <w:rsid w:val="00144FD7"/>
    <w:rsid w:val="0014663D"/>
    <w:rsid w:val="00150091"/>
    <w:rsid w:val="0015107F"/>
    <w:rsid w:val="00152209"/>
    <w:rsid w:val="00154045"/>
    <w:rsid w:val="00154168"/>
    <w:rsid w:val="00154EEC"/>
    <w:rsid w:val="00155523"/>
    <w:rsid w:val="0015605C"/>
    <w:rsid w:val="00157AAE"/>
    <w:rsid w:val="00157EAA"/>
    <w:rsid w:val="00160B14"/>
    <w:rsid w:val="00160D43"/>
    <w:rsid w:val="00161BB6"/>
    <w:rsid w:val="00161F6E"/>
    <w:rsid w:val="00165DEB"/>
    <w:rsid w:val="00166BDF"/>
    <w:rsid w:val="001708B3"/>
    <w:rsid w:val="00173C4D"/>
    <w:rsid w:val="00174A49"/>
    <w:rsid w:val="00175388"/>
    <w:rsid w:val="001754FF"/>
    <w:rsid w:val="00176178"/>
    <w:rsid w:val="00177270"/>
    <w:rsid w:val="00177299"/>
    <w:rsid w:val="001772D6"/>
    <w:rsid w:val="0017758B"/>
    <w:rsid w:val="001801A6"/>
    <w:rsid w:val="001803EE"/>
    <w:rsid w:val="0018196F"/>
    <w:rsid w:val="001820AF"/>
    <w:rsid w:val="00182822"/>
    <w:rsid w:val="00182899"/>
    <w:rsid w:val="00182CD6"/>
    <w:rsid w:val="00186F23"/>
    <w:rsid w:val="00190E0B"/>
    <w:rsid w:val="00192E59"/>
    <w:rsid w:val="00193162"/>
    <w:rsid w:val="00194542"/>
    <w:rsid w:val="0019469E"/>
    <w:rsid w:val="00194943"/>
    <w:rsid w:val="00194F12"/>
    <w:rsid w:val="0019519E"/>
    <w:rsid w:val="00195301"/>
    <w:rsid w:val="00196146"/>
    <w:rsid w:val="001A1020"/>
    <w:rsid w:val="001A26B3"/>
    <w:rsid w:val="001A26D7"/>
    <w:rsid w:val="001A2EE5"/>
    <w:rsid w:val="001A67A2"/>
    <w:rsid w:val="001B00A0"/>
    <w:rsid w:val="001B1EA6"/>
    <w:rsid w:val="001B23ED"/>
    <w:rsid w:val="001B34DE"/>
    <w:rsid w:val="001B4853"/>
    <w:rsid w:val="001B6CB5"/>
    <w:rsid w:val="001B77AB"/>
    <w:rsid w:val="001B79DA"/>
    <w:rsid w:val="001B7BF3"/>
    <w:rsid w:val="001B7F3E"/>
    <w:rsid w:val="001C07F5"/>
    <w:rsid w:val="001C1125"/>
    <w:rsid w:val="001C3137"/>
    <w:rsid w:val="001C3CA3"/>
    <w:rsid w:val="001C4181"/>
    <w:rsid w:val="001C540A"/>
    <w:rsid w:val="001C55B5"/>
    <w:rsid w:val="001C5CA5"/>
    <w:rsid w:val="001C6336"/>
    <w:rsid w:val="001C663B"/>
    <w:rsid w:val="001C776D"/>
    <w:rsid w:val="001C77A2"/>
    <w:rsid w:val="001C7AA7"/>
    <w:rsid w:val="001D04E5"/>
    <w:rsid w:val="001D1412"/>
    <w:rsid w:val="001D2830"/>
    <w:rsid w:val="001D36DC"/>
    <w:rsid w:val="001D3986"/>
    <w:rsid w:val="001D3FE1"/>
    <w:rsid w:val="001D4D59"/>
    <w:rsid w:val="001D6262"/>
    <w:rsid w:val="001D6BBE"/>
    <w:rsid w:val="001D713C"/>
    <w:rsid w:val="001D74D0"/>
    <w:rsid w:val="001D7A7A"/>
    <w:rsid w:val="001D7E21"/>
    <w:rsid w:val="001E178B"/>
    <w:rsid w:val="001E1988"/>
    <w:rsid w:val="001E2D97"/>
    <w:rsid w:val="001E30E8"/>
    <w:rsid w:val="001E49D6"/>
    <w:rsid w:val="001E4C59"/>
    <w:rsid w:val="001E531C"/>
    <w:rsid w:val="001E6432"/>
    <w:rsid w:val="001E69AA"/>
    <w:rsid w:val="001E6B1E"/>
    <w:rsid w:val="001E73FF"/>
    <w:rsid w:val="001E7A2C"/>
    <w:rsid w:val="001E7B45"/>
    <w:rsid w:val="001F3487"/>
    <w:rsid w:val="001F34FF"/>
    <w:rsid w:val="001F569C"/>
    <w:rsid w:val="001F6AC0"/>
    <w:rsid w:val="001F785C"/>
    <w:rsid w:val="001F7BE1"/>
    <w:rsid w:val="00200205"/>
    <w:rsid w:val="0020034E"/>
    <w:rsid w:val="00201C06"/>
    <w:rsid w:val="0020553D"/>
    <w:rsid w:val="00205FDF"/>
    <w:rsid w:val="00206493"/>
    <w:rsid w:val="00207117"/>
    <w:rsid w:val="002071DE"/>
    <w:rsid w:val="002101A4"/>
    <w:rsid w:val="002103AB"/>
    <w:rsid w:val="002107ED"/>
    <w:rsid w:val="002109F9"/>
    <w:rsid w:val="00210B01"/>
    <w:rsid w:val="00210B5F"/>
    <w:rsid w:val="00211D4A"/>
    <w:rsid w:val="002130B5"/>
    <w:rsid w:val="002137D2"/>
    <w:rsid w:val="00214440"/>
    <w:rsid w:val="00214AFD"/>
    <w:rsid w:val="00215132"/>
    <w:rsid w:val="002154A2"/>
    <w:rsid w:val="002156C8"/>
    <w:rsid w:val="002177F0"/>
    <w:rsid w:val="00217FA7"/>
    <w:rsid w:val="00221A8F"/>
    <w:rsid w:val="00221D5A"/>
    <w:rsid w:val="00222B83"/>
    <w:rsid w:val="00223458"/>
    <w:rsid w:val="00223D46"/>
    <w:rsid w:val="0022431B"/>
    <w:rsid w:val="002254A0"/>
    <w:rsid w:val="002256CA"/>
    <w:rsid w:val="00225F8D"/>
    <w:rsid w:val="00226A21"/>
    <w:rsid w:val="002274F9"/>
    <w:rsid w:val="00227B98"/>
    <w:rsid w:val="00231B40"/>
    <w:rsid w:val="002328A1"/>
    <w:rsid w:val="00232B56"/>
    <w:rsid w:val="00233977"/>
    <w:rsid w:val="002344FE"/>
    <w:rsid w:val="002345BE"/>
    <w:rsid w:val="00235485"/>
    <w:rsid w:val="002361A9"/>
    <w:rsid w:val="00237683"/>
    <w:rsid w:val="00240627"/>
    <w:rsid w:val="002418DA"/>
    <w:rsid w:val="00241BAC"/>
    <w:rsid w:val="002421F2"/>
    <w:rsid w:val="002430EC"/>
    <w:rsid w:val="002448BE"/>
    <w:rsid w:val="00244A1B"/>
    <w:rsid w:val="00245079"/>
    <w:rsid w:val="0024666C"/>
    <w:rsid w:val="00250CF1"/>
    <w:rsid w:val="00251361"/>
    <w:rsid w:val="0025177C"/>
    <w:rsid w:val="00251DDE"/>
    <w:rsid w:val="00251F16"/>
    <w:rsid w:val="0025201F"/>
    <w:rsid w:val="00252337"/>
    <w:rsid w:val="00252CBB"/>
    <w:rsid w:val="00252FC7"/>
    <w:rsid w:val="002537BE"/>
    <w:rsid w:val="002569C4"/>
    <w:rsid w:val="00257895"/>
    <w:rsid w:val="002579B2"/>
    <w:rsid w:val="002601CD"/>
    <w:rsid w:val="00260CC9"/>
    <w:rsid w:val="0026194C"/>
    <w:rsid w:val="00263A58"/>
    <w:rsid w:val="00264AAF"/>
    <w:rsid w:val="00264DDE"/>
    <w:rsid w:val="00265A9E"/>
    <w:rsid w:val="00267364"/>
    <w:rsid w:val="0026739B"/>
    <w:rsid w:val="002676F2"/>
    <w:rsid w:val="002717AE"/>
    <w:rsid w:val="00271A2E"/>
    <w:rsid w:val="00273472"/>
    <w:rsid w:val="00273A31"/>
    <w:rsid w:val="00273D00"/>
    <w:rsid w:val="00274483"/>
    <w:rsid w:val="002746F4"/>
    <w:rsid w:val="00274C18"/>
    <w:rsid w:val="00274DF1"/>
    <w:rsid w:val="00274FEA"/>
    <w:rsid w:val="00276472"/>
    <w:rsid w:val="00276E3E"/>
    <w:rsid w:val="00277240"/>
    <w:rsid w:val="00277610"/>
    <w:rsid w:val="00277A23"/>
    <w:rsid w:val="00277CCF"/>
    <w:rsid w:val="00280E4B"/>
    <w:rsid w:val="002816A3"/>
    <w:rsid w:val="00282E28"/>
    <w:rsid w:val="00284FED"/>
    <w:rsid w:val="002852DB"/>
    <w:rsid w:val="00285F27"/>
    <w:rsid w:val="002877D4"/>
    <w:rsid w:val="00287FBB"/>
    <w:rsid w:val="0029026E"/>
    <w:rsid w:val="00290AA5"/>
    <w:rsid w:val="00291F53"/>
    <w:rsid w:val="002927C0"/>
    <w:rsid w:val="00292997"/>
    <w:rsid w:val="0029371B"/>
    <w:rsid w:val="00293EB0"/>
    <w:rsid w:val="00295191"/>
    <w:rsid w:val="00295D01"/>
    <w:rsid w:val="002970DD"/>
    <w:rsid w:val="00297518"/>
    <w:rsid w:val="00297D70"/>
    <w:rsid w:val="002A1FBF"/>
    <w:rsid w:val="002A2BD9"/>
    <w:rsid w:val="002A2F00"/>
    <w:rsid w:val="002A47DB"/>
    <w:rsid w:val="002A56E9"/>
    <w:rsid w:val="002A5A18"/>
    <w:rsid w:val="002A5D8F"/>
    <w:rsid w:val="002A5F87"/>
    <w:rsid w:val="002A658F"/>
    <w:rsid w:val="002A6A2E"/>
    <w:rsid w:val="002A77D3"/>
    <w:rsid w:val="002A7C7B"/>
    <w:rsid w:val="002B24A7"/>
    <w:rsid w:val="002B32B2"/>
    <w:rsid w:val="002B3E6E"/>
    <w:rsid w:val="002B4524"/>
    <w:rsid w:val="002B4860"/>
    <w:rsid w:val="002B555D"/>
    <w:rsid w:val="002B5C8C"/>
    <w:rsid w:val="002B5C96"/>
    <w:rsid w:val="002B65CF"/>
    <w:rsid w:val="002B6EC9"/>
    <w:rsid w:val="002C089F"/>
    <w:rsid w:val="002C0AD6"/>
    <w:rsid w:val="002C1B27"/>
    <w:rsid w:val="002C2613"/>
    <w:rsid w:val="002C4116"/>
    <w:rsid w:val="002C48EE"/>
    <w:rsid w:val="002C54A6"/>
    <w:rsid w:val="002C5815"/>
    <w:rsid w:val="002C6EB5"/>
    <w:rsid w:val="002D05D8"/>
    <w:rsid w:val="002D19CD"/>
    <w:rsid w:val="002D1DFC"/>
    <w:rsid w:val="002D2464"/>
    <w:rsid w:val="002D29DF"/>
    <w:rsid w:val="002D3665"/>
    <w:rsid w:val="002D4262"/>
    <w:rsid w:val="002D688F"/>
    <w:rsid w:val="002D7EA4"/>
    <w:rsid w:val="002E00BA"/>
    <w:rsid w:val="002E0C1E"/>
    <w:rsid w:val="002E11E5"/>
    <w:rsid w:val="002E17F8"/>
    <w:rsid w:val="002E2494"/>
    <w:rsid w:val="002E338D"/>
    <w:rsid w:val="002E3940"/>
    <w:rsid w:val="002E3B33"/>
    <w:rsid w:val="002E3B47"/>
    <w:rsid w:val="002E3BB0"/>
    <w:rsid w:val="002E5F97"/>
    <w:rsid w:val="002E6294"/>
    <w:rsid w:val="002E63A3"/>
    <w:rsid w:val="002E6619"/>
    <w:rsid w:val="002E6869"/>
    <w:rsid w:val="002E708D"/>
    <w:rsid w:val="002E7AB1"/>
    <w:rsid w:val="002E7DC9"/>
    <w:rsid w:val="002F0071"/>
    <w:rsid w:val="002F06CC"/>
    <w:rsid w:val="002F116D"/>
    <w:rsid w:val="002F12E4"/>
    <w:rsid w:val="002F1FF7"/>
    <w:rsid w:val="002F2B62"/>
    <w:rsid w:val="002F4258"/>
    <w:rsid w:val="002F5550"/>
    <w:rsid w:val="002F56A3"/>
    <w:rsid w:val="002F5908"/>
    <w:rsid w:val="002F6563"/>
    <w:rsid w:val="002F6753"/>
    <w:rsid w:val="002F7A19"/>
    <w:rsid w:val="002F7F24"/>
    <w:rsid w:val="003008F9"/>
    <w:rsid w:val="00301C5C"/>
    <w:rsid w:val="003036A2"/>
    <w:rsid w:val="003053C7"/>
    <w:rsid w:val="003059EB"/>
    <w:rsid w:val="00306A4B"/>
    <w:rsid w:val="00307148"/>
    <w:rsid w:val="00307789"/>
    <w:rsid w:val="00307B3C"/>
    <w:rsid w:val="00310421"/>
    <w:rsid w:val="00310A5F"/>
    <w:rsid w:val="003120FB"/>
    <w:rsid w:val="003139EB"/>
    <w:rsid w:val="00313CAE"/>
    <w:rsid w:val="00315325"/>
    <w:rsid w:val="0031605A"/>
    <w:rsid w:val="003162A2"/>
    <w:rsid w:val="00320194"/>
    <w:rsid w:val="00320351"/>
    <w:rsid w:val="00320D1E"/>
    <w:rsid w:val="003210B5"/>
    <w:rsid w:val="00322BA1"/>
    <w:rsid w:val="003240A9"/>
    <w:rsid w:val="00326F05"/>
    <w:rsid w:val="00326F3A"/>
    <w:rsid w:val="0032796C"/>
    <w:rsid w:val="00331731"/>
    <w:rsid w:val="00332E15"/>
    <w:rsid w:val="00333EED"/>
    <w:rsid w:val="003351C8"/>
    <w:rsid w:val="0033551F"/>
    <w:rsid w:val="00336C41"/>
    <w:rsid w:val="003403B3"/>
    <w:rsid w:val="00340806"/>
    <w:rsid w:val="00341FFE"/>
    <w:rsid w:val="003425BE"/>
    <w:rsid w:val="00342E41"/>
    <w:rsid w:val="003450A8"/>
    <w:rsid w:val="003461B2"/>
    <w:rsid w:val="003471BE"/>
    <w:rsid w:val="00350377"/>
    <w:rsid w:val="00351FC0"/>
    <w:rsid w:val="003547A9"/>
    <w:rsid w:val="0035482D"/>
    <w:rsid w:val="00355010"/>
    <w:rsid w:val="00355B43"/>
    <w:rsid w:val="003568AD"/>
    <w:rsid w:val="00357251"/>
    <w:rsid w:val="003579A8"/>
    <w:rsid w:val="00357F24"/>
    <w:rsid w:val="00360695"/>
    <w:rsid w:val="00360D08"/>
    <w:rsid w:val="00361EE2"/>
    <w:rsid w:val="0036282F"/>
    <w:rsid w:val="0036319D"/>
    <w:rsid w:val="0036551F"/>
    <w:rsid w:val="003671B1"/>
    <w:rsid w:val="00370532"/>
    <w:rsid w:val="003705E7"/>
    <w:rsid w:val="00373AA4"/>
    <w:rsid w:val="0037498A"/>
    <w:rsid w:val="00375064"/>
    <w:rsid w:val="0037544F"/>
    <w:rsid w:val="00375915"/>
    <w:rsid w:val="003760FF"/>
    <w:rsid w:val="00382853"/>
    <w:rsid w:val="003839FF"/>
    <w:rsid w:val="00383ADF"/>
    <w:rsid w:val="00383B7B"/>
    <w:rsid w:val="00383F43"/>
    <w:rsid w:val="0038407D"/>
    <w:rsid w:val="003850D9"/>
    <w:rsid w:val="003854E4"/>
    <w:rsid w:val="00387974"/>
    <w:rsid w:val="00390015"/>
    <w:rsid w:val="003912AE"/>
    <w:rsid w:val="003915B7"/>
    <w:rsid w:val="00391F40"/>
    <w:rsid w:val="0039201A"/>
    <w:rsid w:val="0039270B"/>
    <w:rsid w:val="003931DA"/>
    <w:rsid w:val="00393540"/>
    <w:rsid w:val="00393C93"/>
    <w:rsid w:val="003953F0"/>
    <w:rsid w:val="00395EF5"/>
    <w:rsid w:val="00396563"/>
    <w:rsid w:val="0039694E"/>
    <w:rsid w:val="00397038"/>
    <w:rsid w:val="0039729E"/>
    <w:rsid w:val="00397B0A"/>
    <w:rsid w:val="003A01B9"/>
    <w:rsid w:val="003A1168"/>
    <w:rsid w:val="003A189D"/>
    <w:rsid w:val="003A25FD"/>
    <w:rsid w:val="003A2FF2"/>
    <w:rsid w:val="003A3052"/>
    <w:rsid w:val="003A309A"/>
    <w:rsid w:val="003A3154"/>
    <w:rsid w:val="003A3919"/>
    <w:rsid w:val="003A4289"/>
    <w:rsid w:val="003A476E"/>
    <w:rsid w:val="003A4AF4"/>
    <w:rsid w:val="003A5005"/>
    <w:rsid w:val="003A5A2D"/>
    <w:rsid w:val="003A5E81"/>
    <w:rsid w:val="003A647C"/>
    <w:rsid w:val="003A710E"/>
    <w:rsid w:val="003A7197"/>
    <w:rsid w:val="003A78AD"/>
    <w:rsid w:val="003B1238"/>
    <w:rsid w:val="003B4380"/>
    <w:rsid w:val="003B5781"/>
    <w:rsid w:val="003B58A6"/>
    <w:rsid w:val="003C053F"/>
    <w:rsid w:val="003C0B7B"/>
    <w:rsid w:val="003C1495"/>
    <w:rsid w:val="003C31C6"/>
    <w:rsid w:val="003C40B6"/>
    <w:rsid w:val="003C4968"/>
    <w:rsid w:val="003C69EF"/>
    <w:rsid w:val="003D1580"/>
    <w:rsid w:val="003D2443"/>
    <w:rsid w:val="003D26A3"/>
    <w:rsid w:val="003D31CB"/>
    <w:rsid w:val="003D36A6"/>
    <w:rsid w:val="003D62C9"/>
    <w:rsid w:val="003D641F"/>
    <w:rsid w:val="003D6565"/>
    <w:rsid w:val="003D778D"/>
    <w:rsid w:val="003E27E2"/>
    <w:rsid w:val="003E3972"/>
    <w:rsid w:val="003E3D04"/>
    <w:rsid w:val="003F061A"/>
    <w:rsid w:val="003F090C"/>
    <w:rsid w:val="003F0C26"/>
    <w:rsid w:val="003F1806"/>
    <w:rsid w:val="003F1BD5"/>
    <w:rsid w:val="003F1FBD"/>
    <w:rsid w:val="003F2F99"/>
    <w:rsid w:val="003F58D7"/>
    <w:rsid w:val="003F5D80"/>
    <w:rsid w:val="003F6EAD"/>
    <w:rsid w:val="003F7B12"/>
    <w:rsid w:val="003F7F7B"/>
    <w:rsid w:val="0040108B"/>
    <w:rsid w:val="00401C9F"/>
    <w:rsid w:val="00404807"/>
    <w:rsid w:val="004051B5"/>
    <w:rsid w:val="004057F5"/>
    <w:rsid w:val="00405DC6"/>
    <w:rsid w:val="00406225"/>
    <w:rsid w:val="00406BC6"/>
    <w:rsid w:val="004070AA"/>
    <w:rsid w:val="00410CB7"/>
    <w:rsid w:val="00411649"/>
    <w:rsid w:val="00411FA7"/>
    <w:rsid w:val="00412150"/>
    <w:rsid w:val="00412553"/>
    <w:rsid w:val="004134DD"/>
    <w:rsid w:val="00413880"/>
    <w:rsid w:val="004138EF"/>
    <w:rsid w:val="0041517D"/>
    <w:rsid w:val="00416710"/>
    <w:rsid w:val="00416BCF"/>
    <w:rsid w:val="00416DF7"/>
    <w:rsid w:val="0042022D"/>
    <w:rsid w:val="00420CC0"/>
    <w:rsid w:val="004212C6"/>
    <w:rsid w:val="0042402E"/>
    <w:rsid w:val="00424719"/>
    <w:rsid w:val="004255C1"/>
    <w:rsid w:val="00425B20"/>
    <w:rsid w:val="00425EB6"/>
    <w:rsid w:val="00426E97"/>
    <w:rsid w:val="00426FD9"/>
    <w:rsid w:val="00427509"/>
    <w:rsid w:val="00432F94"/>
    <w:rsid w:val="00432FBE"/>
    <w:rsid w:val="00433DC3"/>
    <w:rsid w:val="00435438"/>
    <w:rsid w:val="004362E3"/>
    <w:rsid w:val="00440CFE"/>
    <w:rsid w:val="00441D99"/>
    <w:rsid w:val="0044219D"/>
    <w:rsid w:val="00444239"/>
    <w:rsid w:val="0044429A"/>
    <w:rsid w:val="00444967"/>
    <w:rsid w:val="00444D4A"/>
    <w:rsid w:val="0044580C"/>
    <w:rsid w:val="004459B1"/>
    <w:rsid w:val="004461C1"/>
    <w:rsid w:val="0045046C"/>
    <w:rsid w:val="00450B7D"/>
    <w:rsid w:val="00450C41"/>
    <w:rsid w:val="004518A4"/>
    <w:rsid w:val="00452D9E"/>
    <w:rsid w:val="00455807"/>
    <w:rsid w:val="00457440"/>
    <w:rsid w:val="00461A55"/>
    <w:rsid w:val="0046209B"/>
    <w:rsid w:val="00462182"/>
    <w:rsid w:val="00462638"/>
    <w:rsid w:val="00463ED6"/>
    <w:rsid w:val="00463F63"/>
    <w:rsid w:val="00463F77"/>
    <w:rsid w:val="00465C92"/>
    <w:rsid w:val="00466556"/>
    <w:rsid w:val="004666B7"/>
    <w:rsid w:val="00467438"/>
    <w:rsid w:val="00467619"/>
    <w:rsid w:val="004679E0"/>
    <w:rsid w:val="004709C5"/>
    <w:rsid w:val="004712A8"/>
    <w:rsid w:val="00471651"/>
    <w:rsid w:val="0047165F"/>
    <w:rsid w:val="00471DED"/>
    <w:rsid w:val="00471EF9"/>
    <w:rsid w:val="00472DAC"/>
    <w:rsid w:val="00474B01"/>
    <w:rsid w:val="00475169"/>
    <w:rsid w:val="00475BB5"/>
    <w:rsid w:val="00475D73"/>
    <w:rsid w:val="00475EB7"/>
    <w:rsid w:val="004766E5"/>
    <w:rsid w:val="00476F8F"/>
    <w:rsid w:val="00480A05"/>
    <w:rsid w:val="0048176A"/>
    <w:rsid w:val="00481951"/>
    <w:rsid w:val="00482151"/>
    <w:rsid w:val="004826CF"/>
    <w:rsid w:val="00483057"/>
    <w:rsid w:val="004835AE"/>
    <w:rsid w:val="00483F64"/>
    <w:rsid w:val="004849F7"/>
    <w:rsid w:val="0048768F"/>
    <w:rsid w:val="00487D3D"/>
    <w:rsid w:val="004907E1"/>
    <w:rsid w:val="00491B05"/>
    <w:rsid w:val="0049204D"/>
    <w:rsid w:val="00492547"/>
    <w:rsid w:val="00493487"/>
    <w:rsid w:val="00493650"/>
    <w:rsid w:val="00494233"/>
    <w:rsid w:val="00494587"/>
    <w:rsid w:val="00494743"/>
    <w:rsid w:val="00496756"/>
    <w:rsid w:val="004A067D"/>
    <w:rsid w:val="004A16AA"/>
    <w:rsid w:val="004A3E27"/>
    <w:rsid w:val="004A4028"/>
    <w:rsid w:val="004A518A"/>
    <w:rsid w:val="004A575F"/>
    <w:rsid w:val="004A57E8"/>
    <w:rsid w:val="004A5B33"/>
    <w:rsid w:val="004A644B"/>
    <w:rsid w:val="004A697C"/>
    <w:rsid w:val="004A6FC3"/>
    <w:rsid w:val="004A7895"/>
    <w:rsid w:val="004A7BD1"/>
    <w:rsid w:val="004A7FA7"/>
    <w:rsid w:val="004B03D9"/>
    <w:rsid w:val="004B1330"/>
    <w:rsid w:val="004B1C14"/>
    <w:rsid w:val="004B1F88"/>
    <w:rsid w:val="004B2DAA"/>
    <w:rsid w:val="004B5318"/>
    <w:rsid w:val="004B5AC9"/>
    <w:rsid w:val="004B5B4A"/>
    <w:rsid w:val="004B5CE8"/>
    <w:rsid w:val="004B676D"/>
    <w:rsid w:val="004C08B6"/>
    <w:rsid w:val="004C0D00"/>
    <w:rsid w:val="004C11CE"/>
    <w:rsid w:val="004C140A"/>
    <w:rsid w:val="004C14AB"/>
    <w:rsid w:val="004C2416"/>
    <w:rsid w:val="004C2B1D"/>
    <w:rsid w:val="004C2BB2"/>
    <w:rsid w:val="004C332F"/>
    <w:rsid w:val="004C3462"/>
    <w:rsid w:val="004C4446"/>
    <w:rsid w:val="004C4580"/>
    <w:rsid w:val="004C4DEA"/>
    <w:rsid w:val="004C4E3E"/>
    <w:rsid w:val="004C5772"/>
    <w:rsid w:val="004C60FB"/>
    <w:rsid w:val="004D0A90"/>
    <w:rsid w:val="004D0FB1"/>
    <w:rsid w:val="004D139E"/>
    <w:rsid w:val="004D1CE2"/>
    <w:rsid w:val="004D37F8"/>
    <w:rsid w:val="004D3B99"/>
    <w:rsid w:val="004D3DB4"/>
    <w:rsid w:val="004D44AC"/>
    <w:rsid w:val="004D5EBA"/>
    <w:rsid w:val="004D5ED7"/>
    <w:rsid w:val="004D62C2"/>
    <w:rsid w:val="004D6653"/>
    <w:rsid w:val="004D6A68"/>
    <w:rsid w:val="004D76D1"/>
    <w:rsid w:val="004D785D"/>
    <w:rsid w:val="004D7860"/>
    <w:rsid w:val="004D793F"/>
    <w:rsid w:val="004E1189"/>
    <w:rsid w:val="004E1262"/>
    <w:rsid w:val="004E2C51"/>
    <w:rsid w:val="004E3049"/>
    <w:rsid w:val="004E411B"/>
    <w:rsid w:val="004E5109"/>
    <w:rsid w:val="004E5C69"/>
    <w:rsid w:val="004E60D0"/>
    <w:rsid w:val="004E663B"/>
    <w:rsid w:val="004E7353"/>
    <w:rsid w:val="004F0A9B"/>
    <w:rsid w:val="004F0FA7"/>
    <w:rsid w:val="004F12A6"/>
    <w:rsid w:val="004F1565"/>
    <w:rsid w:val="004F1878"/>
    <w:rsid w:val="004F2304"/>
    <w:rsid w:val="004F26F8"/>
    <w:rsid w:val="004F287F"/>
    <w:rsid w:val="004F2926"/>
    <w:rsid w:val="004F321F"/>
    <w:rsid w:val="004F3249"/>
    <w:rsid w:val="004F46F4"/>
    <w:rsid w:val="004F4CC9"/>
    <w:rsid w:val="004F4DC0"/>
    <w:rsid w:val="004F4EAD"/>
    <w:rsid w:val="004F4EAF"/>
    <w:rsid w:val="004F5D75"/>
    <w:rsid w:val="004F6331"/>
    <w:rsid w:val="004F75D8"/>
    <w:rsid w:val="005025FE"/>
    <w:rsid w:val="00502FEE"/>
    <w:rsid w:val="00504585"/>
    <w:rsid w:val="00506220"/>
    <w:rsid w:val="00506DDE"/>
    <w:rsid w:val="0050751E"/>
    <w:rsid w:val="00511B62"/>
    <w:rsid w:val="00512A43"/>
    <w:rsid w:val="005136AD"/>
    <w:rsid w:val="005138BA"/>
    <w:rsid w:val="00513923"/>
    <w:rsid w:val="00515D49"/>
    <w:rsid w:val="00516657"/>
    <w:rsid w:val="00516904"/>
    <w:rsid w:val="005172F9"/>
    <w:rsid w:val="005178A4"/>
    <w:rsid w:val="00520CB5"/>
    <w:rsid w:val="005210CC"/>
    <w:rsid w:val="005211AF"/>
    <w:rsid w:val="005213E2"/>
    <w:rsid w:val="0052261B"/>
    <w:rsid w:val="00523206"/>
    <w:rsid w:val="00523BB2"/>
    <w:rsid w:val="005251E8"/>
    <w:rsid w:val="00526A75"/>
    <w:rsid w:val="005276C2"/>
    <w:rsid w:val="00527AB8"/>
    <w:rsid w:val="00531290"/>
    <w:rsid w:val="005325E5"/>
    <w:rsid w:val="00533090"/>
    <w:rsid w:val="00533628"/>
    <w:rsid w:val="00536578"/>
    <w:rsid w:val="0053665F"/>
    <w:rsid w:val="005376C1"/>
    <w:rsid w:val="005405D0"/>
    <w:rsid w:val="005406F8"/>
    <w:rsid w:val="0054169B"/>
    <w:rsid w:val="005417D2"/>
    <w:rsid w:val="00541E8C"/>
    <w:rsid w:val="005422E4"/>
    <w:rsid w:val="00543721"/>
    <w:rsid w:val="00544161"/>
    <w:rsid w:val="0054436C"/>
    <w:rsid w:val="00545CF8"/>
    <w:rsid w:val="00546E17"/>
    <w:rsid w:val="005504AB"/>
    <w:rsid w:val="00550E4D"/>
    <w:rsid w:val="00550F69"/>
    <w:rsid w:val="005511B8"/>
    <w:rsid w:val="0055193A"/>
    <w:rsid w:val="00551E24"/>
    <w:rsid w:val="005523C6"/>
    <w:rsid w:val="0055354E"/>
    <w:rsid w:val="005535C1"/>
    <w:rsid w:val="005538CE"/>
    <w:rsid w:val="00554FBD"/>
    <w:rsid w:val="005616AE"/>
    <w:rsid w:val="00561B0C"/>
    <w:rsid w:val="00562639"/>
    <w:rsid w:val="005656FC"/>
    <w:rsid w:val="005665C9"/>
    <w:rsid w:val="0056749D"/>
    <w:rsid w:val="005700AA"/>
    <w:rsid w:val="00571859"/>
    <w:rsid w:val="00571AAC"/>
    <w:rsid w:val="00571ADF"/>
    <w:rsid w:val="00571CEA"/>
    <w:rsid w:val="00571F91"/>
    <w:rsid w:val="005725A1"/>
    <w:rsid w:val="00572897"/>
    <w:rsid w:val="00575038"/>
    <w:rsid w:val="00575046"/>
    <w:rsid w:val="0057516A"/>
    <w:rsid w:val="00575E75"/>
    <w:rsid w:val="00575FC6"/>
    <w:rsid w:val="00580CF7"/>
    <w:rsid w:val="005811E7"/>
    <w:rsid w:val="00581C8A"/>
    <w:rsid w:val="00582CA0"/>
    <w:rsid w:val="00585C0D"/>
    <w:rsid w:val="0058679C"/>
    <w:rsid w:val="005871BD"/>
    <w:rsid w:val="005900A1"/>
    <w:rsid w:val="00590B01"/>
    <w:rsid w:val="00594455"/>
    <w:rsid w:val="005955FE"/>
    <w:rsid w:val="00595936"/>
    <w:rsid w:val="00595B81"/>
    <w:rsid w:val="00595E34"/>
    <w:rsid w:val="00597965"/>
    <w:rsid w:val="005A0224"/>
    <w:rsid w:val="005A0BA6"/>
    <w:rsid w:val="005A1201"/>
    <w:rsid w:val="005A15E8"/>
    <w:rsid w:val="005A2DEA"/>
    <w:rsid w:val="005A35B2"/>
    <w:rsid w:val="005A3671"/>
    <w:rsid w:val="005A3F38"/>
    <w:rsid w:val="005A3FB2"/>
    <w:rsid w:val="005A3FF5"/>
    <w:rsid w:val="005A58B7"/>
    <w:rsid w:val="005A68BF"/>
    <w:rsid w:val="005A68C6"/>
    <w:rsid w:val="005A68DC"/>
    <w:rsid w:val="005A6C20"/>
    <w:rsid w:val="005A6F02"/>
    <w:rsid w:val="005A7DBC"/>
    <w:rsid w:val="005B0BCB"/>
    <w:rsid w:val="005B0EEC"/>
    <w:rsid w:val="005B170A"/>
    <w:rsid w:val="005B2B2E"/>
    <w:rsid w:val="005B3B33"/>
    <w:rsid w:val="005B53D6"/>
    <w:rsid w:val="005B753C"/>
    <w:rsid w:val="005B77B6"/>
    <w:rsid w:val="005C1B4B"/>
    <w:rsid w:val="005C2541"/>
    <w:rsid w:val="005C286C"/>
    <w:rsid w:val="005C2A92"/>
    <w:rsid w:val="005C3B50"/>
    <w:rsid w:val="005C424C"/>
    <w:rsid w:val="005C4C49"/>
    <w:rsid w:val="005C71E9"/>
    <w:rsid w:val="005D11FD"/>
    <w:rsid w:val="005D2ED7"/>
    <w:rsid w:val="005D5D01"/>
    <w:rsid w:val="005D622C"/>
    <w:rsid w:val="005D7700"/>
    <w:rsid w:val="005E00AD"/>
    <w:rsid w:val="005E0844"/>
    <w:rsid w:val="005E0AC2"/>
    <w:rsid w:val="005E0EEC"/>
    <w:rsid w:val="005E1B34"/>
    <w:rsid w:val="005E35A2"/>
    <w:rsid w:val="005E53EB"/>
    <w:rsid w:val="005E5EEE"/>
    <w:rsid w:val="005E666A"/>
    <w:rsid w:val="005E7012"/>
    <w:rsid w:val="005E7C3F"/>
    <w:rsid w:val="005F0DA6"/>
    <w:rsid w:val="005F25A0"/>
    <w:rsid w:val="005F32AD"/>
    <w:rsid w:val="005F3960"/>
    <w:rsid w:val="005F407B"/>
    <w:rsid w:val="005F41CD"/>
    <w:rsid w:val="005F4220"/>
    <w:rsid w:val="005F4347"/>
    <w:rsid w:val="005F48AB"/>
    <w:rsid w:val="005F573F"/>
    <w:rsid w:val="005F62E5"/>
    <w:rsid w:val="005F790E"/>
    <w:rsid w:val="005F79B4"/>
    <w:rsid w:val="005F7C32"/>
    <w:rsid w:val="00600575"/>
    <w:rsid w:val="00600A87"/>
    <w:rsid w:val="00601BED"/>
    <w:rsid w:val="00601EC2"/>
    <w:rsid w:val="00602621"/>
    <w:rsid w:val="00602879"/>
    <w:rsid w:val="00606583"/>
    <w:rsid w:val="006065A9"/>
    <w:rsid w:val="006075B1"/>
    <w:rsid w:val="00607651"/>
    <w:rsid w:val="006101EB"/>
    <w:rsid w:val="006103AF"/>
    <w:rsid w:val="00610C1D"/>
    <w:rsid w:val="006117C2"/>
    <w:rsid w:val="006131D3"/>
    <w:rsid w:val="0061325E"/>
    <w:rsid w:val="0061361E"/>
    <w:rsid w:val="006137A9"/>
    <w:rsid w:val="00613805"/>
    <w:rsid w:val="00613A46"/>
    <w:rsid w:val="00613B64"/>
    <w:rsid w:val="00614239"/>
    <w:rsid w:val="0061669B"/>
    <w:rsid w:val="00620AB1"/>
    <w:rsid w:val="00620C5C"/>
    <w:rsid w:val="006210BA"/>
    <w:rsid w:val="006213B5"/>
    <w:rsid w:val="00621BFE"/>
    <w:rsid w:val="00621F1F"/>
    <w:rsid w:val="00621FF2"/>
    <w:rsid w:val="0062234B"/>
    <w:rsid w:val="00622516"/>
    <w:rsid w:val="00623372"/>
    <w:rsid w:val="006236B7"/>
    <w:rsid w:val="00623C7D"/>
    <w:rsid w:val="00625B86"/>
    <w:rsid w:val="00625BAE"/>
    <w:rsid w:val="00625F0D"/>
    <w:rsid w:val="00626038"/>
    <w:rsid w:val="00627195"/>
    <w:rsid w:val="00630E7C"/>
    <w:rsid w:val="006333E5"/>
    <w:rsid w:val="00634771"/>
    <w:rsid w:val="0063561B"/>
    <w:rsid w:val="006366F0"/>
    <w:rsid w:val="00637080"/>
    <w:rsid w:val="006370CB"/>
    <w:rsid w:val="0063749E"/>
    <w:rsid w:val="0064042D"/>
    <w:rsid w:val="00641116"/>
    <w:rsid w:val="006418A3"/>
    <w:rsid w:val="00641AEC"/>
    <w:rsid w:val="00642F91"/>
    <w:rsid w:val="006433FF"/>
    <w:rsid w:val="00643E80"/>
    <w:rsid w:val="00644943"/>
    <w:rsid w:val="0064524B"/>
    <w:rsid w:val="00645874"/>
    <w:rsid w:val="006469A4"/>
    <w:rsid w:val="00646ED9"/>
    <w:rsid w:val="00650A8F"/>
    <w:rsid w:val="00651877"/>
    <w:rsid w:val="00651CA6"/>
    <w:rsid w:val="00651EB3"/>
    <w:rsid w:val="00651F47"/>
    <w:rsid w:val="006548C2"/>
    <w:rsid w:val="00655388"/>
    <w:rsid w:val="00655D42"/>
    <w:rsid w:val="00656199"/>
    <w:rsid w:val="00657615"/>
    <w:rsid w:val="006576A1"/>
    <w:rsid w:val="0066080E"/>
    <w:rsid w:val="0066089E"/>
    <w:rsid w:val="00660B96"/>
    <w:rsid w:val="00662BE3"/>
    <w:rsid w:val="006637B1"/>
    <w:rsid w:val="00664240"/>
    <w:rsid w:val="00664D3A"/>
    <w:rsid w:val="00665205"/>
    <w:rsid w:val="00666B96"/>
    <w:rsid w:val="00670B4F"/>
    <w:rsid w:val="0067105C"/>
    <w:rsid w:val="006714C8"/>
    <w:rsid w:val="00671F37"/>
    <w:rsid w:val="00672361"/>
    <w:rsid w:val="00672652"/>
    <w:rsid w:val="00675060"/>
    <w:rsid w:val="006759C2"/>
    <w:rsid w:val="0067631B"/>
    <w:rsid w:val="00676831"/>
    <w:rsid w:val="00677505"/>
    <w:rsid w:val="00677A9F"/>
    <w:rsid w:val="00680D15"/>
    <w:rsid w:val="00681CA4"/>
    <w:rsid w:val="00682027"/>
    <w:rsid w:val="006829D3"/>
    <w:rsid w:val="006839AA"/>
    <w:rsid w:val="0068458F"/>
    <w:rsid w:val="00685638"/>
    <w:rsid w:val="00685B63"/>
    <w:rsid w:val="006860BC"/>
    <w:rsid w:val="00690252"/>
    <w:rsid w:val="00690D1E"/>
    <w:rsid w:val="0069227B"/>
    <w:rsid w:val="00692741"/>
    <w:rsid w:val="00694CA7"/>
    <w:rsid w:val="00694E1A"/>
    <w:rsid w:val="00695A1E"/>
    <w:rsid w:val="00696683"/>
    <w:rsid w:val="0069681E"/>
    <w:rsid w:val="0069727E"/>
    <w:rsid w:val="00697C47"/>
    <w:rsid w:val="006A09F0"/>
    <w:rsid w:val="006A1310"/>
    <w:rsid w:val="006A13CC"/>
    <w:rsid w:val="006A2566"/>
    <w:rsid w:val="006A25BB"/>
    <w:rsid w:val="006A3D4C"/>
    <w:rsid w:val="006A3E6B"/>
    <w:rsid w:val="006A4408"/>
    <w:rsid w:val="006A4E81"/>
    <w:rsid w:val="006A5C9D"/>
    <w:rsid w:val="006A5D0B"/>
    <w:rsid w:val="006A5EC7"/>
    <w:rsid w:val="006A7B2F"/>
    <w:rsid w:val="006B04F5"/>
    <w:rsid w:val="006B0646"/>
    <w:rsid w:val="006B10B6"/>
    <w:rsid w:val="006B1377"/>
    <w:rsid w:val="006B1710"/>
    <w:rsid w:val="006B2726"/>
    <w:rsid w:val="006B451C"/>
    <w:rsid w:val="006B45BC"/>
    <w:rsid w:val="006B4963"/>
    <w:rsid w:val="006B57B2"/>
    <w:rsid w:val="006C0EDC"/>
    <w:rsid w:val="006C0F6E"/>
    <w:rsid w:val="006C109B"/>
    <w:rsid w:val="006C180F"/>
    <w:rsid w:val="006C1D64"/>
    <w:rsid w:val="006C1F99"/>
    <w:rsid w:val="006C2180"/>
    <w:rsid w:val="006C2F7A"/>
    <w:rsid w:val="006C3113"/>
    <w:rsid w:val="006C345C"/>
    <w:rsid w:val="006C3CC2"/>
    <w:rsid w:val="006C3DCD"/>
    <w:rsid w:val="006C4214"/>
    <w:rsid w:val="006C53EA"/>
    <w:rsid w:val="006C63D3"/>
    <w:rsid w:val="006C7245"/>
    <w:rsid w:val="006D0DB3"/>
    <w:rsid w:val="006D0EBD"/>
    <w:rsid w:val="006D1B2D"/>
    <w:rsid w:val="006D1E80"/>
    <w:rsid w:val="006D1F9F"/>
    <w:rsid w:val="006D26C4"/>
    <w:rsid w:val="006D555F"/>
    <w:rsid w:val="006D5BB0"/>
    <w:rsid w:val="006D7B99"/>
    <w:rsid w:val="006D7C9B"/>
    <w:rsid w:val="006D7E28"/>
    <w:rsid w:val="006E0958"/>
    <w:rsid w:val="006E17CD"/>
    <w:rsid w:val="006E1946"/>
    <w:rsid w:val="006E1B88"/>
    <w:rsid w:val="006E23B6"/>
    <w:rsid w:val="006E25AB"/>
    <w:rsid w:val="006E3262"/>
    <w:rsid w:val="006E3A6D"/>
    <w:rsid w:val="006E3B8F"/>
    <w:rsid w:val="006E4748"/>
    <w:rsid w:val="006E4784"/>
    <w:rsid w:val="006E5F06"/>
    <w:rsid w:val="006E7746"/>
    <w:rsid w:val="006E7C2C"/>
    <w:rsid w:val="006E7F70"/>
    <w:rsid w:val="006F2342"/>
    <w:rsid w:val="006F42AE"/>
    <w:rsid w:val="006F42C8"/>
    <w:rsid w:val="006F4826"/>
    <w:rsid w:val="006F4D0E"/>
    <w:rsid w:val="006F528A"/>
    <w:rsid w:val="006F738D"/>
    <w:rsid w:val="00700505"/>
    <w:rsid w:val="00700738"/>
    <w:rsid w:val="00705D8D"/>
    <w:rsid w:val="00705EDD"/>
    <w:rsid w:val="007061B4"/>
    <w:rsid w:val="00707997"/>
    <w:rsid w:val="0071029B"/>
    <w:rsid w:val="0071052E"/>
    <w:rsid w:val="00710B04"/>
    <w:rsid w:val="00711762"/>
    <w:rsid w:val="00711ED2"/>
    <w:rsid w:val="00714608"/>
    <w:rsid w:val="00715A08"/>
    <w:rsid w:val="00716588"/>
    <w:rsid w:val="00716CFB"/>
    <w:rsid w:val="00717362"/>
    <w:rsid w:val="00717B96"/>
    <w:rsid w:val="00717BF4"/>
    <w:rsid w:val="0072119D"/>
    <w:rsid w:val="0072146B"/>
    <w:rsid w:val="00721531"/>
    <w:rsid w:val="00721552"/>
    <w:rsid w:val="00723BF0"/>
    <w:rsid w:val="007250EE"/>
    <w:rsid w:val="00725700"/>
    <w:rsid w:val="007264D9"/>
    <w:rsid w:val="00726E5E"/>
    <w:rsid w:val="007275AA"/>
    <w:rsid w:val="007277D1"/>
    <w:rsid w:val="007301B7"/>
    <w:rsid w:val="00731AF0"/>
    <w:rsid w:val="00731ED4"/>
    <w:rsid w:val="007327F4"/>
    <w:rsid w:val="00732AD4"/>
    <w:rsid w:val="00732FB6"/>
    <w:rsid w:val="00733CB4"/>
    <w:rsid w:val="00733E29"/>
    <w:rsid w:val="007367A7"/>
    <w:rsid w:val="00736891"/>
    <w:rsid w:val="00736C13"/>
    <w:rsid w:val="00736E1E"/>
    <w:rsid w:val="00736F0E"/>
    <w:rsid w:val="00737219"/>
    <w:rsid w:val="00737F92"/>
    <w:rsid w:val="00740DE6"/>
    <w:rsid w:val="00743E55"/>
    <w:rsid w:val="007445DB"/>
    <w:rsid w:val="0074569B"/>
    <w:rsid w:val="00746FE8"/>
    <w:rsid w:val="00747211"/>
    <w:rsid w:val="00747968"/>
    <w:rsid w:val="00750933"/>
    <w:rsid w:val="00750E87"/>
    <w:rsid w:val="00750EB0"/>
    <w:rsid w:val="007510E2"/>
    <w:rsid w:val="007513AA"/>
    <w:rsid w:val="00752314"/>
    <w:rsid w:val="0075232A"/>
    <w:rsid w:val="00752473"/>
    <w:rsid w:val="00752903"/>
    <w:rsid w:val="00754EDF"/>
    <w:rsid w:val="00757B7C"/>
    <w:rsid w:val="00757D44"/>
    <w:rsid w:val="00762136"/>
    <w:rsid w:val="007632DB"/>
    <w:rsid w:val="00763A1E"/>
    <w:rsid w:val="00763A71"/>
    <w:rsid w:val="0076404D"/>
    <w:rsid w:val="00766BBE"/>
    <w:rsid w:val="00767288"/>
    <w:rsid w:val="00767521"/>
    <w:rsid w:val="00771283"/>
    <w:rsid w:val="00771525"/>
    <w:rsid w:val="007732C9"/>
    <w:rsid w:val="007738F3"/>
    <w:rsid w:val="00774029"/>
    <w:rsid w:val="00774793"/>
    <w:rsid w:val="00774CB6"/>
    <w:rsid w:val="00776A3D"/>
    <w:rsid w:val="00777042"/>
    <w:rsid w:val="00781361"/>
    <w:rsid w:val="00781B58"/>
    <w:rsid w:val="00782158"/>
    <w:rsid w:val="00782488"/>
    <w:rsid w:val="00782A6F"/>
    <w:rsid w:val="00782A9A"/>
    <w:rsid w:val="00782BD6"/>
    <w:rsid w:val="00783A0F"/>
    <w:rsid w:val="00784C53"/>
    <w:rsid w:val="00785E49"/>
    <w:rsid w:val="007868C5"/>
    <w:rsid w:val="00786A8D"/>
    <w:rsid w:val="00786B17"/>
    <w:rsid w:val="00787338"/>
    <w:rsid w:val="007877E5"/>
    <w:rsid w:val="00787C90"/>
    <w:rsid w:val="00790A1F"/>
    <w:rsid w:val="0079294B"/>
    <w:rsid w:val="00793B7A"/>
    <w:rsid w:val="00793C15"/>
    <w:rsid w:val="00793DA2"/>
    <w:rsid w:val="007948CE"/>
    <w:rsid w:val="00797677"/>
    <w:rsid w:val="00797EC9"/>
    <w:rsid w:val="007A01EB"/>
    <w:rsid w:val="007A03C3"/>
    <w:rsid w:val="007A080C"/>
    <w:rsid w:val="007A14E6"/>
    <w:rsid w:val="007A7363"/>
    <w:rsid w:val="007A7D52"/>
    <w:rsid w:val="007B1218"/>
    <w:rsid w:val="007B13AE"/>
    <w:rsid w:val="007B2475"/>
    <w:rsid w:val="007B249F"/>
    <w:rsid w:val="007B2ECC"/>
    <w:rsid w:val="007B4941"/>
    <w:rsid w:val="007B5917"/>
    <w:rsid w:val="007B6A60"/>
    <w:rsid w:val="007B6DB7"/>
    <w:rsid w:val="007B6E8A"/>
    <w:rsid w:val="007B79E5"/>
    <w:rsid w:val="007C1DF4"/>
    <w:rsid w:val="007C2AA4"/>
    <w:rsid w:val="007C2B29"/>
    <w:rsid w:val="007C34A7"/>
    <w:rsid w:val="007C3CED"/>
    <w:rsid w:val="007C5157"/>
    <w:rsid w:val="007C5394"/>
    <w:rsid w:val="007C66B1"/>
    <w:rsid w:val="007C6BB9"/>
    <w:rsid w:val="007C71C8"/>
    <w:rsid w:val="007D0E39"/>
    <w:rsid w:val="007D1633"/>
    <w:rsid w:val="007D1B60"/>
    <w:rsid w:val="007D27EE"/>
    <w:rsid w:val="007D2CDF"/>
    <w:rsid w:val="007D2E6D"/>
    <w:rsid w:val="007D3713"/>
    <w:rsid w:val="007D3F41"/>
    <w:rsid w:val="007D5501"/>
    <w:rsid w:val="007D5ACD"/>
    <w:rsid w:val="007D5DEA"/>
    <w:rsid w:val="007D6535"/>
    <w:rsid w:val="007D7369"/>
    <w:rsid w:val="007D76C2"/>
    <w:rsid w:val="007D7783"/>
    <w:rsid w:val="007D7F23"/>
    <w:rsid w:val="007E073D"/>
    <w:rsid w:val="007E260F"/>
    <w:rsid w:val="007E34D6"/>
    <w:rsid w:val="007E35CB"/>
    <w:rsid w:val="007E3FB9"/>
    <w:rsid w:val="007E46A0"/>
    <w:rsid w:val="007E4B05"/>
    <w:rsid w:val="007E5D74"/>
    <w:rsid w:val="007E5EF8"/>
    <w:rsid w:val="007F0C00"/>
    <w:rsid w:val="007F0DBC"/>
    <w:rsid w:val="007F16A8"/>
    <w:rsid w:val="007F287C"/>
    <w:rsid w:val="007F413B"/>
    <w:rsid w:val="007F472A"/>
    <w:rsid w:val="007F5E29"/>
    <w:rsid w:val="007F6149"/>
    <w:rsid w:val="007F618C"/>
    <w:rsid w:val="007F688D"/>
    <w:rsid w:val="007F68DA"/>
    <w:rsid w:val="00802325"/>
    <w:rsid w:val="008037B8"/>
    <w:rsid w:val="00804E04"/>
    <w:rsid w:val="00805C21"/>
    <w:rsid w:val="00806F44"/>
    <w:rsid w:val="00807043"/>
    <w:rsid w:val="00807954"/>
    <w:rsid w:val="00810FF0"/>
    <w:rsid w:val="0081139E"/>
    <w:rsid w:val="00811F3F"/>
    <w:rsid w:val="00812082"/>
    <w:rsid w:val="00812300"/>
    <w:rsid w:val="00812E7D"/>
    <w:rsid w:val="00813821"/>
    <w:rsid w:val="00815DBC"/>
    <w:rsid w:val="00816F1C"/>
    <w:rsid w:val="008175AA"/>
    <w:rsid w:val="00821AD1"/>
    <w:rsid w:val="008223E7"/>
    <w:rsid w:val="008240AD"/>
    <w:rsid w:val="00825E17"/>
    <w:rsid w:val="00826BA1"/>
    <w:rsid w:val="00826D20"/>
    <w:rsid w:val="008309F9"/>
    <w:rsid w:val="0083361D"/>
    <w:rsid w:val="00833678"/>
    <w:rsid w:val="008345C2"/>
    <w:rsid w:val="0083515E"/>
    <w:rsid w:val="00835A82"/>
    <w:rsid w:val="00836770"/>
    <w:rsid w:val="00840460"/>
    <w:rsid w:val="008408C1"/>
    <w:rsid w:val="00840B15"/>
    <w:rsid w:val="008413D6"/>
    <w:rsid w:val="00842BB6"/>
    <w:rsid w:val="00843891"/>
    <w:rsid w:val="00843A62"/>
    <w:rsid w:val="00844B0F"/>
    <w:rsid w:val="008450C0"/>
    <w:rsid w:val="008452FF"/>
    <w:rsid w:val="00846190"/>
    <w:rsid w:val="0084737A"/>
    <w:rsid w:val="0084763A"/>
    <w:rsid w:val="008503AA"/>
    <w:rsid w:val="008508AF"/>
    <w:rsid w:val="0085234E"/>
    <w:rsid w:val="00852CFE"/>
    <w:rsid w:val="008530F2"/>
    <w:rsid w:val="00853595"/>
    <w:rsid w:val="00853E8C"/>
    <w:rsid w:val="00854E3D"/>
    <w:rsid w:val="00856E94"/>
    <w:rsid w:val="00857E65"/>
    <w:rsid w:val="008601C5"/>
    <w:rsid w:val="0086020B"/>
    <w:rsid w:val="00860930"/>
    <w:rsid w:val="00862024"/>
    <w:rsid w:val="008631BE"/>
    <w:rsid w:val="00863F9A"/>
    <w:rsid w:val="00864126"/>
    <w:rsid w:val="00864316"/>
    <w:rsid w:val="0086532A"/>
    <w:rsid w:val="00865F66"/>
    <w:rsid w:val="00867031"/>
    <w:rsid w:val="00867518"/>
    <w:rsid w:val="00870333"/>
    <w:rsid w:val="008704E4"/>
    <w:rsid w:val="00870FB2"/>
    <w:rsid w:val="0087260E"/>
    <w:rsid w:val="00874655"/>
    <w:rsid w:val="00876062"/>
    <w:rsid w:val="008769E6"/>
    <w:rsid w:val="00876CF7"/>
    <w:rsid w:val="00877257"/>
    <w:rsid w:val="008772E7"/>
    <w:rsid w:val="00880125"/>
    <w:rsid w:val="00880650"/>
    <w:rsid w:val="00880DCB"/>
    <w:rsid w:val="00880DE8"/>
    <w:rsid w:val="00880EFD"/>
    <w:rsid w:val="00883842"/>
    <w:rsid w:val="00883C72"/>
    <w:rsid w:val="00884162"/>
    <w:rsid w:val="008846BC"/>
    <w:rsid w:val="00887AD9"/>
    <w:rsid w:val="00890163"/>
    <w:rsid w:val="00890BD7"/>
    <w:rsid w:val="008910A1"/>
    <w:rsid w:val="008912A0"/>
    <w:rsid w:val="00891A6E"/>
    <w:rsid w:val="008937AA"/>
    <w:rsid w:val="00893E57"/>
    <w:rsid w:val="008941B7"/>
    <w:rsid w:val="0089425C"/>
    <w:rsid w:val="008951FB"/>
    <w:rsid w:val="00896307"/>
    <w:rsid w:val="008968EB"/>
    <w:rsid w:val="00897689"/>
    <w:rsid w:val="00897FEE"/>
    <w:rsid w:val="008A0640"/>
    <w:rsid w:val="008A0ECE"/>
    <w:rsid w:val="008A11B6"/>
    <w:rsid w:val="008A3312"/>
    <w:rsid w:val="008A3A56"/>
    <w:rsid w:val="008A3E96"/>
    <w:rsid w:val="008A405E"/>
    <w:rsid w:val="008A4D1F"/>
    <w:rsid w:val="008A4DD1"/>
    <w:rsid w:val="008A51A2"/>
    <w:rsid w:val="008A51C6"/>
    <w:rsid w:val="008A51D2"/>
    <w:rsid w:val="008A6174"/>
    <w:rsid w:val="008A7440"/>
    <w:rsid w:val="008A7B21"/>
    <w:rsid w:val="008B2EB2"/>
    <w:rsid w:val="008B2F58"/>
    <w:rsid w:val="008B37E7"/>
    <w:rsid w:val="008B45FF"/>
    <w:rsid w:val="008B5D24"/>
    <w:rsid w:val="008B7AF1"/>
    <w:rsid w:val="008C2B12"/>
    <w:rsid w:val="008C3EB9"/>
    <w:rsid w:val="008C4A24"/>
    <w:rsid w:val="008C6B67"/>
    <w:rsid w:val="008D0832"/>
    <w:rsid w:val="008D3319"/>
    <w:rsid w:val="008D3E64"/>
    <w:rsid w:val="008D4AD1"/>
    <w:rsid w:val="008D4C0E"/>
    <w:rsid w:val="008D5E56"/>
    <w:rsid w:val="008D7CF5"/>
    <w:rsid w:val="008E36EC"/>
    <w:rsid w:val="008E3A6A"/>
    <w:rsid w:val="008E481C"/>
    <w:rsid w:val="008E5006"/>
    <w:rsid w:val="008E55BF"/>
    <w:rsid w:val="008E5705"/>
    <w:rsid w:val="008E5CE3"/>
    <w:rsid w:val="008F0E13"/>
    <w:rsid w:val="008F10C0"/>
    <w:rsid w:val="008F1194"/>
    <w:rsid w:val="008F1532"/>
    <w:rsid w:val="008F273A"/>
    <w:rsid w:val="008F2988"/>
    <w:rsid w:val="008F5FA6"/>
    <w:rsid w:val="008F64BD"/>
    <w:rsid w:val="008F67EA"/>
    <w:rsid w:val="008F6AAB"/>
    <w:rsid w:val="008F7970"/>
    <w:rsid w:val="008F7A9C"/>
    <w:rsid w:val="00900503"/>
    <w:rsid w:val="00900898"/>
    <w:rsid w:val="0090356E"/>
    <w:rsid w:val="00903BB1"/>
    <w:rsid w:val="00904DE0"/>
    <w:rsid w:val="009102CB"/>
    <w:rsid w:val="009118F7"/>
    <w:rsid w:val="00911B61"/>
    <w:rsid w:val="0091214B"/>
    <w:rsid w:val="0091299A"/>
    <w:rsid w:val="0091347C"/>
    <w:rsid w:val="00913701"/>
    <w:rsid w:val="00913B49"/>
    <w:rsid w:val="00914764"/>
    <w:rsid w:val="0091539C"/>
    <w:rsid w:val="00915DEB"/>
    <w:rsid w:val="0091691F"/>
    <w:rsid w:val="0091693E"/>
    <w:rsid w:val="00916B33"/>
    <w:rsid w:val="0091742F"/>
    <w:rsid w:val="00917822"/>
    <w:rsid w:val="00921389"/>
    <w:rsid w:val="009221BA"/>
    <w:rsid w:val="0092271F"/>
    <w:rsid w:val="009238C0"/>
    <w:rsid w:val="0092489D"/>
    <w:rsid w:val="00924D99"/>
    <w:rsid w:val="00924DBF"/>
    <w:rsid w:val="00925187"/>
    <w:rsid w:val="00925BAA"/>
    <w:rsid w:val="00925EE3"/>
    <w:rsid w:val="0092796F"/>
    <w:rsid w:val="009301D6"/>
    <w:rsid w:val="009317F7"/>
    <w:rsid w:val="00932547"/>
    <w:rsid w:val="009328FC"/>
    <w:rsid w:val="00933158"/>
    <w:rsid w:val="00933D7D"/>
    <w:rsid w:val="00934495"/>
    <w:rsid w:val="009360C5"/>
    <w:rsid w:val="00940E24"/>
    <w:rsid w:val="0094103F"/>
    <w:rsid w:val="00942235"/>
    <w:rsid w:val="00942AC9"/>
    <w:rsid w:val="0094399A"/>
    <w:rsid w:val="00943B9C"/>
    <w:rsid w:val="00943C49"/>
    <w:rsid w:val="00944443"/>
    <w:rsid w:val="009446EB"/>
    <w:rsid w:val="00944BB8"/>
    <w:rsid w:val="00946220"/>
    <w:rsid w:val="00947259"/>
    <w:rsid w:val="00950842"/>
    <w:rsid w:val="00950BA3"/>
    <w:rsid w:val="00950FA8"/>
    <w:rsid w:val="00952363"/>
    <w:rsid w:val="00953674"/>
    <w:rsid w:val="00953FF6"/>
    <w:rsid w:val="00954083"/>
    <w:rsid w:val="009545A5"/>
    <w:rsid w:val="00954D28"/>
    <w:rsid w:val="009570CE"/>
    <w:rsid w:val="00957152"/>
    <w:rsid w:val="00957185"/>
    <w:rsid w:val="0096064B"/>
    <w:rsid w:val="00962C63"/>
    <w:rsid w:val="009634AE"/>
    <w:rsid w:val="00963568"/>
    <w:rsid w:val="009636CB"/>
    <w:rsid w:val="009641C1"/>
    <w:rsid w:val="009704B0"/>
    <w:rsid w:val="00972036"/>
    <w:rsid w:val="00972116"/>
    <w:rsid w:val="0097258B"/>
    <w:rsid w:val="00973458"/>
    <w:rsid w:val="009764CE"/>
    <w:rsid w:val="00976895"/>
    <w:rsid w:val="00976AE5"/>
    <w:rsid w:val="00980B77"/>
    <w:rsid w:val="00981A51"/>
    <w:rsid w:val="00982E41"/>
    <w:rsid w:val="009836A3"/>
    <w:rsid w:val="009836EF"/>
    <w:rsid w:val="00983F19"/>
    <w:rsid w:val="00984356"/>
    <w:rsid w:val="009864C1"/>
    <w:rsid w:val="009866F5"/>
    <w:rsid w:val="00986A2D"/>
    <w:rsid w:val="00987591"/>
    <w:rsid w:val="00987853"/>
    <w:rsid w:val="00990E4A"/>
    <w:rsid w:val="009920D4"/>
    <w:rsid w:val="009930FE"/>
    <w:rsid w:val="00993210"/>
    <w:rsid w:val="0099432F"/>
    <w:rsid w:val="009952EB"/>
    <w:rsid w:val="00995B45"/>
    <w:rsid w:val="00995D43"/>
    <w:rsid w:val="009964E7"/>
    <w:rsid w:val="009974F9"/>
    <w:rsid w:val="009975EB"/>
    <w:rsid w:val="00997F39"/>
    <w:rsid w:val="00997F5A"/>
    <w:rsid w:val="009A180F"/>
    <w:rsid w:val="009A20E5"/>
    <w:rsid w:val="009A285A"/>
    <w:rsid w:val="009A345C"/>
    <w:rsid w:val="009A5F01"/>
    <w:rsid w:val="009A623A"/>
    <w:rsid w:val="009B05AE"/>
    <w:rsid w:val="009B16A6"/>
    <w:rsid w:val="009B1A03"/>
    <w:rsid w:val="009B20EA"/>
    <w:rsid w:val="009B3264"/>
    <w:rsid w:val="009B3319"/>
    <w:rsid w:val="009B37D3"/>
    <w:rsid w:val="009B3AFA"/>
    <w:rsid w:val="009B4B17"/>
    <w:rsid w:val="009B532B"/>
    <w:rsid w:val="009B5F0E"/>
    <w:rsid w:val="009B6B20"/>
    <w:rsid w:val="009B7560"/>
    <w:rsid w:val="009B77E9"/>
    <w:rsid w:val="009C0065"/>
    <w:rsid w:val="009C08EE"/>
    <w:rsid w:val="009C1BDB"/>
    <w:rsid w:val="009C3258"/>
    <w:rsid w:val="009C3E19"/>
    <w:rsid w:val="009C4684"/>
    <w:rsid w:val="009C532F"/>
    <w:rsid w:val="009C5CA3"/>
    <w:rsid w:val="009C5D96"/>
    <w:rsid w:val="009C5DC9"/>
    <w:rsid w:val="009C74C3"/>
    <w:rsid w:val="009D01E5"/>
    <w:rsid w:val="009D029F"/>
    <w:rsid w:val="009D1432"/>
    <w:rsid w:val="009D1FC0"/>
    <w:rsid w:val="009D221B"/>
    <w:rsid w:val="009D2CCA"/>
    <w:rsid w:val="009D2EA9"/>
    <w:rsid w:val="009D3ABF"/>
    <w:rsid w:val="009D3DAA"/>
    <w:rsid w:val="009D3EE1"/>
    <w:rsid w:val="009D59B0"/>
    <w:rsid w:val="009D776D"/>
    <w:rsid w:val="009D7E49"/>
    <w:rsid w:val="009D7F9E"/>
    <w:rsid w:val="009E0885"/>
    <w:rsid w:val="009E2643"/>
    <w:rsid w:val="009E354F"/>
    <w:rsid w:val="009E3E67"/>
    <w:rsid w:val="009E4AF9"/>
    <w:rsid w:val="009E4C1C"/>
    <w:rsid w:val="009E51CE"/>
    <w:rsid w:val="009E5D82"/>
    <w:rsid w:val="009E5ECF"/>
    <w:rsid w:val="009E65AA"/>
    <w:rsid w:val="009E734D"/>
    <w:rsid w:val="009E78D0"/>
    <w:rsid w:val="009F0014"/>
    <w:rsid w:val="009F0667"/>
    <w:rsid w:val="009F0EAA"/>
    <w:rsid w:val="009F38A2"/>
    <w:rsid w:val="009F42AB"/>
    <w:rsid w:val="009F4481"/>
    <w:rsid w:val="009F4C32"/>
    <w:rsid w:val="009F5716"/>
    <w:rsid w:val="009F5A9B"/>
    <w:rsid w:val="009F5BC0"/>
    <w:rsid w:val="009F5BFE"/>
    <w:rsid w:val="009F5C91"/>
    <w:rsid w:val="009F6751"/>
    <w:rsid w:val="009F78CB"/>
    <w:rsid w:val="009F79DC"/>
    <w:rsid w:val="009F7A0C"/>
    <w:rsid w:val="009F7DC3"/>
    <w:rsid w:val="00A00A06"/>
    <w:rsid w:val="00A0177F"/>
    <w:rsid w:val="00A0198D"/>
    <w:rsid w:val="00A01D93"/>
    <w:rsid w:val="00A0309C"/>
    <w:rsid w:val="00A04570"/>
    <w:rsid w:val="00A047E4"/>
    <w:rsid w:val="00A053EF"/>
    <w:rsid w:val="00A0599B"/>
    <w:rsid w:val="00A10C6C"/>
    <w:rsid w:val="00A114AB"/>
    <w:rsid w:val="00A1210C"/>
    <w:rsid w:val="00A1297F"/>
    <w:rsid w:val="00A131BF"/>
    <w:rsid w:val="00A14107"/>
    <w:rsid w:val="00A143A7"/>
    <w:rsid w:val="00A1462F"/>
    <w:rsid w:val="00A176FE"/>
    <w:rsid w:val="00A17820"/>
    <w:rsid w:val="00A17A90"/>
    <w:rsid w:val="00A17BEB"/>
    <w:rsid w:val="00A20D07"/>
    <w:rsid w:val="00A20DBC"/>
    <w:rsid w:val="00A21181"/>
    <w:rsid w:val="00A212B0"/>
    <w:rsid w:val="00A21BA0"/>
    <w:rsid w:val="00A23FE4"/>
    <w:rsid w:val="00A24998"/>
    <w:rsid w:val="00A256C4"/>
    <w:rsid w:val="00A300C7"/>
    <w:rsid w:val="00A32E2D"/>
    <w:rsid w:val="00A32EDC"/>
    <w:rsid w:val="00A34A0E"/>
    <w:rsid w:val="00A356A5"/>
    <w:rsid w:val="00A35817"/>
    <w:rsid w:val="00A3638F"/>
    <w:rsid w:val="00A36BE3"/>
    <w:rsid w:val="00A36C54"/>
    <w:rsid w:val="00A37466"/>
    <w:rsid w:val="00A40CC4"/>
    <w:rsid w:val="00A410CD"/>
    <w:rsid w:val="00A41431"/>
    <w:rsid w:val="00A42EC3"/>
    <w:rsid w:val="00A4301D"/>
    <w:rsid w:val="00A43DFC"/>
    <w:rsid w:val="00A443E2"/>
    <w:rsid w:val="00A44E03"/>
    <w:rsid w:val="00A502B4"/>
    <w:rsid w:val="00A51033"/>
    <w:rsid w:val="00A51997"/>
    <w:rsid w:val="00A51AB6"/>
    <w:rsid w:val="00A52C01"/>
    <w:rsid w:val="00A55391"/>
    <w:rsid w:val="00A55C58"/>
    <w:rsid w:val="00A56B3E"/>
    <w:rsid w:val="00A57842"/>
    <w:rsid w:val="00A57B60"/>
    <w:rsid w:val="00A6313D"/>
    <w:rsid w:val="00A631F3"/>
    <w:rsid w:val="00A63318"/>
    <w:rsid w:val="00A633EF"/>
    <w:rsid w:val="00A63978"/>
    <w:rsid w:val="00A63C4C"/>
    <w:rsid w:val="00A642ED"/>
    <w:rsid w:val="00A65678"/>
    <w:rsid w:val="00A666D2"/>
    <w:rsid w:val="00A70DD1"/>
    <w:rsid w:val="00A71140"/>
    <w:rsid w:val="00A71342"/>
    <w:rsid w:val="00A716CA"/>
    <w:rsid w:val="00A72AAD"/>
    <w:rsid w:val="00A7397B"/>
    <w:rsid w:val="00A74853"/>
    <w:rsid w:val="00A75257"/>
    <w:rsid w:val="00A77298"/>
    <w:rsid w:val="00A77C85"/>
    <w:rsid w:val="00A806A4"/>
    <w:rsid w:val="00A81299"/>
    <w:rsid w:val="00A82227"/>
    <w:rsid w:val="00A83DAF"/>
    <w:rsid w:val="00A84139"/>
    <w:rsid w:val="00A847E1"/>
    <w:rsid w:val="00A84E98"/>
    <w:rsid w:val="00A85C20"/>
    <w:rsid w:val="00A86058"/>
    <w:rsid w:val="00A861F6"/>
    <w:rsid w:val="00A86985"/>
    <w:rsid w:val="00A87647"/>
    <w:rsid w:val="00A90BD5"/>
    <w:rsid w:val="00A90F41"/>
    <w:rsid w:val="00A9230D"/>
    <w:rsid w:val="00A943B2"/>
    <w:rsid w:val="00A9476D"/>
    <w:rsid w:val="00A95E5F"/>
    <w:rsid w:val="00A9602E"/>
    <w:rsid w:val="00A965CC"/>
    <w:rsid w:val="00A9749F"/>
    <w:rsid w:val="00AA0222"/>
    <w:rsid w:val="00AA1482"/>
    <w:rsid w:val="00AA26C1"/>
    <w:rsid w:val="00AA2EDE"/>
    <w:rsid w:val="00AA4BB9"/>
    <w:rsid w:val="00AA6973"/>
    <w:rsid w:val="00AB0621"/>
    <w:rsid w:val="00AB07A4"/>
    <w:rsid w:val="00AB181B"/>
    <w:rsid w:val="00AB1978"/>
    <w:rsid w:val="00AB1D34"/>
    <w:rsid w:val="00AB1D45"/>
    <w:rsid w:val="00AB23C3"/>
    <w:rsid w:val="00AB2E64"/>
    <w:rsid w:val="00AB4D75"/>
    <w:rsid w:val="00AB5BB8"/>
    <w:rsid w:val="00AB77CB"/>
    <w:rsid w:val="00AC2E4F"/>
    <w:rsid w:val="00AC3B69"/>
    <w:rsid w:val="00AC3CC0"/>
    <w:rsid w:val="00AC3E58"/>
    <w:rsid w:val="00AC534F"/>
    <w:rsid w:val="00AC6720"/>
    <w:rsid w:val="00AC74A0"/>
    <w:rsid w:val="00AC7ECD"/>
    <w:rsid w:val="00AD0766"/>
    <w:rsid w:val="00AD083F"/>
    <w:rsid w:val="00AD18AC"/>
    <w:rsid w:val="00AD1C50"/>
    <w:rsid w:val="00AD2170"/>
    <w:rsid w:val="00AD275A"/>
    <w:rsid w:val="00AD3D6D"/>
    <w:rsid w:val="00AD4216"/>
    <w:rsid w:val="00AD4AF6"/>
    <w:rsid w:val="00AD5412"/>
    <w:rsid w:val="00AD66FE"/>
    <w:rsid w:val="00AD7F00"/>
    <w:rsid w:val="00AE0559"/>
    <w:rsid w:val="00AE092F"/>
    <w:rsid w:val="00AE0D97"/>
    <w:rsid w:val="00AE22BA"/>
    <w:rsid w:val="00AE3B5F"/>
    <w:rsid w:val="00AE3CFD"/>
    <w:rsid w:val="00AE55D2"/>
    <w:rsid w:val="00AE5B26"/>
    <w:rsid w:val="00AE5C5E"/>
    <w:rsid w:val="00AE7106"/>
    <w:rsid w:val="00AF04FB"/>
    <w:rsid w:val="00AF06CB"/>
    <w:rsid w:val="00AF1341"/>
    <w:rsid w:val="00AF1B84"/>
    <w:rsid w:val="00AF1CBF"/>
    <w:rsid w:val="00AF37BE"/>
    <w:rsid w:val="00AF3A0F"/>
    <w:rsid w:val="00AF4D16"/>
    <w:rsid w:val="00AF5B4A"/>
    <w:rsid w:val="00AF6215"/>
    <w:rsid w:val="00AF627E"/>
    <w:rsid w:val="00AF62BE"/>
    <w:rsid w:val="00B00865"/>
    <w:rsid w:val="00B00C33"/>
    <w:rsid w:val="00B03428"/>
    <w:rsid w:val="00B035CC"/>
    <w:rsid w:val="00B04FA2"/>
    <w:rsid w:val="00B055BA"/>
    <w:rsid w:val="00B06606"/>
    <w:rsid w:val="00B068D9"/>
    <w:rsid w:val="00B06E83"/>
    <w:rsid w:val="00B103CA"/>
    <w:rsid w:val="00B106B7"/>
    <w:rsid w:val="00B112E2"/>
    <w:rsid w:val="00B11D00"/>
    <w:rsid w:val="00B12191"/>
    <w:rsid w:val="00B121AC"/>
    <w:rsid w:val="00B12723"/>
    <w:rsid w:val="00B14087"/>
    <w:rsid w:val="00B147FD"/>
    <w:rsid w:val="00B222AD"/>
    <w:rsid w:val="00B23CE0"/>
    <w:rsid w:val="00B24B9B"/>
    <w:rsid w:val="00B25766"/>
    <w:rsid w:val="00B26878"/>
    <w:rsid w:val="00B268F6"/>
    <w:rsid w:val="00B27085"/>
    <w:rsid w:val="00B300F6"/>
    <w:rsid w:val="00B30F78"/>
    <w:rsid w:val="00B314BB"/>
    <w:rsid w:val="00B316E7"/>
    <w:rsid w:val="00B335B2"/>
    <w:rsid w:val="00B33696"/>
    <w:rsid w:val="00B33B79"/>
    <w:rsid w:val="00B34418"/>
    <w:rsid w:val="00B3452A"/>
    <w:rsid w:val="00B34D0B"/>
    <w:rsid w:val="00B34F64"/>
    <w:rsid w:val="00B3602B"/>
    <w:rsid w:val="00B36A29"/>
    <w:rsid w:val="00B37CF6"/>
    <w:rsid w:val="00B439EC"/>
    <w:rsid w:val="00B45E08"/>
    <w:rsid w:val="00B460A3"/>
    <w:rsid w:val="00B46B69"/>
    <w:rsid w:val="00B50334"/>
    <w:rsid w:val="00B50903"/>
    <w:rsid w:val="00B50D2D"/>
    <w:rsid w:val="00B51E8B"/>
    <w:rsid w:val="00B522B8"/>
    <w:rsid w:val="00B5302B"/>
    <w:rsid w:val="00B53061"/>
    <w:rsid w:val="00B5338E"/>
    <w:rsid w:val="00B53BD7"/>
    <w:rsid w:val="00B541B1"/>
    <w:rsid w:val="00B54266"/>
    <w:rsid w:val="00B5448A"/>
    <w:rsid w:val="00B5561F"/>
    <w:rsid w:val="00B55F0E"/>
    <w:rsid w:val="00B560D1"/>
    <w:rsid w:val="00B5620C"/>
    <w:rsid w:val="00B56D08"/>
    <w:rsid w:val="00B620E3"/>
    <w:rsid w:val="00B6527B"/>
    <w:rsid w:val="00B65C8E"/>
    <w:rsid w:val="00B661E3"/>
    <w:rsid w:val="00B71BFE"/>
    <w:rsid w:val="00B738C0"/>
    <w:rsid w:val="00B749C3"/>
    <w:rsid w:val="00B74FB8"/>
    <w:rsid w:val="00B750F3"/>
    <w:rsid w:val="00B80087"/>
    <w:rsid w:val="00B816CE"/>
    <w:rsid w:val="00B816ED"/>
    <w:rsid w:val="00B81966"/>
    <w:rsid w:val="00B8237F"/>
    <w:rsid w:val="00B827FF"/>
    <w:rsid w:val="00B8395A"/>
    <w:rsid w:val="00B8445D"/>
    <w:rsid w:val="00B846E1"/>
    <w:rsid w:val="00B85F8E"/>
    <w:rsid w:val="00B86CFD"/>
    <w:rsid w:val="00B871FF"/>
    <w:rsid w:val="00B9000E"/>
    <w:rsid w:val="00B9010E"/>
    <w:rsid w:val="00B9061C"/>
    <w:rsid w:val="00B90A67"/>
    <w:rsid w:val="00B916B4"/>
    <w:rsid w:val="00B9199C"/>
    <w:rsid w:val="00B91E44"/>
    <w:rsid w:val="00B93351"/>
    <w:rsid w:val="00B93D20"/>
    <w:rsid w:val="00B93FAF"/>
    <w:rsid w:val="00B94054"/>
    <w:rsid w:val="00B95984"/>
    <w:rsid w:val="00B95BA3"/>
    <w:rsid w:val="00B95CFD"/>
    <w:rsid w:val="00B96411"/>
    <w:rsid w:val="00B96AC7"/>
    <w:rsid w:val="00B96DBD"/>
    <w:rsid w:val="00B9744A"/>
    <w:rsid w:val="00BA0B82"/>
    <w:rsid w:val="00BA0D89"/>
    <w:rsid w:val="00BA1FBA"/>
    <w:rsid w:val="00BA4ADE"/>
    <w:rsid w:val="00BA5871"/>
    <w:rsid w:val="00BA61AF"/>
    <w:rsid w:val="00BA6C14"/>
    <w:rsid w:val="00BA6C89"/>
    <w:rsid w:val="00BA7A12"/>
    <w:rsid w:val="00BB1B52"/>
    <w:rsid w:val="00BB250F"/>
    <w:rsid w:val="00BB508B"/>
    <w:rsid w:val="00BC0770"/>
    <w:rsid w:val="00BC17B0"/>
    <w:rsid w:val="00BC2074"/>
    <w:rsid w:val="00BC3D7F"/>
    <w:rsid w:val="00BC46FA"/>
    <w:rsid w:val="00BC4D9C"/>
    <w:rsid w:val="00BC622C"/>
    <w:rsid w:val="00BC6302"/>
    <w:rsid w:val="00BC68D3"/>
    <w:rsid w:val="00BD0813"/>
    <w:rsid w:val="00BD241F"/>
    <w:rsid w:val="00BD403D"/>
    <w:rsid w:val="00BD4672"/>
    <w:rsid w:val="00BD5C05"/>
    <w:rsid w:val="00BD7002"/>
    <w:rsid w:val="00BD74D5"/>
    <w:rsid w:val="00BE0744"/>
    <w:rsid w:val="00BE0F2D"/>
    <w:rsid w:val="00BE2D11"/>
    <w:rsid w:val="00BE32DB"/>
    <w:rsid w:val="00BE3C7B"/>
    <w:rsid w:val="00BE4BCD"/>
    <w:rsid w:val="00BE619A"/>
    <w:rsid w:val="00BF0189"/>
    <w:rsid w:val="00BF0AA4"/>
    <w:rsid w:val="00BF10C3"/>
    <w:rsid w:val="00BF1876"/>
    <w:rsid w:val="00BF2438"/>
    <w:rsid w:val="00BF2B7D"/>
    <w:rsid w:val="00BF2E42"/>
    <w:rsid w:val="00BF6211"/>
    <w:rsid w:val="00BF6512"/>
    <w:rsid w:val="00BF7BBB"/>
    <w:rsid w:val="00C0043D"/>
    <w:rsid w:val="00C01281"/>
    <w:rsid w:val="00C0200B"/>
    <w:rsid w:val="00C0427F"/>
    <w:rsid w:val="00C102B5"/>
    <w:rsid w:val="00C12079"/>
    <w:rsid w:val="00C120CA"/>
    <w:rsid w:val="00C136EA"/>
    <w:rsid w:val="00C14296"/>
    <w:rsid w:val="00C148C1"/>
    <w:rsid w:val="00C16BEF"/>
    <w:rsid w:val="00C16FE9"/>
    <w:rsid w:val="00C2010F"/>
    <w:rsid w:val="00C211AB"/>
    <w:rsid w:val="00C23138"/>
    <w:rsid w:val="00C235CA"/>
    <w:rsid w:val="00C24D66"/>
    <w:rsid w:val="00C25A89"/>
    <w:rsid w:val="00C25CB9"/>
    <w:rsid w:val="00C269BD"/>
    <w:rsid w:val="00C27641"/>
    <w:rsid w:val="00C27A39"/>
    <w:rsid w:val="00C30161"/>
    <w:rsid w:val="00C30975"/>
    <w:rsid w:val="00C318A5"/>
    <w:rsid w:val="00C319BF"/>
    <w:rsid w:val="00C32E7A"/>
    <w:rsid w:val="00C333D3"/>
    <w:rsid w:val="00C35A51"/>
    <w:rsid w:val="00C35B1E"/>
    <w:rsid w:val="00C35E4A"/>
    <w:rsid w:val="00C3682B"/>
    <w:rsid w:val="00C422BC"/>
    <w:rsid w:val="00C42B47"/>
    <w:rsid w:val="00C44BBE"/>
    <w:rsid w:val="00C469A4"/>
    <w:rsid w:val="00C502A6"/>
    <w:rsid w:val="00C507C3"/>
    <w:rsid w:val="00C50C32"/>
    <w:rsid w:val="00C52188"/>
    <w:rsid w:val="00C5358D"/>
    <w:rsid w:val="00C547D4"/>
    <w:rsid w:val="00C5597D"/>
    <w:rsid w:val="00C56AB8"/>
    <w:rsid w:val="00C56D03"/>
    <w:rsid w:val="00C607F8"/>
    <w:rsid w:val="00C60CB8"/>
    <w:rsid w:val="00C61603"/>
    <w:rsid w:val="00C62BBB"/>
    <w:rsid w:val="00C6302E"/>
    <w:rsid w:val="00C63066"/>
    <w:rsid w:val="00C63B3B"/>
    <w:rsid w:val="00C63E02"/>
    <w:rsid w:val="00C64AD3"/>
    <w:rsid w:val="00C66A8B"/>
    <w:rsid w:val="00C67D93"/>
    <w:rsid w:val="00C72F1D"/>
    <w:rsid w:val="00C731E2"/>
    <w:rsid w:val="00C731E8"/>
    <w:rsid w:val="00C741E8"/>
    <w:rsid w:val="00C75AAF"/>
    <w:rsid w:val="00C760FA"/>
    <w:rsid w:val="00C770B0"/>
    <w:rsid w:val="00C80108"/>
    <w:rsid w:val="00C80466"/>
    <w:rsid w:val="00C832E2"/>
    <w:rsid w:val="00C83B2F"/>
    <w:rsid w:val="00C83DF8"/>
    <w:rsid w:val="00C84278"/>
    <w:rsid w:val="00C858E0"/>
    <w:rsid w:val="00C858FA"/>
    <w:rsid w:val="00C868B7"/>
    <w:rsid w:val="00C8699C"/>
    <w:rsid w:val="00C86A37"/>
    <w:rsid w:val="00C877DB"/>
    <w:rsid w:val="00C87B2F"/>
    <w:rsid w:val="00C91692"/>
    <w:rsid w:val="00C91B5E"/>
    <w:rsid w:val="00C925C6"/>
    <w:rsid w:val="00C93FB1"/>
    <w:rsid w:val="00C94554"/>
    <w:rsid w:val="00C945DD"/>
    <w:rsid w:val="00C94B4A"/>
    <w:rsid w:val="00C95596"/>
    <w:rsid w:val="00C955F0"/>
    <w:rsid w:val="00C97298"/>
    <w:rsid w:val="00CA0DC9"/>
    <w:rsid w:val="00CA391F"/>
    <w:rsid w:val="00CA3A69"/>
    <w:rsid w:val="00CA403C"/>
    <w:rsid w:val="00CA4086"/>
    <w:rsid w:val="00CA43A1"/>
    <w:rsid w:val="00CA497E"/>
    <w:rsid w:val="00CA4E97"/>
    <w:rsid w:val="00CA5249"/>
    <w:rsid w:val="00CA6B12"/>
    <w:rsid w:val="00CB0BB9"/>
    <w:rsid w:val="00CB0BBA"/>
    <w:rsid w:val="00CB2DEC"/>
    <w:rsid w:val="00CB3A24"/>
    <w:rsid w:val="00CB3CDC"/>
    <w:rsid w:val="00CB41C7"/>
    <w:rsid w:val="00CB59D1"/>
    <w:rsid w:val="00CB5A61"/>
    <w:rsid w:val="00CB5E95"/>
    <w:rsid w:val="00CB6748"/>
    <w:rsid w:val="00CB74E9"/>
    <w:rsid w:val="00CC0583"/>
    <w:rsid w:val="00CC0F54"/>
    <w:rsid w:val="00CC36E5"/>
    <w:rsid w:val="00CC3D0D"/>
    <w:rsid w:val="00CC6DC1"/>
    <w:rsid w:val="00CC6FA2"/>
    <w:rsid w:val="00CC7FE7"/>
    <w:rsid w:val="00CD003A"/>
    <w:rsid w:val="00CD0F8A"/>
    <w:rsid w:val="00CD23DC"/>
    <w:rsid w:val="00CD2407"/>
    <w:rsid w:val="00CD24FA"/>
    <w:rsid w:val="00CD27C9"/>
    <w:rsid w:val="00CD3039"/>
    <w:rsid w:val="00CD33C4"/>
    <w:rsid w:val="00CD4035"/>
    <w:rsid w:val="00CD4424"/>
    <w:rsid w:val="00CD4ED3"/>
    <w:rsid w:val="00CD5730"/>
    <w:rsid w:val="00CD5B9E"/>
    <w:rsid w:val="00CD70D4"/>
    <w:rsid w:val="00CE17A5"/>
    <w:rsid w:val="00CE1A6F"/>
    <w:rsid w:val="00CE3BC3"/>
    <w:rsid w:val="00CE44C5"/>
    <w:rsid w:val="00CE4E5E"/>
    <w:rsid w:val="00CE5DC7"/>
    <w:rsid w:val="00CE6135"/>
    <w:rsid w:val="00CE69FC"/>
    <w:rsid w:val="00CE6D6D"/>
    <w:rsid w:val="00CE7FCB"/>
    <w:rsid w:val="00CF025D"/>
    <w:rsid w:val="00CF1AF7"/>
    <w:rsid w:val="00CF1C3C"/>
    <w:rsid w:val="00CF1EE9"/>
    <w:rsid w:val="00CF1F0A"/>
    <w:rsid w:val="00CF243D"/>
    <w:rsid w:val="00CF311D"/>
    <w:rsid w:val="00CF315C"/>
    <w:rsid w:val="00CF3735"/>
    <w:rsid w:val="00CF561E"/>
    <w:rsid w:val="00CF63A8"/>
    <w:rsid w:val="00CF6520"/>
    <w:rsid w:val="00CF65CD"/>
    <w:rsid w:val="00CF7499"/>
    <w:rsid w:val="00CF7B71"/>
    <w:rsid w:val="00D016C5"/>
    <w:rsid w:val="00D0176F"/>
    <w:rsid w:val="00D0366F"/>
    <w:rsid w:val="00D044DD"/>
    <w:rsid w:val="00D051DE"/>
    <w:rsid w:val="00D05FE8"/>
    <w:rsid w:val="00D1044D"/>
    <w:rsid w:val="00D105D7"/>
    <w:rsid w:val="00D10A67"/>
    <w:rsid w:val="00D11503"/>
    <w:rsid w:val="00D12F28"/>
    <w:rsid w:val="00D1409A"/>
    <w:rsid w:val="00D14796"/>
    <w:rsid w:val="00D15457"/>
    <w:rsid w:val="00D16078"/>
    <w:rsid w:val="00D1613E"/>
    <w:rsid w:val="00D16D7D"/>
    <w:rsid w:val="00D170F9"/>
    <w:rsid w:val="00D17510"/>
    <w:rsid w:val="00D177B2"/>
    <w:rsid w:val="00D17ACB"/>
    <w:rsid w:val="00D20077"/>
    <w:rsid w:val="00D207F0"/>
    <w:rsid w:val="00D20D58"/>
    <w:rsid w:val="00D21628"/>
    <w:rsid w:val="00D22156"/>
    <w:rsid w:val="00D22EE6"/>
    <w:rsid w:val="00D23445"/>
    <w:rsid w:val="00D24DB0"/>
    <w:rsid w:val="00D26DEE"/>
    <w:rsid w:val="00D26EB7"/>
    <w:rsid w:val="00D308D9"/>
    <w:rsid w:val="00D30DD9"/>
    <w:rsid w:val="00D312B7"/>
    <w:rsid w:val="00D31DB5"/>
    <w:rsid w:val="00D32CB2"/>
    <w:rsid w:val="00D34226"/>
    <w:rsid w:val="00D349D1"/>
    <w:rsid w:val="00D34AA7"/>
    <w:rsid w:val="00D34E51"/>
    <w:rsid w:val="00D4229E"/>
    <w:rsid w:val="00D428D9"/>
    <w:rsid w:val="00D4379E"/>
    <w:rsid w:val="00D45D00"/>
    <w:rsid w:val="00D46810"/>
    <w:rsid w:val="00D52213"/>
    <w:rsid w:val="00D5513A"/>
    <w:rsid w:val="00D57042"/>
    <w:rsid w:val="00D572EB"/>
    <w:rsid w:val="00D61214"/>
    <w:rsid w:val="00D61F41"/>
    <w:rsid w:val="00D620B7"/>
    <w:rsid w:val="00D62C77"/>
    <w:rsid w:val="00D62DA7"/>
    <w:rsid w:val="00D64846"/>
    <w:rsid w:val="00D65068"/>
    <w:rsid w:val="00D66B1F"/>
    <w:rsid w:val="00D679CF"/>
    <w:rsid w:val="00D679DE"/>
    <w:rsid w:val="00D67D22"/>
    <w:rsid w:val="00D7081E"/>
    <w:rsid w:val="00D708A6"/>
    <w:rsid w:val="00D71CDC"/>
    <w:rsid w:val="00D726E8"/>
    <w:rsid w:val="00D73C27"/>
    <w:rsid w:val="00D743B6"/>
    <w:rsid w:val="00D74957"/>
    <w:rsid w:val="00D76589"/>
    <w:rsid w:val="00D76E99"/>
    <w:rsid w:val="00D77F94"/>
    <w:rsid w:val="00D80059"/>
    <w:rsid w:val="00D8072E"/>
    <w:rsid w:val="00D81B3B"/>
    <w:rsid w:val="00D81BA3"/>
    <w:rsid w:val="00D827C0"/>
    <w:rsid w:val="00D82FFA"/>
    <w:rsid w:val="00D838AE"/>
    <w:rsid w:val="00D84113"/>
    <w:rsid w:val="00D8566F"/>
    <w:rsid w:val="00D86132"/>
    <w:rsid w:val="00D92DC5"/>
    <w:rsid w:val="00D92E2E"/>
    <w:rsid w:val="00D931EF"/>
    <w:rsid w:val="00D9347B"/>
    <w:rsid w:val="00D94F12"/>
    <w:rsid w:val="00D9663C"/>
    <w:rsid w:val="00D974A5"/>
    <w:rsid w:val="00DA18FD"/>
    <w:rsid w:val="00DA1A87"/>
    <w:rsid w:val="00DA1C37"/>
    <w:rsid w:val="00DB0972"/>
    <w:rsid w:val="00DB2075"/>
    <w:rsid w:val="00DB2C3F"/>
    <w:rsid w:val="00DB34BD"/>
    <w:rsid w:val="00DB525D"/>
    <w:rsid w:val="00DB55B9"/>
    <w:rsid w:val="00DB5CC4"/>
    <w:rsid w:val="00DB6BC1"/>
    <w:rsid w:val="00DB6EE5"/>
    <w:rsid w:val="00DB6F58"/>
    <w:rsid w:val="00DC1119"/>
    <w:rsid w:val="00DC11ED"/>
    <w:rsid w:val="00DC138C"/>
    <w:rsid w:val="00DC2413"/>
    <w:rsid w:val="00DC25D9"/>
    <w:rsid w:val="00DC3CE7"/>
    <w:rsid w:val="00DC5857"/>
    <w:rsid w:val="00DC69CD"/>
    <w:rsid w:val="00DC6B2E"/>
    <w:rsid w:val="00DC739A"/>
    <w:rsid w:val="00DC73D2"/>
    <w:rsid w:val="00DD14BE"/>
    <w:rsid w:val="00DD1F3A"/>
    <w:rsid w:val="00DD29DC"/>
    <w:rsid w:val="00DD2EC0"/>
    <w:rsid w:val="00DD49D7"/>
    <w:rsid w:val="00DD4E93"/>
    <w:rsid w:val="00DD4F5E"/>
    <w:rsid w:val="00DD5B2E"/>
    <w:rsid w:val="00DD5BBB"/>
    <w:rsid w:val="00DD6140"/>
    <w:rsid w:val="00DD7709"/>
    <w:rsid w:val="00DD7AC1"/>
    <w:rsid w:val="00DE09D9"/>
    <w:rsid w:val="00DE1C54"/>
    <w:rsid w:val="00DE1CE0"/>
    <w:rsid w:val="00DE1E73"/>
    <w:rsid w:val="00DE1FE6"/>
    <w:rsid w:val="00DE20BB"/>
    <w:rsid w:val="00DE21DD"/>
    <w:rsid w:val="00DE2430"/>
    <w:rsid w:val="00DE253B"/>
    <w:rsid w:val="00DE30A8"/>
    <w:rsid w:val="00DE3AFA"/>
    <w:rsid w:val="00DE3D96"/>
    <w:rsid w:val="00DE63F9"/>
    <w:rsid w:val="00DE6CA4"/>
    <w:rsid w:val="00DF1A83"/>
    <w:rsid w:val="00DF2372"/>
    <w:rsid w:val="00DF238C"/>
    <w:rsid w:val="00DF2A87"/>
    <w:rsid w:val="00DF4393"/>
    <w:rsid w:val="00DF456F"/>
    <w:rsid w:val="00DF774E"/>
    <w:rsid w:val="00DF7AE3"/>
    <w:rsid w:val="00E0131C"/>
    <w:rsid w:val="00E01C45"/>
    <w:rsid w:val="00E021E3"/>
    <w:rsid w:val="00E02C5C"/>
    <w:rsid w:val="00E04447"/>
    <w:rsid w:val="00E04712"/>
    <w:rsid w:val="00E059B6"/>
    <w:rsid w:val="00E06970"/>
    <w:rsid w:val="00E0791F"/>
    <w:rsid w:val="00E079CA"/>
    <w:rsid w:val="00E1167F"/>
    <w:rsid w:val="00E1177B"/>
    <w:rsid w:val="00E1197B"/>
    <w:rsid w:val="00E127C5"/>
    <w:rsid w:val="00E13ABF"/>
    <w:rsid w:val="00E159BA"/>
    <w:rsid w:val="00E15CA5"/>
    <w:rsid w:val="00E1606C"/>
    <w:rsid w:val="00E2026A"/>
    <w:rsid w:val="00E209BA"/>
    <w:rsid w:val="00E20A2C"/>
    <w:rsid w:val="00E22258"/>
    <w:rsid w:val="00E251B6"/>
    <w:rsid w:val="00E30ADD"/>
    <w:rsid w:val="00E313DA"/>
    <w:rsid w:val="00E32A95"/>
    <w:rsid w:val="00E33BE9"/>
    <w:rsid w:val="00E34923"/>
    <w:rsid w:val="00E34CA5"/>
    <w:rsid w:val="00E35CF7"/>
    <w:rsid w:val="00E35E89"/>
    <w:rsid w:val="00E363C5"/>
    <w:rsid w:val="00E36862"/>
    <w:rsid w:val="00E376B5"/>
    <w:rsid w:val="00E404F9"/>
    <w:rsid w:val="00E407AF"/>
    <w:rsid w:val="00E40ECC"/>
    <w:rsid w:val="00E414CC"/>
    <w:rsid w:val="00E434CF"/>
    <w:rsid w:val="00E4491D"/>
    <w:rsid w:val="00E45068"/>
    <w:rsid w:val="00E467E7"/>
    <w:rsid w:val="00E506CC"/>
    <w:rsid w:val="00E50F60"/>
    <w:rsid w:val="00E515DC"/>
    <w:rsid w:val="00E5228F"/>
    <w:rsid w:val="00E539E7"/>
    <w:rsid w:val="00E55B03"/>
    <w:rsid w:val="00E5792D"/>
    <w:rsid w:val="00E57FB9"/>
    <w:rsid w:val="00E60700"/>
    <w:rsid w:val="00E616E9"/>
    <w:rsid w:val="00E6203B"/>
    <w:rsid w:val="00E622B7"/>
    <w:rsid w:val="00E64C6A"/>
    <w:rsid w:val="00E66BA4"/>
    <w:rsid w:val="00E66F0F"/>
    <w:rsid w:val="00E67EEE"/>
    <w:rsid w:val="00E7095D"/>
    <w:rsid w:val="00E71F2C"/>
    <w:rsid w:val="00E7215A"/>
    <w:rsid w:val="00E72FFF"/>
    <w:rsid w:val="00E73A48"/>
    <w:rsid w:val="00E75EAB"/>
    <w:rsid w:val="00E764E4"/>
    <w:rsid w:val="00E76D99"/>
    <w:rsid w:val="00E76EA0"/>
    <w:rsid w:val="00E77211"/>
    <w:rsid w:val="00E80CC5"/>
    <w:rsid w:val="00E81C9F"/>
    <w:rsid w:val="00E81CC9"/>
    <w:rsid w:val="00E825CA"/>
    <w:rsid w:val="00E83FE0"/>
    <w:rsid w:val="00E84118"/>
    <w:rsid w:val="00E84B8C"/>
    <w:rsid w:val="00E857E0"/>
    <w:rsid w:val="00E86979"/>
    <w:rsid w:val="00E86BDC"/>
    <w:rsid w:val="00E901D9"/>
    <w:rsid w:val="00E909DE"/>
    <w:rsid w:val="00E90AFF"/>
    <w:rsid w:val="00E91D5C"/>
    <w:rsid w:val="00E92EF9"/>
    <w:rsid w:val="00E941DB"/>
    <w:rsid w:val="00E951DC"/>
    <w:rsid w:val="00E956D2"/>
    <w:rsid w:val="00E95956"/>
    <w:rsid w:val="00E96649"/>
    <w:rsid w:val="00EA091B"/>
    <w:rsid w:val="00EA1519"/>
    <w:rsid w:val="00EA15BD"/>
    <w:rsid w:val="00EA1D11"/>
    <w:rsid w:val="00EA2050"/>
    <w:rsid w:val="00EA3214"/>
    <w:rsid w:val="00EA39CB"/>
    <w:rsid w:val="00EA5D4D"/>
    <w:rsid w:val="00EA5DB3"/>
    <w:rsid w:val="00EA6360"/>
    <w:rsid w:val="00EB0407"/>
    <w:rsid w:val="00EB0536"/>
    <w:rsid w:val="00EB2587"/>
    <w:rsid w:val="00EB3039"/>
    <w:rsid w:val="00EB3E40"/>
    <w:rsid w:val="00EB42A8"/>
    <w:rsid w:val="00EB5342"/>
    <w:rsid w:val="00EB5601"/>
    <w:rsid w:val="00EB5C8C"/>
    <w:rsid w:val="00EB70D9"/>
    <w:rsid w:val="00EC0561"/>
    <w:rsid w:val="00EC0AF8"/>
    <w:rsid w:val="00EC4875"/>
    <w:rsid w:val="00EC48F0"/>
    <w:rsid w:val="00EC501A"/>
    <w:rsid w:val="00EC526F"/>
    <w:rsid w:val="00EC5C01"/>
    <w:rsid w:val="00EC6357"/>
    <w:rsid w:val="00ED0A75"/>
    <w:rsid w:val="00ED1E32"/>
    <w:rsid w:val="00ED1ED5"/>
    <w:rsid w:val="00ED265C"/>
    <w:rsid w:val="00ED3524"/>
    <w:rsid w:val="00ED3B95"/>
    <w:rsid w:val="00ED5F28"/>
    <w:rsid w:val="00EE1DA0"/>
    <w:rsid w:val="00EE3629"/>
    <w:rsid w:val="00EE3991"/>
    <w:rsid w:val="00EE3F39"/>
    <w:rsid w:val="00EE636B"/>
    <w:rsid w:val="00EE71C3"/>
    <w:rsid w:val="00EE7C2D"/>
    <w:rsid w:val="00EF08E3"/>
    <w:rsid w:val="00EF16EC"/>
    <w:rsid w:val="00EF21D2"/>
    <w:rsid w:val="00EF22E3"/>
    <w:rsid w:val="00EF2E4D"/>
    <w:rsid w:val="00EF3427"/>
    <w:rsid w:val="00EF3508"/>
    <w:rsid w:val="00EF3B06"/>
    <w:rsid w:val="00EF5074"/>
    <w:rsid w:val="00EF7AEF"/>
    <w:rsid w:val="00F020F8"/>
    <w:rsid w:val="00F0278D"/>
    <w:rsid w:val="00F03157"/>
    <w:rsid w:val="00F04FAC"/>
    <w:rsid w:val="00F0631A"/>
    <w:rsid w:val="00F06E19"/>
    <w:rsid w:val="00F07257"/>
    <w:rsid w:val="00F10410"/>
    <w:rsid w:val="00F104BC"/>
    <w:rsid w:val="00F10924"/>
    <w:rsid w:val="00F11F4D"/>
    <w:rsid w:val="00F1282F"/>
    <w:rsid w:val="00F13EA7"/>
    <w:rsid w:val="00F147C3"/>
    <w:rsid w:val="00F1548E"/>
    <w:rsid w:val="00F15CEC"/>
    <w:rsid w:val="00F16569"/>
    <w:rsid w:val="00F169B5"/>
    <w:rsid w:val="00F178DE"/>
    <w:rsid w:val="00F17EF3"/>
    <w:rsid w:val="00F20726"/>
    <w:rsid w:val="00F22552"/>
    <w:rsid w:val="00F22B1D"/>
    <w:rsid w:val="00F247A3"/>
    <w:rsid w:val="00F256D2"/>
    <w:rsid w:val="00F26779"/>
    <w:rsid w:val="00F26AFA"/>
    <w:rsid w:val="00F31ECF"/>
    <w:rsid w:val="00F34445"/>
    <w:rsid w:val="00F34BA8"/>
    <w:rsid w:val="00F35839"/>
    <w:rsid w:val="00F35EBD"/>
    <w:rsid w:val="00F40B38"/>
    <w:rsid w:val="00F40F97"/>
    <w:rsid w:val="00F419EF"/>
    <w:rsid w:val="00F425AD"/>
    <w:rsid w:val="00F43209"/>
    <w:rsid w:val="00F444B7"/>
    <w:rsid w:val="00F4460D"/>
    <w:rsid w:val="00F45304"/>
    <w:rsid w:val="00F457A0"/>
    <w:rsid w:val="00F45C39"/>
    <w:rsid w:val="00F46AB9"/>
    <w:rsid w:val="00F46B5A"/>
    <w:rsid w:val="00F46CC7"/>
    <w:rsid w:val="00F47A02"/>
    <w:rsid w:val="00F50E71"/>
    <w:rsid w:val="00F519E6"/>
    <w:rsid w:val="00F521F1"/>
    <w:rsid w:val="00F525C2"/>
    <w:rsid w:val="00F52633"/>
    <w:rsid w:val="00F53DC4"/>
    <w:rsid w:val="00F560AC"/>
    <w:rsid w:val="00F57032"/>
    <w:rsid w:val="00F6104A"/>
    <w:rsid w:val="00F61C36"/>
    <w:rsid w:val="00F6377F"/>
    <w:rsid w:val="00F63934"/>
    <w:rsid w:val="00F640E5"/>
    <w:rsid w:val="00F65292"/>
    <w:rsid w:val="00F6552F"/>
    <w:rsid w:val="00F65EFA"/>
    <w:rsid w:val="00F66234"/>
    <w:rsid w:val="00F725F5"/>
    <w:rsid w:val="00F7361B"/>
    <w:rsid w:val="00F74224"/>
    <w:rsid w:val="00F743E3"/>
    <w:rsid w:val="00F747D1"/>
    <w:rsid w:val="00F74E68"/>
    <w:rsid w:val="00F75CA3"/>
    <w:rsid w:val="00F76488"/>
    <w:rsid w:val="00F76B77"/>
    <w:rsid w:val="00F76D57"/>
    <w:rsid w:val="00F76DED"/>
    <w:rsid w:val="00F80238"/>
    <w:rsid w:val="00F827C3"/>
    <w:rsid w:val="00F82880"/>
    <w:rsid w:val="00F8297A"/>
    <w:rsid w:val="00F829C7"/>
    <w:rsid w:val="00F83572"/>
    <w:rsid w:val="00F8357C"/>
    <w:rsid w:val="00F85E4C"/>
    <w:rsid w:val="00F86215"/>
    <w:rsid w:val="00F86688"/>
    <w:rsid w:val="00F8713D"/>
    <w:rsid w:val="00F875C5"/>
    <w:rsid w:val="00F87ECD"/>
    <w:rsid w:val="00F90B68"/>
    <w:rsid w:val="00F90F6E"/>
    <w:rsid w:val="00F91888"/>
    <w:rsid w:val="00F91ECD"/>
    <w:rsid w:val="00F9344E"/>
    <w:rsid w:val="00F93979"/>
    <w:rsid w:val="00F94603"/>
    <w:rsid w:val="00F947AE"/>
    <w:rsid w:val="00F94EF4"/>
    <w:rsid w:val="00F94FD6"/>
    <w:rsid w:val="00F96583"/>
    <w:rsid w:val="00F96D04"/>
    <w:rsid w:val="00FA0A5E"/>
    <w:rsid w:val="00FA183C"/>
    <w:rsid w:val="00FA1C4A"/>
    <w:rsid w:val="00FA1EE1"/>
    <w:rsid w:val="00FA3625"/>
    <w:rsid w:val="00FA3FBD"/>
    <w:rsid w:val="00FA4ED1"/>
    <w:rsid w:val="00FA61F0"/>
    <w:rsid w:val="00FA64DA"/>
    <w:rsid w:val="00FA652A"/>
    <w:rsid w:val="00FA7D7E"/>
    <w:rsid w:val="00FB41C3"/>
    <w:rsid w:val="00FB4C0B"/>
    <w:rsid w:val="00FB4EF7"/>
    <w:rsid w:val="00FB5BF5"/>
    <w:rsid w:val="00FB5EDF"/>
    <w:rsid w:val="00FB6C47"/>
    <w:rsid w:val="00FB702E"/>
    <w:rsid w:val="00FB7E2B"/>
    <w:rsid w:val="00FC0A1A"/>
    <w:rsid w:val="00FC0BD7"/>
    <w:rsid w:val="00FC1729"/>
    <w:rsid w:val="00FC21E2"/>
    <w:rsid w:val="00FC286F"/>
    <w:rsid w:val="00FC2995"/>
    <w:rsid w:val="00FC345F"/>
    <w:rsid w:val="00FC3932"/>
    <w:rsid w:val="00FC4B72"/>
    <w:rsid w:val="00FC4D89"/>
    <w:rsid w:val="00FC5206"/>
    <w:rsid w:val="00FC63C2"/>
    <w:rsid w:val="00FC687F"/>
    <w:rsid w:val="00FC749A"/>
    <w:rsid w:val="00FD028C"/>
    <w:rsid w:val="00FD0952"/>
    <w:rsid w:val="00FD2217"/>
    <w:rsid w:val="00FD2225"/>
    <w:rsid w:val="00FD323B"/>
    <w:rsid w:val="00FD4477"/>
    <w:rsid w:val="00FD4750"/>
    <w:rsid w:val="00FD5223"/>
    <w:rsid w:val="00FD5AA1"/>
    <w:rsid w:val="00FD76CC"/>
    <w:rsid w:val="00FD7796"/>
    <w:rsid w:val="00FD79D9"/>
    <w:rsid w:val="00FE01FD"/>
    <w:rsid w:val="00FE097C"/>
    <w:rsid w:val="00FE0CF9"/>
    <w:rsid w:val="00FE24E6"/>
    <w:rsid w:val="00FE25C2"/>
    <w:rsid w:val="00FE3F4D"/>
    <w:rsid w:val="00FE45A9"/>
    <w:rsid w:val="00FE5074"/>
    <w:rsid w:val="00FE5649"/>
    <w:rsid w:val="00FE5DBC"/>
    <w:rsid w:val="00FE6B88"/>
    <w:rsid w:val="00FE6FDC"/>
    <w:rsid w:val="00FE71BC"/>
    <w:rsid w:val="00FE71D7"/>
    <w:rsid w:val="00FE7C93"/>
    <w:rsid w:val="00FF014F"/>
    <w:rsid w:val="00FF03D7"/>
    <w:rsid w:val="00FF1D2C"/>
    <w:rsid w:val="00FF436C"/>
    <w:rsid w:val="00FF5086"/>
    <w:rsid w:val="00FF5505"/>
    <w:rsid w:val="00FF6451"/>
    <w:rsid w:val="00FF793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style="mso-position-vertical-relative:page;v-text-anchor:bottom" fill="f" fillcolor="white" stroke="f">
      <v:fill color="white" on="f"/>
      <v:stroke on="f"/>
      <v:textbox inset="0,0,0,0"/>
      <o:colormru v:ext="edit" colors="#ddd,#f8f8f8"/>
    </o:shapedefaults>
    <o:shapelayout v:ext="edit">
      <o:idmap v:ext="edit" data="1"/>
    </o:shapelayout>
  </w:shapeDefaults>
  <w:decimalSymbol w:val="."/>
  <w:listSeparator w:val=","/>
  <w14:docId w14:val="128DD7A6"/>
  <w15:docId w15:val="{DF447D4E-E903-4398-9666-F3DDEDFDA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qFormat="1"/>
    <w:lsdException w:name="heading 7" w:unhideWhenUsed="1" w:qFormat="1"/>
    <w:lsdException w:name="heading 8" w:unhideWhenUsed="1" w:qFormat="1"/>
    <w:lsdException w:name="heading 9" w:uiPriority="10"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locked="1" w:semiHidden="1" w:unhideWhenUsed="1"/>
    <w:lsdException w:name="footnote text" w:locked="1" w:semiHidden="1" w:uiPriority="9"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4"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9"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1"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semiHidden="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uiPriority="1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B6527B"/>
    <w:pPr>
      <w:spacing w:after="120"/>
    </w:pPr>
    <w:rPr>
      <w:rFonts w:eastAsia="Calibri"/>
      <w:color w:val="000000"/>
    </w:rPr>
  </w:style>
  <w:style w:type="paragraph" w:styleId="Heading1">
    <w:name w:val="heading 1"/>
    <w:next w:val="BodyText"/>
    <w:link w:val="Heading1Char"/>
    <w:uiPriority w:val="1"/>
    <w:qFormat/>
    <w:rsid w:val="00DC2413"/>
    <w:pPr>
      <w:keepNext/>
      <w:keepLines/>
      <w:pageBreakBefore/>
      <w:numPr>
        <w:numId w:val="14"/>
      </w:numPr>
      <w:tabs>
        <w:tab w:val="left" w:pos="1134"/>
      </w:tabs>
      <w:spacing w:after="960" w:line="480" w:lineRule="exact"/>
      <w:ind w:left="1134" w:hanging="1134"/>
      <w:outlineLvl w:val="0"/>
    </w:pPr>
    <w:rPr>
      <w:rFonts w:eastAsiaTheme="majorEastAsia" w:cstheme="majorBidi"/>
      <w:b/>
      <w:bCs/>
      <w:color w:val="00313C" w:themeColor="accent2"/>
      <w:sz w:val="44"/>
      <w:szCs w:val="28"/>
    </w:rPr>
  </w:style>
  <w:style w:type="paragraph" w:styleId="Heading2">
    <w:name w:val="heading 2"/>
    <w:basedOn w:val="Heading1"/>
    <w:next w:val="BodyText"/>
    <w:link w:val="Heading2Char"/>
    <w:uiPriority w:val="1"/>
    <w:qFormat/>
    <w:rsid w:val="00A90F41"/>
    <w:pPr>
      <w:pageBreakBefore w:val="0"/>
      <w:numPr>
        <w:ilvl w:val="1"/>
      </w:numPr>
      <w:spacing w:before="360" w:after="240" w:line="240" w:lineRule="auto"/>
      <w:ind w:left="1134" w:hanging="1134"/>
      <w:outlineLvl w:val="1"/>
    </w:pPr>
    <w:rPr>
      <w:b w:val="0"/>
      <w:sz w:val="32"/>
      <w:szCs w:val="26"/>
    </w:rPr>
  </w:style>
  <w:style w:type="paragraph" w:styleId="Heading3">
    <w:name w:val="heading 3"/>
    <w:basedOn w:val="Heading2"/>
    <w:next w:val="BodyText"/>
    <w:link w:val="Heading3Char"/>
    <w:uiPriority w:val="1"/>
    <w:qFormat/>
    <w:rsid w:val="00E71F2C"/>
    <w:pPr>
      <w:numPr>
        <w:ilvl w:val="2"/>
      </w:numPr>
      <w:ind w:left="1134" w:hanging="1134"/>
      <w:outlineLvl w:val="2"/>
    </w:pPr>
    <w:rPr>
      <w:b/>
      <w:color w:val="auto"/>
      <w:sz w:val="26"/>
    </w:rPr>
  </w:style>
  <w:style w:type="paragraph" w:styleId="Heading4">
    <w:name w:val="heading 4"/>
    <w:basedOn w:val="Heading3"/>
    <w:next w:val="BodyText"/>
    <w:link w:val="Heading4Char"/>
    <w:uiPriority w:val="1"/>
    <w:qFormat/>
    <w:rsid w:val="00D1044D"/>
    <w:pPr>
      <w:numPr>
        <w:ilvl w:val="0"/>
        <w:numId w:val="0"/>
      </w:numPr>
      <w:spacing w:before="240" w:after="120"/>
      <w:outlineLvl w:val="3"/>
    </w:pPr>
    <w:rPr>
      <w:iCs/>
      <w:color w:val="007E9A" w:themeColor="accent1" w:themeShade="BF"/>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locked/>
    <w:rsid w:val="00D1044D"/>
    <w:pPr>
      <w:spacing w:after="1080"/>
      <w:outlineLvl w:val="8"/>
    </w:pPr>
    <w:rPr>
      <w:color w:val="00313C"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DC2413"/>
    <w:rPr>
      <w:rFonts w:eastAsiaTheme="majorEastAsia" w:cstheme="majorBidi"/>
      <w:b/>
      <w:bCs/>
      <w:color w:val="00313C" w:themeColor="accent2"/>
      <w:sz w:val="44"/>
      <w:szCs w:val="28"/>
    </w:rPr>
  </w:style>
  <w:style w:type="character" w:customStyle="1" w:styleId="Heading2Char">
    <w:name w:val="Heading 2 Char"/>
    <w:basedOn w:val="DefaultParagraphFont"/>
    <w:link w:val="Heading2"/>
    <w:uiPriority w:val="1"/>
    <w:locked/>
    <w:rsid w:val="00A90F41"/>
    <w:rPr>
      <w:rFonts w:eastAsiaTheme="majorEastAsia" w:cstheme="majorBidi"/>
      <w:bCs/>
      <w:color w:val="00313C" w:themeColor="accent2"/>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D1044D"/>
    <w:rPr>
      <w:rFonts w:eastAsiaTheme="majorEastAsia" w:cstheme="majorBidi"/>
      <w:b/>
      <w:bCs/>
      <w:iCs/>
      <w:color w:val="007E9A" w:themeColor="accent1" w:themeShade="BF"/>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D1044D"/>
    <w:rPr>
      <w:rFonts w:eastAsiaTheme="majorEastAsia" w:cstheme="majorBidi"/>
      <w:b/>
      <w:bCs/>
      <w:color w:val="00313C" w:themeColor="accent2"/>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BodyText"/>
    <w:link w:val="FooterChar"/>
    <w:uiPriority w:val="99"/>
    <w:qFormat/>
    <w:rsid w:val="00DC2413"/>
    <w:pPr>
      <w:tabs>
        <w:tab w:val="center" w:pos="4513"/>
        <w:tab w:val="right" w:pos="9026"/>
      </w:tabs>
      <w:spacing w:before="0" w:line="220" w:lineRule="atLeast"/>
    </w:pPr>
    <w:rPr>
      <w:color w:val="auto"/>
      <w:sz w:val="16"/>
    </w:rPr>
  </w:style>
  <w:style w:type="character" w:customStyle="1" w:styleId="FooterChar">
    <w:name w:val="Footer Char"/>
    <w:basedOn w:val="DefaultParagraphFont"/>
    <w:link w:val="Footer"/>
    <w:uiPriority w:val="99"/>
    <w:locked/>
    <w:rsid w:val="00DC2413"/>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BodyText"/>
    <w:next w:val="BodyText"/>
    <w:uiPriority w:val="2"/>
    <w:qFormat/>
    <w:rsid w:val="00D349D1"/>
    <w:pPr>
      <w:numPr>
        <w:numId w:val="5"/>
      </w:numPr>
      <w:tabs>
        <w:tab w:val="left" w:pos="397"/>
      </w:tabs>
      <w:spacing w:before="60" w:after="60"/>
      <w:ind w:left="198" w:hanging="198"/>
    </w:pPr>
  </w:style>
  <w:style w:type="paragraph" w:styleId="ListNumber">
    <w:name w:val="List Number"/>
    <w:basedOn w:val="BodyText"/>
    <w:next w:val="BodyText"/>
    <w:uiPriority w:val="2"/>
    <w:qFormat/>
    <w:rsid w:val="00D349D1"/>
    <w:pPr>
      <w:numPr>
        <w:numId w:val="9"/>
      </w:numPr>
      <w:tabs>
        <w:tab w:val="clear" w:pos="227"/>
        <w:tab w:val="left" w:pos="397"/>
      </w:tabs>
      <w:ind w:left="397" w:hanging="397"/>
    </w:pPr>
  </w:style>
  <w:style w:type="paragraph" w:styleId="ListBullet2">
    <w:name w:val="List Bullet 2"/>
    <w:basedOn w:val="ListBullet"/>
    <w:next w:val="BodyText"/>
    <w:uiPriority w:val="2"/>
    <w:qFormat/>
    <w:rsid w:val="00D349D1"/>
    <w:pPr>
      <w:numPr>
        <w:ilvl w:val="1"/>
      </w:numPr>
      <w:tabs>
        <w:tab w:val="clear" w:pos="397"/>
        <w:tab w:val="left" w:pos="794"/>
      </w:tabs>
      <w:ind w:left="794" w:hanging="357"/>
    </w:pPr>
  </w:style>
  <w:style w:type="paragraph" w:styleId="TOC1">
    <w:name w:val="toc 1"/>
    <w:basedOn w:val="BodyText"/>
    <w:next w:val="TOC2"/>
    <w:uiPriority w:val="39"/>
    <w:unhideWhenUsed/>
    <w:rsid w:val="00DC2413"/>
    <w:pPr>
      <w:pBdr>
        <w:top w:val="single" w:sz="4" w:space="1" w:color="00313C" w:themeColor="accent2"/>
        <w:left w:val="single" w:sz="4" w:space="4" w:color="00313C" w:themeColor="accent2"/>
        <w:bottom w:val="single" w:sz="4" w:space="1" w:color="00313C" w:themeColor="accent2"/>
        <w:right w:val="single" w:sz="4" w:space="4" w:color="00313C" w:themeColor="accent2"/>
      </w:pBdr>
      <w:shd w:val="clear" w:color="auto" w:fill="00313C" w:themeFill="accent2"/>
      <w:tabs>
        <w:tab w:val="left" w:pos="737"/>
        <w:tab w:val="right" w:pos="9639"/>
      </w:tabs>
      <w:spacing w:before="240" w:after="180"/>
    </w:pPr>
    <w:rPr>
      <w:b/>
      <w:noProof/>
      <w:color w:val="FFFFFF"/>
    </w:rPr>
  </w:style>
  <w:style w:type="paragraph" w:styleId="TOC2">
    <w:name w:val="toc 2"/>
    <w:basedOn w:val="BodyText"/>
    <w:uiPriority w:val="39"/>
    <w:unhideWhenUsed/>
    <w:rsid w:val="00A23FE4"/>
    <w:pPr>
      <w:tabs>
        <w:tab w:val="left" w:pos="737"/>
        <w:tab w:val="left" w:pos="1531"/>
        <w:tab w:val="right" w:leader="dot" w:pos="9639"/>
      </w:tabs>
      <w:ind w:right="284"/>
    </w:pPr>
    <w:rPr>
      <w:noProof/>
      <w:color w:val="00313C" w:themeColor="accent2"/>
    </w:rPr>
  </w:style>
  <w:style w:type="table" w:styleId="TableGrid">
    <w:name w:val="Table Grid"/>
    <w:basedOn w:val="TableNormal"/>
    <w:uiPriority w:val="9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rsid w:val="00A23FE4"/>
    <w:pPr>
      <w:tabs>
        <w:tab w:val="left" w:pos="1531"/>
        <w:tab w:val="right" w:leader="dot" w:pos="9639"/>
      </w:tabs>
      <w:spacing w:before="60"/>
      <w:ind w:left="737" w:right="284"/>
    </w:pPr>
    <w:rPr>
      <w:color w:val="00313C" w:themeColor="accent2"/>
    </w:rPr>
  </w:style>
  <w:style w:type="paragraph" w:customStyle="1" w:styleId="CoverTitle">
    <w:name w:val="CoverTitle"/>
    <w:next w:val="CoverSubtitle"/>
    <w:uiPriority w:val="12"/>
    <w:qFormat/>
    <w:rsid w:val="00F76488"/>
    <w:pPr>
      <w:spacing w:after="170" w:line="216" w:lineRule="auto"/>
    </w:pPr>
    <w:rPr>
      <w:rFonts w:eastAsiaTheme="majorEastAsia" w:cstheme="majorBidi"/>
      <w:b/>
      <w:color w:val="00313C" w:themeColor="accent2"/>
      <w:spacing w:val="5"/>
      <w:kern w:val="28"/>
      <w:sz w:val="80"/>
      <w:szCs w:val="52"/>
    </w:rPr>
  </w:style>
  <w:style w:type="paragraph" w:customStyle="1" w:styleId="PartTitle">
    <w:name w:val="PartTitle"/>
    <w:next w:val="PartSubtitle"/>
    <w:uiPriority w:val="15"/>
    <w:qFormat/>
    <w:rsid w:val="004E5109"/>
    <w:pPr>
      <w:keepNext/>
      <w:tabs>
        <w:tab w:val="left" w:pos="2552"/>
      </w:tabs>
      <w:ind w:left="2552" w:hanging="2552"/>
      <w:outlineLvl w:val="0"/>
    </w:pPr>
    <w:rPr>
      <w:rFonts w:eastAsia="Calibri"/>
      <w:b/>
      <w:color w:val="007E9A" w:themeColor="accent1" w:themeShade="BF"/>
      <w:sz w:val="80"/>
    </w:rPr>
  </w:style>
  <w:style w:type="paragraph" w:customStyle="1" w:styleId="PartSubtitle">
    <w:name w:val="PartSubtitle"/>
    <w:basedOn w:val="PartTitle"/>
    <w:next w:val="BodyText"/>
    <w:uiPriority w:val="15"/>
    <w:qFormat/>
    <w:rsid w:val="00D1044D"/>
    <w:pPr>
      <w:spacing w:before="360" w:after="240" w:line="340" w:lineRule="atLeast"/>
      <w:outlineLvl w:val="9"/>
    </w:pPr>
    <w:rPr>
      <w:b w:val="0"/>
      <w:color w:val="00313C" w:themeColor="accent2"/>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2"/>
    <w:rsid w:val="00D349D1"/>
    <w:pPr>
      <w:numPr>
        <w:ilvl w:val="0"/>
        <w:numId w:val="16"/>
      </w:numPr>
      <w:tabs>
        <w:tab w:val="clear" w:pos="794"/>
        <w:tab w:val="left" w:pos="851"/>
      </w:tabs>
      <w:ind w:left="1497" w:hanging="340"/>
    </w:pPr>
  </w:style>
  <w:style w:type="paragraph" w:styleId="FootnoteText">
    <w:name w:val="footnote text"/>
    <w:basedOn w:val="BodyText"/>
    <w:link w:val="FootnoteTextChar"/>
    <w:uiPriority w:val="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5"/>
    <w:qFormat/>
    <w:rsid w:val="00DC2413"/>
    <w:pPr>
      <w:spacing w:before="60" w:after="60"/>
    </w:pPr>
    <w:rPr>
      <w:sz w:val="18"/>
    </w:rPr>
  </w:style>
  <w:style w:type="paragraph" w:customStyle="1" w:styleId="TableBullet">
    <w:name w:val="TableBullet"/>
    <w:basedOn w:val="TableText"/>
    <w:next w:val="TableText"/>
    <w:uiPriority w:val="5"/>
    <w:qFormat/>
    <w:rsid w:val="006131D3"/>
    <w:pPr>
      <w:numPr>
        <w:numId w:val="8"/>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next w:val="BodyText"/>
    <w:uiPriority w:val="12"/>
    <w:qFormat/>
    <w:rsid w:val="0024666C"/>
    <w:pPr>
      <w:numPr>
        <w:ilvl w:val="1"/>
      </w:numPr>
      <w:spacing w:after="170"/>
    </w:pPr>
    <w:rPr>
      <w:rFonts w:eastAsiaTheme="majorEastAsia" w:cstheme="majorBidi"/>
      <w:iCs/>
      <w:color w:val="000000" w:themeColor="text2"/>
      <w:spacing w:val="15"/>
      <w:sz w:val="34"/>
      <w:szCs w:val="24"/>
    </w:rPr>
  </w:style>
  <w:style w:type="paragraph" w:customStyle="1" w:styleId="BackCoverContactHeading">
    <w:name w:val="BackCover ContactHeading"/>
    <w:next w:val="BackCoverContactDetails"/>
    <w:uiPriority w:val="18"/>
    <w:qFormat/>
    <w:rsid w:val="00DC2413"/>
    <w:pPr>
      <w:spacing w:before="360" w:after="60"/>
    </w:pPr>
    <w:rPr>
      <w:rFonts w:eastAsia="Calibri"/>
      <w:caps/>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19"/>
    <w:semiHidden/>
    <w:rsid w:val="00462182"/>
    <w:pPr>
      <w:pageBreakBefore w:val="0"/>
      <w:numPr>
        <w:numId w:val="0"/>
      </w:numPr>
      <w:spacing w:before="480" w:after="240"/>
      <w:outlineLvl w:val="1"/>
    </w:pPr>
    <w:rPr>
      <w:bCs w:val="0"/>
    </w:rPr>
  </w:style>
  <w:style w:type="character" w:styleId="Hyperlink">
    <w:name w:val="Hyperlink"/>
    <w:basedOn w:val="DefaultParagraphFont"/>
    <w:uiPriority w:val="99"/>
    <w:qFormat/>
    <w:rsid w:val="008631BE"/>
    <w:rPr>
      <w:rFonts w:cs="Times New Roman"/>
      <w:color w:val="007E9A" w:themeColor="accent1" w:themeShade="BF"/>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uiPriority w:val="4"/>
    <w:qFormat/>
    <w:rsid w:val="00B26878"/>
    <w:pPr>
      <w:keepNext/>
      <w:spacing w:before="180" w:after="180"/>
      <w:contextualSpacing/>
    </w:pPr>
    <w:rPr>
      <w:b/>
      <w:bCs/>
      <w:color w:val="007E9A" w:themeColor="accent1" w:themeShade="BF"/>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1044D"/>
    <w:rPr>
      <w:color w:val="00313C" w:themeColor="accent2"/>
    </w:rPr>
  </w:style>
  <w:style w:type="paragraph" w:customStyle="1" w:styleId="Heading1notnumbered">
    <w:name w:val="Heading 1 not numbered"/>
    <w:basedOn w:val="Heading1"/>
    <w:next w:val="BodyText"/>
    <w:uiPriority w:val="1"/>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C8010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qFormat/>
    <w:locked/>
    <w:rsid w:val="00E71F2C"/>
    <w:pPr>
      <w:spacing w:before="120" w:after="120" w:line="264" w:lineRule="auto"/>
    </w:pPr>
    <w:rPr>
      <w:rFonts w:eastAsia="Calibri"/>
      <w:color w:val="000000"/>
      <w:sz w:val="24"/>
    </w:rPr>
  </w:style>
  <w:style w:type="character" w:customStyle="1" w:styleId="BodyTextChar">
    <w:name w:val="Body Text Char"/>
    <w:basedOn w:val="DefaultParagraphFont"/>
    <w:link w:val="BodyText"/>
    <w:locked/>
    <w:rsid w:val="00E71F2C"/>
    <w:rPr>
      <w:rFonts w:eastAsia="Calibri"/>
      <w:color w:val="000000"/>
      <w:sz w:val="24"/>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99"/>
    <w:semiHidden/>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D349D1"/>
    <w:pPr>
      <w:numPr>
        <w:numId w:val="17"/>
      </w:numPr>
      <w:tabs>
        <w:tab w:val="clear" w:pos="397"/>
      </w:tabs>
      <w:ind w:left="1078" w:hanging="284"/>
    </w:pPr>
  </w:style>
  <w:style w:type="paragraph" w:styleId="ListNumber4">
    <w:name w:val="List Number 4"/>
    <w:basedOn w:val="Normal"/>
    <w:uiPriority w:val="99"/>
    <w:semiHidden/>
    <w:locked/>
    <w:rsid w:val="00E251B6"/>
    <w:pPr>
      <w:numPr>
        <w:numId w:val="3"/>
      </w:numPr>
    </w:pPr>
  </w:style>
  <w:style w:type="paragraph" w:styleId="ListNumber5">
    <w:name w:val="List Number 5"/>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00313C" w:themeColor="accent2"/>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8"/>
      </w:numPr>
    </w:pPr>
  </w:style>
  <w:style w:type="numbering" w:customStyle="1" w:styleId="Sources">
    <w:name w:val="Sources"/>
    <w:rsid w:val="008861FC"/>
    <w:pPr>
      <w:numPr>
        <w:numId w:val="6"/>
      </w:numPr>
    </w:pPr>
  </w:style>
  <w:style w:type="numbering" w:styleId="1ai">
    <w:name w:val="Outline List 1"/>
    <w:basedOn w:val="NoList"/>
    <w:uiPriority w:val="99"/>
    <w:semiHidden/>
    <w:unhideWhenUsed/>
    <w:locked/>
    <w:rsid w:val="008861FC"/>
    <w:pPr>
      <w:numPr>
        <w:numId w:val="11"/>
      </w:numPr>
    </w:pPr>
  </w:style>
  <w:style w:type="numbering" w:styleId="111111">
    <w:name w:val="Outline List 2"/>
    <w:basedOn w:val="NoList"/>
    <w:uiPriority w:val="99"/>
    <w:semiHidden/>
    <w:unhideWhenUsed/>
    <w:locked/>
    <w:rsid w:val="008861FC"/>
    <w:pPr>
      <w:numPr>
        <w:numId w:val="10"/>
      </w:numPr>
    </w:pPr>
  </w:style>
  <w:style w:type="numbering" w:customStyle="1" w:styleId="Bullets">
    <w:name w:val="Bullets"/>
    <w:rsid w:val="008861FC"/>
    <w:pPr>
      <w:numPr>
        <w:numId w:val="5"/>
      </w:numPr>
    </w:pPr>
  </w:style>
  <w:style w:type="numbering" w:customStyle="1" w:styleId="Numbers">
    <w:name w:val="Numbers"/>
    <w:rsid w:val="008861FC"/>
    <w:pPr>
      <w:numPr>
        <w:numId w:val="9"/>
      </w:numPr>
    </w:pPr>
  </w:style>
  <w:style w:type="numbering" w:styleId="ArticleSection">
    <w:name w:val="Outline List 3"/>
    <w:basedOn w:val="NoList"/>
    <w:uiPriority w:val="99"/>
    <w:semiHidden/>
    <w:unhideWhenUsed/>
    <w:locked/>
    <w:rsid w:val="008861FC"/>
    <w:pPr>
      <w:numPr>
        <w:numId w:val="12"/>
      </w:numPr>
    </w:pPr>
  </w:style>
  <w:style w:type="paragraph" w:customStyle="1" w:styleId="AppendixHeading1base">
    <w:name w:val="Appendix Heading 1 base"/>
    <w:uiPriority w:val="20"/>
    <w:semiHidden/>
    <w:qFormat/>
    <w:rsid w:val="005C1B4B"/>
    <w:pPr>
      <w:keepNext/>
      <w:pageBreakBefore/>
      <w:numPr>
        <w:numId w:val="15"/>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C80108"/>
    <w:pPr>
      <w:numPr>
        <w:numId w:val="15"/>
      </w:numPr>
      <w:ind w:left="1134" w:hanging="1134"/>
    </w:pPr>
  </w:style>
  <w:style w:type="paragraph" w:customStyle="1" w:styleId="AppendixHeading3">
    <w:name w:val="Appendix Heading 3"/>
    <w:basedOn w:val="Heading3"/>
    <w:next w:val="BodyText"/>
    <w:uiPriority w:val="11"/>
    <w:qFormat/>
    <w:rsid w:val="00C80108"/>
    <w:pPr>
      <w:numPr>
        <w:numId w:val="15"/>
      </w:numPr>
      <w:ind w:left="1134" w:hanging="1134"/>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DC2413"/>
    <w:pPr>
      <w:ind w:left="567" w:hanging="567"/>
    </w:pPr>
  </w:style>
  <w:style w:type="paragraph" w:styleId="ListNumber2">
    <w:name w:val="List Number 2"/>
    <w:basedOn w:val="ListNumber"/>
    <w:next w:val="BodyText"/>
    <w:uiPriority w:val="2"/>
    <w:qFormat/>
    <w:locked/>
    <w:rsid w:val="00D349D1"/>
    <w:pPr>
      <w:numPr>
        <w:numId w:val="13"/>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B26878"/>
    <w:pPr>
      <w:spacing w:before="0"/>
    </w:pPr>
  </w:style>
  <w:style w:type="character" w:customStyle="1" w:styleId="Bold">
    <w:name w:val="Bold"/>
    <w:basedOn w:val="DefaultParagraphFont"/>
    <w:uiPriority w:val="3"/>
    <w:qFormat/>
    <w:rsid w:val="00856E94"/>
    <w:rPr>
      <w:b/>
    </w:rPr>
  </w:style>
  <w:style w:type="paragraph" w:styleId="ListParagraph">
    <w:name w:val="List Paragraph"/>
    <w:basedOn w:val="Normal"/>
    <w:uiPriority w:val="34"/>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A65678"/>
    <w:rPr>
      <w:b/>
      <w:bCs/>
      <w:i/>
      <w:iCs/>
      <w:color w:val="00313C" w:themeColor="accent2"/>
    </w:rPr>
  </w:style>
  <w:style w:type="character" w:styleId="SubtleEmphasis">
    <w:name w:val="Subtle Emphasis"/>
    <w:basedOn w:val="DefaultParagraphFont"/>
    <w:uiPriority w:val="19"/>
    <w:semiHidden/>
    <w:qFormat/>
    <w:rsid w:val="00A65678"/>
    <w:rPr>
      <w:i/>
      <w:iCs/>
      <w:color w:val="595959" w:themeColor="text1" w:themeTint="A6"/>
    </w:rPr>
  </w:style>
  <w:style w:type="paragraph" w:styleId="IntenseQuote">
    <w:name w:val="Intense Quote"/>
    <w:basedOn w:val="Normal"/>
    <w:next w:val="Normal"/>
    <w:link w:val="IntenseQuoteChar"/>
    <w:uiPriority w:val="30"/>
    <w:semiHidden/>
    <w:qFormat/>
    <w:rsid w:val="00A65678"/>
    <w:pPr>
      <w:pBdr>
        <w:bottom w:val="single" w:sz="4" w:space="4" w:color="00313C" w:themeColor="accent2"/>
      </w:pBdr>
      <w:spacing w:before="200" w:after="280"/>
      <w:ind w:left="936" w:right="936"/>
    </w:pPr>
    <w:rPr>
      <w:b/>
      <w:bCs/>
      <w:i/>
      <w:iCs/>
      <w:color w:val="00313C" w:themeColor="accent2"/>
    </w:rPr>
  </w:style>
  <w:style w:type="character" w:customStyle="1" w:styleId="IntenseQuoteChar">
    <w:name w:val="Intense Quote Char"/>
    <w:basedOn w:val="DefaultParagraphFont"/>
    <w:link w:val="IntenseQuote"/>
    <w:uiPriority w:val="30"/>
    <w:semiHidden/>
    <w:rsid w:val="00A65678"/>
    <w:rPr>
      <w:rFonts w:eastAsia="Calibri"/>
      <w:b/>
      <w:bCs/>
      <w:i/>
      <w:iCs/>
      <w:color w:val="00313C" w:themeColor="accent2"/>
    </w:rPr>
  </w:style>
  <w:style w:type="paragraph" w:customStyle="1" w:styleId="CoverTitleWhite">
    <w:name w:val="CoverTitle White"/>
    <w:basedOn w:val="CoverTitle"/>
    <w:next w:val="BodyText"/>
    <w:uiPriority w:val="12"/>
    <w:qFormat/>
    <w:rsid w:val="00731ED4"/>
    <w:rPr>
      <w:color w:val="FFFFFF" w:themeColor="background2"/>
    </w:rPr>
  </w:style>
  <w:style w:type="paragraph" w:customStyle="1" w:styleId="CoverSubtitleWhite">
    <w:name w:val="CoverSubtitle White"/>
    <w:basedOn w:val="CoverSubtitle"/>
    <w:next w:val="BodyText"/>
    <w:uiPriority w:val="12"/>
    <w:qFormat/>
    <w:rsid w:val="00731ED4"/>
    <w:rPr>
      <w:color w:val="FFFFFF" w:themeColor="background2"/>
    </w:rPr>
  </w:style>
  <w:style w:type="paragraph" w:customStyle="1" w:styleId="BodyTextWhite">
    <w:name w:val="Body Text White"/>
    <w:basedOn w:val="BodyText"/>
    <w:next w:val="BodyText"/>
    <w:uiPriority w:val="12"/>
    <w:qFormat/>
    <w:rsid w:val="00731ED4"/>
    <w:rPr>
      <w:color w:val="FFFFFF" w:themeColor="background2"/>
    </w:rPr>
  </w:style>
  <w:style w:type="paragraph" w:customStyle="1" w:styleId="BackCoverContactHeadingWhite">
    <w:name w:val="BackCover ContactHeading White"/>
    <w:basedOn w:val="BackCoverContactHeading"/>
    <w:next w:val="BackCoverContactDetailsWhite"/>
    <w:uiPriority w:val="16"/>
    <w:qFormat/>
    <w:rsid w:val="00731ED4"/>
    <w:rPr>
      <w:color w:val="FFFFFF" w:themeColor="background2"/>
    </w:rPr>
  </w:style>
  <w:style w:type="paragraph" w:customStyle="1" w:styleId="BackCoverContactDetailsWhite">
    <w:name w:val="BackCover ContactDetails White"/>
    <w:basedOn w:val="BackCoverContactDetails"/>
    <w:uiPriority w:val="16"/>
    <w:qFormat/>
    <w:rsid w:val="00731ED4"/>
    <w:rPr>
      <w:color w:val="FFFFFF" w:themeColor="background2"/>
      <w:szCs w:val="20"/>
    </w:rPr>
  </w:style>
  <w:style w:type="paragraph" w:customStyle="1" w:styleId="BackCoverContactBoldWhite">
    <w:name w:val="BackCover ContactBold White"/>
    <w:basedOn w:val="BackCoverContactDetails"/>
    <w:next w:val="BackCoverContactDetailsWhite"/>
    <w:uiPriority w:val="16"/>
    <w:qFormat/>
    <w:rsid w:val="00731ED4"/>
    <w:rPr>
      <w:color w:val="FFFFFF" w:themeColor="background2"/>
    </w:rPr>
  </w:style>
  <w:style w:type="paragraph" w:customStyle="1" w:styleId="Boxedheading">
    <w:name w:val="Boxed heading"/>
    <w:uiPriority w:val="19"/>
    <w:qFormat/>
    <w:rsid w:val="008A11B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360" w:after="240"/>
      <w:ind w:left="227" w:right="227"/>
    </w:pPr>
    <w:rPr>
      <w:rFonts w:eastAsia="Calibri"/>
      <w:b/>
      <w:color w:val="000000"/>
      <w:sz w:val="28"/>
      <w:szCs w:val="28"/>
    </w:rPr>
  </w:style>
  <w:style w:type="paragraph" w:customStyle="1" w:styleId="Boxedtext">
    <w:name w:val="Boxed text"/>
    <w:uiPriority w:val="19"/>
    <w:qFormat/>
    <w:rsid w:val="008A11B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595E34"/>
    <w:pPr>
      <w:numPr>
        <w:numId w:val="18"/>
      </w:numPr>
      <w:spacing w:before="0" w:after="0"/>
      <w:ind w:left="454" w:hanging="227"/>
      <w:contextualSpacing/>
    </w:pPr>
  </w:style>
  <w:style w:type="paragraph" w:customStyle="1" w:styleId="EndNoteBibliographyTitle">
    <w:name w:val="EndNote Bibliography Title"/>
    <w:basedOn w:val="Normal"/>
    <w:link w:val="EndNoteBibliographyTitleChar"/>
    <w:rsid w:val="00CE69FC"/>
    <w:pPr>
      <w:spacing w:after="0"/>
      <w:jc w:val="center"/>
    </w:pPr>
    <w:rPr>
      <w:rFonts w:cs="Calibri"/>
      <w:noProof/>
      <w:sz w:val="24"/>
    </w:rPr>
  </w:style>
  <w:style w:type="character" w:customStyle="1" w:styleId="EndNoteBibliographyTitleChar">
    <w:name w:val="EndNote Bibliography Title Char"/>
    <w:basedOn w:val="BodyTextChar"/>
    <w:link w:val="EndNoteBibliographyTitle"/>
    <w:rsid w:val="00CE69FC"/>
    <w:rPr>
      <w:rFonts w:eastAsia="Calibri" w:cs="Calibri"/>
      <w:noProof/>
      <w:color w:val="000000"/>
      <w:sz w:val="24"/>
    </w:rPr>
  </w:style>
  <w:style w:type="paragraph" w:customStyle="1" w:styleId="EndNoteBibliography">
    <w:name w:val="EndNote Bibliography"/>
    <w:basedOn w:val="Normal"/>
    <w:link w:val="EndNoteBibliographyChar"/>
    <w:rsid w:val="00CE69FC"/>
    <w:rPr>
      <w:rFonts w:cs="Calibri"/>
      <w:noProof/>
      <w:sz w:val="24"/>
    </w:rPr>
  </w:style>
  <w:style w:type="character" w:customStyle="1" w:styleId="EndNoteBibliographyChar">
    <w:name w:val="EndNote Bibliography Char"/>
    <w:basedOn w:val="BodyTextChar"/>
    <w:link w:val="EndNoteBibliography"/>
    <w:rsid w:val="00CE69FC"/>
    <w:rPr>
      <w:rFonts w:eastAsia="Calibri" w:cs="Calibri"/>
      <w:noProof/>
      <w:color w:val="000000"/>
      <w:sz w:val="24"/>
    </w:rPr>
  </w:style>
  <w:style w:type="table" w:styleId="TableGridLight">
    <w:name w:val="Grid Table Light"/>
    <w:basedOn w:val="TableNormal"/>
    <w:uiPriority w:val="40"/>
    <w:rsid w:val="000B76E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870333"/>
    <w:rPr>
      <w:rFonts w:eastAsia="Calibri"/>
      <w:color w:val="000000"/>
    </w:rPr>
  </w:style>
  <w:style w:type="table" w:styleId="PlainTable1">
    <w:name w:val="Plain Table 1"/>
    <w:basedOn w:val="TableNormal"/>
    <w:uiPriority w:val="41"/>
    <w:rsid w:val="003671B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109723">
      <w:bodyDiv w:val="1"/>
      <w:marLeft w:val="0"/>
      <w:marRight w:val="0"/>
      <w:marTop w:val="0"/>
      <w:marBottom w:val="0"/>
      <w:divBdr>
        <w:top w:val="none" w:sz="0" w:space="0" w:color="auto"/>
        <w:left w:val="none" w:sz="0" w:space="0" w:color="auto"/>
        <w:bottom w:val="none" w:sz="0" w:space="0" w:color="auto"/>
        <w:right w:val="none" w:sz="0" w:space="0" w:color="auto"/>
      </w:divBdr>
    </w:div>
    <w:div w:id="266472090">
      <w:bodyDiv w:val="1"/>
      <w:marLeft w:val="0"/>
      <w:marRight w:val="0"/>
      <w:marTop w:val="0"/>
      <w:marBottom w:val="0"/>
      <w:divBdr>
        <w:top w:val="none" w:sz="0" w:space="0" w:color="auto"/>
        <w:left w:val="none" w:sz="0" w:space="0" w:color="auto"/>
        <w:bottom w:val="none" w:sz="0" w:space="0" w:color="auto"/>
        <w:right w:val="none" w:sz="0" w:space="0" w:color="auto"/>
      </w:divBdr>
    </w:div>
    <w:div w:id="765732152">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42553780">
      <w:bodyDiv w:val="1"/>
      <w:marLeft w:val="0"/>
      <w:marRight w:val="0"/>
      <w:marTop w:val="0"/>
      <w:marBottom w:val="0"/>
      <w:divBdr>
        <w:top w:val="none" w:sz="0" w:space="0" w:color="auto"/>
        <w:left w:val="none" w:sz="0" w:space="0" w:color="auto"/>
        <w:bottom w:val="none" w:sz="0" w:space="0" w:color="auto"/>
        <w:right w:val="none" w:sz="0" w:space="0" w:color="auto"/>
      </w:divBdr>
    </w:div>
    <w:div w:id="869681636">
      <w:bodyDiv w:val="1"/>
      <w:marLeft w:val="0"/>
      <w:marRight w:val="0"/>
      <w:marTop w:val="0"/>
      <w:marBottom w:val="0"/>
      <w:divBdr>
        <w:top w:val="none" w:sz="0" w:space="0" w:color="auto"/>
        <w:left w:val="none" w:sz="0" w:space="0" w:color="auto"/>
        <w:bottom w:val="none" w:sz="0" w:space="0" w:color="auto"/>
        <w:right w:val="none" w:sz="0" w:space="0" w:color="auto"/>
      </w:divBdr>
    </w:div>
    <w:div w:id="1294368680">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608073330">
      <w:bodyDiv w:val="1"/>
      <w:marLeft w:val="0"/>
      <w:marRight w:val="0"/>
      <w:marTop w:val="0"/>
      <w:marBottom w:val="0"/>
      <w:divBdr>
        <w:top w:val="none" w:sz="0" w:space="0" w:color="auto"/>
        <w:left w:val="none" w:sz="0" w:space="0" w:color="auto"/>
        <w:bottom w:val="none" w:sz="0" w:space="0" w:color="auto"/>
        <w:right w:val="none" w:sz="0" w:space="0" w:color="auto"/>
      </w:divBdr>
      <w:divsChild>
        <w:div w:id="881096452">
          <w:marLeft w:val="0"/>
          <w:marRight w:val="0"/>
          <w:marTop w:val="0"/>
          <w:marBottom w:val="0"/>
          <w:divBdr>
            <w:top w:val="none" w:sz="0" w:space="0" w:color="auto"/>
            <w:left w:val="none" w:sz="0" w:space="0" w:color="auto"/>
            <w:bottom w:val="none" w:sz="0" w:space="0" w:color="auto"/>
            <w:right w:val="none" w:sz="0" w:space="0" w:color="auto"/>
          </w:divBdr>
        </w:div>
        <w:div w:id="19736362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yperlink" Target="https://www.industry.gov.au/Office-of-the-Chief-Economist/Publications/ResourcesandEnergyQuarterlyJune2017/index.html"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hyperlink" Target="https://stats.oecd.org/glossary/"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siroenquiries@csiro.au" TargetMode="External"/><Relationship Id="rId24" Type="http://schemas.openxmlformats.org/officeDocument/2006/relationships/image" Target="media/image14.emf"/><Relationship Id="rId32" Type="http://schemas.openxmlformats.org/officeDocument/2006/relationships/hyperlink" Target="http://www.minerals.org.au/file_upload/files/reports/MCA-13-ResidentialProfile0131-MYR.pdf" TargetMode="External"/><Relationship Id="rId37" Type="http://schemas.openxmlformats.org/officeDocument/2006/relationships/hyperlink" Target="https://riotintogroundbreakers.com/50-operations-centre/" TargetMode="Externa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hyperlink" Target="http://www.riotinto.com/documents/RT_2016_Annual_report.pdf" TargetMode="External"/><Relationship Id="rId10" Type="http://schemas.openxmlformats.org/officeDocument/2006/relationships/image" Target="media/image3.jpg"/><Relationship Id="rId19" Type="http://schemas.openxmlformats.org/officeDocument/2006/relationships/image" Target="media/image9.emf"/><Relationship Id="rId31"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image" Target="media/image12.jp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hyperlink" Target="http://www.rba.gov.au/education/teacher-student-guid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a069\AppData\Roaming\Microsoft\Templates\Technical%20Report%20-%20Formal%20Photo.dotx" TargetMode="External"/></Relationships>
</file>

<file path=word/theme/theme1.xml><?xml version="1.0" encoding="utf-8"?>
<a:theme xmlns:a="http://schemas.openxmlformats.org/drawingml/2006/main" name="Office Theme">
  <a:themeElements>
    <a:clrScheme name="CSIRO Midday">
      <a:dk1>
        <a:sysClr val="windowText" lastClr="000000"/>
      </a:dk1>
      <a:lt1>
        <a:srgbClr val="FFFFFF"/>
      </a:lt1>
      <a:dk2>
        <a:srgbClr val="000000"/>
      </a:dk2>
      <a:lt2>
        <a:srgbClr val="FFFF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B4D2AE-3045-499A-B914-8E7805B41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Technical Report - Formal Photo.dotx</Template>
  <TotalTime>115</TotalTime>
  <Pages>33</Pages>
  <Words>8295</Words>
  <Characters>102654</Characters>
  <Application>Microsoft Office Word</Application>
  <DocSecurity>0</DocSecurity>
  <Lines>855</Lines>
  <Paragraphs>221</Paragraphs>
  <ScaleCrop>false</ScaleCrop>
  <HeadingPairs>
    <vt:vector size="2" baseType="variant">
      <vt:variant>
        <vt:lpstr>Title</vt:lpstr>
      </vt:variant>
      <vt:variant>
        <vt:i4>1</vt:i4>
      </vt:variant>
    </vt:vector>
  </HeadingPairs>
  <TitlesOfParts>
    <vt:vector size="1" baseType="lpstr">
      <vt:lpstr>CSIRO report template</vt:lpstr>
    </vt:vector>
  </TitlesOfParts>
  <Company>CSIRO</Company>
  <LinksUpToDate>false</LinksUpToDate>
  <CharactersWithSpaces>110728</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CSIRO report template</dc:title>
  <dc:subject/>
  <dc:creator>Poruschi, Lavinia (L&amp;W, Dutton Park)</dc:creator>
  <cp:keywords/>
  <dc:description/>
  <cp:lastModifiedBy>Francis, Sophie</cp:lastModifiedBy>
  <cp:revision>10</cp:revision>
  <cp:lastPrinted>2018-05-25T04:35:00Z</cp:lastPrinted>
  <dcterms:created xsi:type="dcterms:W3CDTF">2019-01-04T01:26:00Z</dcterms:created>
  <dcterms:modified xsi:type="dcterms:W3CDTF">2019-02-12T22:17:00Z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0x010100529B7581109BE041A80104B7BC62AE32</vt:lpwstr>
  </property>
</Properties>
</file>