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7A2E9" w14:textId="0B39F16D" w:rsidR="00B66BB2" w:rsidRPr="004D4C42" w:rsidRDefault="007A4177" w:rsidP="004D4C42">
      <w:pPr>
        <w:spacing w:before="100" w:beforeAutospacing="1" w:after="100" w:afterAutospacing="1" w:line="288" w:lineRule="atLeast"/>
        <w:outlineLvl w:val="1"/>
        <w:rPr>
          <w:rFonts w:ascii="Tahoma" w:eastAsia="Times New Roman" w:hAnsi="Tahoma" w:cs="Tahoma"/>
          <w:b/>
          <w:bCs/>
          <w:color w:val="666666"/>
          <w:sz w:val="25"/>
          <w:szCs w:val="25"/>
          <w:lang w:val="en"/>
        </w:rPr>
      </w:pPr>
      <w:bookmarkStart w:id="0" w:name="_GoBack"/>
      <w:bookmarkEnd w:id="0"/>
      <w:r w:rsidRPr="004D4C42">
        <w:rPr>
          <w:rFonts w:ascii="Tahoma" w:eastAsia="Times New Roman" w:hAnsi="Tahoma" w:cs="Tahoma"/>
          <w:b/>
          <w:bCs/>
          <w:color w:val="666666"/>
          <w:sz w:val="25"/>
          <w:szCs w:val="25"/>
          <w:lang w:val="en"/>
        </w:rPr>
        <w:t xml:space="preserve">2015 </w:t>
      </w:r>
      <w:r w:rsidR="00A83255">
        <w:rPr>
          <w:rFonts w:ascii="Tahoma" w:eastAsia="Times New Roman" w:hAnsi="Tahoma" w:cs="Tahoma"/>
          <w:b/>
          <w:bCs/>
          <w:color w:val="666666"/>
          <w:sz w:val="25"/>
          <w:szCs w:val="25"/>
          <w:lang w:val="en"/>
        </w:rPr>
        <w:t xml:space="preserve">NSRC </w:t>
      </w:r>
      <w:r w:rsidR="00906451">
        <w:rPr>
          <w:rFonts w:ascii="Tahoma" w:eastAsia="Times New Roman" w:hAnsi="Tahoma" w:cs="Tahoma"/>
          <w:b/>
          <w:bCs/>
          <w:color w:val="666666"/>
          <w:sz w:val="25"/>
          <w:szCs w:val="25"/>
          <w:lang w:val="en"/>
        </w:rPr>
        <w:t xml:space="preserve">- </w:t>
      </w:r>
      <w:r w:rsidR="00B66BB2" w:rsidRPr="004D4C42">
        <w:rPr>
          <w:rFonts w:ascii="Tahoma" w:eastAsia="Times New Roman" w:hAnsi="Tahoma" w:cs="Tahoma"/>
          <w:b/>
          <w:bCs/>
          <w:color w:val="666666"/>
          <w:sz w:val="25"/>
          <w:szCs w:val="25"/>
          <w:lang w:val="en"/>
        </w:rPr>
        <w:t xml:space="preserve">methodology notes </w:t>
      </w:r>
      <w:r w:rsidR="00906451">
        <w:rPr>
          <w:rFonts w:ascii="Tahoma" w:eastAsia="Times New Roman" w:hAnsi="Tahoma" w:cs="Tahoma"/>
          <w:b/>
          <w:bCs/>
          <w:color w:val="666666"/>
          <w:sz w:val="25"/>
          <w:szCs w:val="25"/>
          <w:lang w:val="en"/>
        </w:rPr>
        <w:t>on IP Australia data</w:t>
      </w:r>
    </w:p>
    <w:p w14:paraId="6658FA69" w14:textId="77777777" w:rsidR="007A4177" w:rsidRPr="004D4C42" w:rsidRDefault="007D6CBC">
      <w:pPr>
        <w:rPr>
          <w:rFonts w:ascii="Tahoma" w:eastAsia="Times New Roman" w:hAnsi="Tahoma" w:cs="Tahoma"/>
          <w:b/>
          <w:bCs/>
          <w:color w:val="666666"/>
          <w:sz w:val="25"/>
          <w:szCs w:val="25"/>
          <w:lang w:val="en"/>
        </w:rPr>
      </w:pPr>
      <w:r w:rsidRPr="004D4C42">
        <w:rPr>
          <w:rFonts w:ascii="Tahoma" w:eastAsia="Times New Roman" w:hAnsi="Tahoma" w:cs="Tahoma"/>
          <w:b/>
          <w:bCs/>
          <w:color w:val="666666"/>
          <w:sz w:val="25"/>
          <w:szCs w:val="25"/>
          <w:lang w:val="en"/>
        </w:rPr>
        <w:t>Meth</w:t>
      </w:r>
      <w:r w:rsidR="001D7776">
        <w:rPr>
          <w:rFonts w:ascii="Tahoma" w:eastAsia="Times New Roman" w:hAnsi="Tahoma" w:cs="Tahoma"/>
          <w:b/>
          <w:bCs/>
          <w:color w:val="666666"/>
          <w:sz w:val="25"/>
          <w:szCs w:val="25"/>
          <w:lang w:val="en"/>
        </w:rPr>
        <w:t>o</w:t>
      </w:r>
      <w:r w:rsidRPr="004D4C42">
        <w:rPr>
          <w:rFonts w:ascii="Tahoma" w:eastAsia="Times New Roman" w:hAnsi="Tahoma" w:cs="Tahoma"/>
          <w:b/>
          <w:bCs/>
          <w:color w:val="666666"/>
          <w:sz w:val="25"/>
          <w:szCs w:val="25"/>
          <w:lang w:val="en"/>
        </w:rPr>
        <w:t>dology</w:t>
      </w:r>
      <w:r w:rsidR="007A4177" w:rsidRPr="004D4C42">
        <w:rPr>
          <w:rFonts w:ascii="Tahoma" w:eastAsia="Times New Roman" w:hAnsi="Tahoma" w:cs="Tahoma"/>
          <w:b/>
          <w:bCs/>
          <w:color w:val="666666"/>
          <w:sz w:val="25"/>
          <w:szCs w:val="25"/>
          <w:lang w:val="en"/>
        </w:rPr>
        <w:t xml:space="preserve"> </w:t>
      </w:r>
    </w:p>
    <w:p w14:paraId="7E8B72B2" w14:textId="4FDFCCEC" w:rsidR="007A4177" w:rsidRPr="004D4C42" w:rsidRDefault="00B66BB2">
      <w:pPr>
        <w:rPr>
          <w:rFonts w:ascii="Tahoma" w:hAnsi="Tahoma" w:cs="Tahoma"/>
          <w:sz w:val="18"/>
          <w:szCs w:val="18"/>
          <w:lang w:val="en"/>
        </w:rPr>
      </w:pPr>
      <w:r w:rsidRPr="004D4C42">
        <w:rPr>
          <w:rFonts w:ascii="Tahoma" w:hAnsi="Tahoma" w:cs="Tahoma"/>
          <w:sz w:val="18"/>
          <w:szCs w:val="18"/>
          <w:lang w:val="en"/>
        </w:rPr>
        <w:t>As a result of the 2015 Review of the</w:t>
      </w:r>
      <w:r w:rsidR="00A83255">
        <w:rPr>
          <w:rFonts w:ascii="Tahoma" w:hAnsi="Tahoma" w:cs="Tahoma"/>
          <w:sz w:val="18"/>
          <w:szCs w:val="18"/>
          <w:lang w:val="en"/>
        </w:rPr>
        <w:t xml:space="preserve"> National Survey of Research Commercialisation</w:t>
      </w:r>
      <w:r w:rsidRPr="004D4C42">
        <w:rPr>
          <w:rFonts w:ascii="Tahoma" w:hAnsi="Tahoma" w:cs="Tahoma"/>
          <w:sz w:val="18"/>
          <w:szCs w:val="18"/>
          <w:lang w:val="en"/>
        </w:rPr>
        <w:t xml:space="preserve"> </w:t>
      </w:r>
      <w:r w:rsidR="00A83255">
        <w:rPr>
          <w:rFonts w:ascii="Tahoma" w:hAnsi="Tahoma" w:cs="Tahoma"/>
          <w:sz w:val="18"/>
          <w:szCs w:val="18"/>
          <w:lang w:val="en"/>
        </w:rPr>
        <w:t>(</w:t>
      </w:r>
      <w:r w:rsidRPr="004D4C42">
        <w:rPr>
          <w:rFonts w:ascii="Tahoma" w:hAnsi="Tahoma" w:cs="Tahoma"/>
          <w:sz w:val="18"/>
          <w:szCs w:val="18"/>
          <w:lang w:val="en"/>
        </w:rPr>
        <w:t>NSRC</w:t>
      </w:r>
      <w:r w:rsidR="00A83255">
        <w:rPr>
          <w:rFonts w:ascii="Tahoma" w:hAnsi="Tahoma" w:cs="Tahoma"/>
          <w:sz w:val="18"/>
          <w:szCs w:val="18"/>
          <w:lang w:val="en"/>
        </w:rPr>
        <w:t>)</w:t>
      </w:r>
      <w:r w:rsidRPr="004D4C42">
        <w:rPr>
          <w:rFonts w:ascii="Tahoma" w:hAnsi="Tahoma" w:cs="Tahoma"/>
          <w:sz w:val="18"/>
          <w:szCs w:val="18"/>
          <w:lang w:val="en"/>
        </w:rPr>
        <w:t xml:space="preserve"> </w:t>
      </w:r>
      <w:r w:rsidR="001A55D8" w:rsidRPr="004D4C42">
        <w:rPr>
          <w:rFonts w:ascii="Tahoma" w:hAnsi="Tahoma" w:cs="Tahoma"/>
          <w:sz w:val="18"/>
          <w:szCs w:val="18"/>
          <w:lang w:val="en"/>
        </w:rPr>
        <w:t>it was decided</w:t>
      </w:r>
      <w:r w:rsidRPr="004D4C42">
        <w:rPr>
          <w:rFonts w:ascii="Tahoma" w:hAnsi="Tahoma" w:cs="Tahoma"/>
          <w:sz w:val="18"/>
          <w:szCs w:val="18"/>
          <w:lang w:val="en"/>
        </w:rPr>
        <w:t xml:space="preserve"> to streamline data collection and reduce the burden on survey participants by sourcing data and metrics on patents and plant breeder’s rights (PBRs) that was previously collected through the NSRC, from IP Australia’s Patent Analytics Hub. </w:t>
      </w:r>
    </w:p>
    <w:p w14:paraId="46BC0DBA" w14:textId="77777777" w:rsidR="001A55D8" w:rsidRDefault="007A4177">
      <w:pPr>
        <w:rPr>
          <w:rFonts w:ascii="Tahoma" w:hAnsi="Tahoma" w:cs="Tahoma"/>
          <w:sz w:val="18"/>
          <w:szCs w:val="18"/>
          <w:lang w:val="en"/>
        </w:rPr>
      </w:pPr>
      <w:r w:rsidRPr="004D4C42">
        <w:rPr>
          <w:rFonts w:ascii="Tahoma" w:hAnsi="Tahoma" w:cs="Tahoma"/>
          <w:sz w:val="18"/>
          <w:szCs w:val="18"/>
          <w:lang w:val="en"/>
        </w:rPr>
        <w:t xml:space="preserve">The Patent Analytics Hub </w:t>
      </w:r>
      <w:r w:rsidR="00B66BB2" w:rsidRPr="004D4C42">
        <w:rPr>
          <w:rFonts w:ascii="Tahoma" w:hAnsi="Tahoma" w:cs="Tahoma"/>
          <w:sz w:val="18"/>
          <w:szCs w:val="18"/>
          <w:lang w:val="en"/>
        </w:rPr>
        <w:t xml:space="preserve">extracted </w:t>
      </w:r>
      <w:r w:rsidRPr="004D4C42">
        <w:rPr>
          <w:rFonts w:ascii="Tahoma" w:hAnsi="Tahoma" w:cs="Tahoma"/>
          <w:sz w:val="18"/>
          <w:szCs w:val="18"/>
          <w:lang w:val="en"/>
        </w:rPr>
        <w:t xml:space="preserve">from its databases patent and PBR data for </w:t>
      </w:r>
      <w:r w:rsidR="00AA6836">
        <w:rPr>
          <w:rFonts w:ascii="Tahoma" w:hAnsi="Tahoma" w:cs="Tahoma"/>
          <w:sz w:val="18"/>
          <w:szCs w:val="18"/>
          <w:lang w:val="en"/>
        </w:rPr>
        <w:t xml:space="preserve">2015 </w:t>
      </w:r>
      <w:r w:rsidR="001A55D8" w:rsidRPr="004D4C42">
        <w:rPr>
          <w:rFonts w:ascii="Tahoma" w:hAnsi="Tahoma" w:cs="Tahoma"/>
          <w:sz w:val="18"/>
          <w:szCs w:val="18"/>
          <w:lang w:val="en"/>
        </w:rPr>
        <w:t>NSRC participants</w:t>
      </w:r>
      <w:r w:rsidR="00AA6836">
        <w:rPr>
          <w:rFonts w:ascii="Tahoma" w:hAnsi="Tahoma" w:cs="Tahoma"/>
          <w:sz w:val="18"/>
          <w:szCs w:val="18"/>
          <w:lang w:val="en"/>
        </w:rPr>
        <w:t xml:space="preserve"> (listed at Attachment A)</w:t>
      </w:r>
      <w:r w:rsidR="001A55D8" w:rsidRPr="004D4C42">
        <w:rPr>
          <w:rFonts w:ascii="Tahoma" w:hAnsi="Tahoma" w:cs="Tahoma"/>
          <w:sz w:val="18"/>
          <w:szCs w:val="18"/>
          <w:lang w:val="en"/>
        </w:rPr>
        <w:t>. The extracted datasets were provided to the Department of Industry, Innovation and Science for publication</w:t>
      </w:r>
      <w:r w:rsidR="001D7776">
        <w:rPr>
          <w:rFonts w:ascii="Tahoma" w:hAnsi="Tahoma" w:cs="Tahoma"/>
          <w:sz w:val="18"/>
          <w:szCs w:val="18"/>
          <w:lang w:val="en"/>
        </w:rPr>
        <w:t>.</w:t>
      </w:r>
    </w:p>
    <w:p w14:paraId="3767642C" w14:textId="77777777" w:rsidR="001D7776" w:rsidRPr="00784491" w:rsidRDefault="001D7776" w:rsidP="001D7776">
      <w:pPr>
        <w:rPr>
          <w:rFonts w:ascii="Tahoma" w:hAnsi="Tahoma" w:cs="Tahoma"/>
          <w:sz w:val="18"/>
          <w:szCs w:val="18"/>
          <w:lang w:val="en"/>
        </w:rPr>
      </w:pPr>
      <w:r>
        <w:rPr>
          <w:rFonts w:ascii="Tahoma" w:hAnsi="Tahoma" w:cs="Tahoma"/>
          <w:sz w:val="18"/>
          <w:szCs w:val="18"/>
          <w:lang w:val="en"/>
        </w:rPr>
        <w:t>Data was provided for the following</w:t>
      </w:r>
      <w:r w:rsidRPr="00784491">
        <w:rPr>
          <w:rFonts w:ascii="Tahoma" w:hAnsi="Tahoma" w:cs="Tahoma"/>
          <w:sz w:val="18"/>
          <w:szCs w:val="18"/>
          <w:lang w:val="en"/>
        </w:rPr>
        <w:t xml:space="preserve"> 27 metrics:</w:t>
      </w:r>
    </w:p>
    <w:p w14:paraId="147AD064"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patent applications filed in Australia</w:t>
      </w:r>
    </w:p>
    <w:p w14:paraId="46994F17"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patent applications filed in the US</w:t>
      </w:r>
    </w:p>
    <w:p w14:paraId="027BF921"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patent applications filed elsewhere</w:t>
      </w:r>
    </w:p>
    <w:p w14:paraId="69111D4F"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patent applications worldwide</w:t>
      </w:r>
    </w:p>
    <w:p w14:paraId="509E53FD"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provisional applications filed in Australia</w:t>
      </w:r>
    </w:p>
    <w:p w14:paraId="6508FE27"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Patent Cooperation Treaty (PCT) applications</w:t>
      </w:r>
    </w:p>
    <w:p w14:paraId="250B17EE"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innovations filed in Australia</w:t>
      </w:r>
    </w:p>
    <w:p w14:paraId="35A1BF4E"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applications that entered in National Phase in Australia</w:t>
      </w:r>
    </w:p>
    <w:p w14:paraId="1934F5DF"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divisional applications filed (worldwide)</w:t>
      </w:r>
    </w:p>
    <w:p w14:paraId="1FC91A05"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PBR applications that have been filed in Australia</w:t>
      </w:r>
    </w:p>
    <w:p w14:paraId="00F7F987"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new design applications that have been filed in Australia</w:t>
      </w:r>
    </w:p>
    <w:p w14:paraId="442C5D00"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new trademark applications filed in Australia</w:t>
      </w:r>
    </w:p>
    <w:p w14:paraId="74F8A23D"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patent families represented in new applications worldwide</w:t>
      </w:r>
    </w:p>
    <w:p w14:paraId="0174F048"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p</w:t>
      </w:r>
      <w:r w:rsidR="00D21154">
        <w:rPr>
          <w:rFonts w:ascii="Tahoma" w:hAnsi="Tahoma" w:cs="Tahoma"/>
          <w:sz w:val="18"/>
          <w:szCs w:val="18"/>
          <w:lang w:val="en"/>
        </w:rPr>
        <w:t>atents that were granted in 2015</w:t>
      </w:r>
      <w:r w:rsidRPr="00784491">
        <w:rPr>
          <w:rFonts w:ascii="Tahoma" w:hAnsi="Tahoma" w:cs="Tahoma"/>
          <w:sz w:val="18"/>
          <w:szCs w:val="18"/>
          <w:lang w:val="en"/>
        </w:rPr>
        <w:t xml:space="preserve"> in Australia</w:t>
      </w:r>
    </w:p>
    <w:p w14:paraId="7E329FD7"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p</w:t>
      </w:r>
      <w:r w:rsidR="00D21154">
        <w:rPr>
          <w:rFonts w:ascii="Tahoma" w:hAnsi="Tahoma" w:cs="Tahoma"/>
          <w:sz w:val="18"/>
          <w:szCs w:val="18"/>
          <w:lang w:val="en"/>
        </w:rPr>
        <w:t>atents that were granted in 2015</w:t>
      </w:r>
      <w:r w:rsidRPr="00784491">
        <w:rPr>
          <w:rFonts w:ascii="Tahoma" w:hAnsi="Tahoma" w:cs="Tahoma"/>
          <w:sz w:val="18"/>
          <w:szCs w:val="18"/>
          <w:lang w:val="en"/>
        </w:rPr>
        <w:t xml:space="preserve"> in the US</w:t>
      </w:r>
    </w:p>
    <w:p w14:paraId="772B0951"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patents that were granted in the European Patent Office (EPO)</w:t>
      </w:r>
    </w:p>
    <w:p w14:paraId="49116ABA"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p</w:t>
      </w:r>
      <w:r w:rsidR="00D21154">
        <w:rPr>
          <w:rFonts w:ascii="Tahoma" w:hAnsi="Tahoma" w:cs="Tahoma"/>
          <w:sz w:val="18"/>
          <w:szCs w:val="18"/>
          <w:lang w:val="en"/>
        </w:rPr>
        <w:t>atents that were granted in 2015</w:t>
      </w:r>
      <w:r w:rsidRPr="00784491">
        <w:rPr>
          <w:rFonts w:ascii="Tahoma" w:hAnsi="Tahoma" w:cs="Tahoma"/>
          <w:sz w:val="18"/>
          <w:szCs w:val="18"/>
          <w:lang w:val="en"/>
        </w:rPr>
        <w:t xml:space="preserve"> to an institution elsewhere</w:t>
      </w:r>
    </w:p>
    <w:p w14:paraId="3C38369D"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granted patents worldwide</w:t>
      </w:r>
    </w:p>
    <w:p w14:paraId="53940518"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patent families represented in patents worldwide</w:t>
      </w:r>
    </w:p>
    <w:p w14:paraId="70943E4F"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Number of patents that were culled or lapsed from an institu</w:t>
      </w:r>
      <w:r w:rsidR="00D21154">
        <w:rPr>
          <w:rFonts w:ascii="Tahoma" w:hAnsi="Tahoma" w:cs="Tahoma"/>
          <w:sz w:val="18"/>
          <w:szCs w:val="18"/>
          <w:lang w:val="en"/>
        </w:rPr>
        <w:t>tion holdings in 2015</w:t>
      </w:r>
    </w:p>
    <w:p w14:paraId="02275FAE"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Total number of patent applications held by an institution that are pending</w:t>
      </w:r>
    </w:p>
    <w:p w14:paraId="3B8E36CE"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Total number of patents held by an institutions that are granted</w:t>
      </w:r>
    </w:p>
    <w:p w14:paraId="59D95733"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Total number of PBRs that are held</w:t>
      </w:r>
    </w:p>
    <w:p w14:paraId="01F3329F"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Total number of PBRs that are granted and in force</w:t>
      </w:r>
    </w:p>
    <w:p w14:paraId="69E9B13C"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Total number of PBRs that are pending</w:t>
      </w:r>
    </w:p>
    <w:p w14:paraId="454142D6" w14:textId="77777777" w:rsidR="001D7776" w:rsidRPr="00784491" w:rsidRDefault="001D7776" w:rsidP="001D7776">
      <w:pPr>
        <w:pStyle w:val="ListParagraph"/>
        <w:numPr>
          <w:ilvl w:val="0"/>
          <w:numId w:val="4"/>
        </w:numPr>
        <w:rPr>
          <w:rFonts w:ascii="Tahoma" w:hAnsi="Tahoma" w:cs="Tahoma"/>
          <w:sz w:val="18"/>
          <w:szCs w:val="18"/>
          <w:lang w:val="en"/>
        </w:rPr>
      </w:pPr>
      <w:r w:rsidRPr="00784491">
        <w:rPr>
          <w:rFonts w:ascii="Tahoma" w:hAnsi="Tahoma" w:cs="Tahoma"/>
          <w:sz w:val="18"/>
          <w:szCs w:val="18"/>
          <w:lang w:val="en"/>
        </w:rPr>
        <w:t>Total number of patent families held by an institution</w:t>
      </w:r>
    </w:p>
    <w:p w14:paraId="73ADD5C5" w14:textId="77777777" w:rsidR="003C71FA" w:rsidRDefault="003C71FA" w:rsidP="004D4C42">
      <w:pPr>
        <w:rPr>
          <w:rFonts w:ascii="Tahoma" w:hAnsi="Tahoma" w:cs="Tahoma"/>
          <w:sz w:val="18"/>
          <w:szCs w:val="18"/>
          <w:lang w:val="en"/>
        </w:rPr>
      </w:pPr>
      <w:r>
        <w:rPr>
          <w:rFonts w:ascii="Tahoma" w:hAnsi="Tahoma" w:cs="Tahoma"/>
          <w:sz w:val="18"/>
          <w:szCs w:val="18"/>
          <w:lang w:val="en"/>
        </w:rPr>
        <w:t>In extracting patent and PBR time series data for NSRC participants, IP Australia captured data going back to 2000 – i.e. corresponding with the timespan of the NSRC dataset. It’s important to note the patent and PBR data for the period 2000-2015 is enti</w:t>
      </w:r>
      <w:r w:rsidR="00AA6836">
        <w:rPr>
          <w:rFonts w:ascii="Tahoma" w:hAnsi="Tahoma" w:cs="Tahoma"/>
          <w:sz w:val="18"/>
          <w:szCs w:val="18"/>
          <w:lang w:val="en"/>
        </w:rPr>
        <w:t xml:space="preserve">rely sourced from IP Australia, and </w:t>
      </w:r>
      <w:r>
        <w:rPr>
          <w:rFonts w:ascii="Tahoma" w:hAnsi="Tahoma" w:cs="Tahoma"/>
          <w:sz w:val="18"/>
          <w:szCs w:val="18"/>
          <w:lang w:val="en"/>
        </w:rPr>
        <w:t xml:space="preserve">replaces the patent and PBR data published </w:t>
      </w:r>
      <w:r w:rsidR="00AA6836">
        <w:rPr>
          <w:rFonts w:ascii="Tahoma" w:hAnsi="Tahoma" w:cs="Tahoma"/>
          <w:sz w:val="18"/>
          <w:szCs w:val="18"/>
          <w:lang w:val="en"/>
        </w:rPr>
        <w:t>by the department prior to the 2015 Review, which was obtained through NSRC survey methodology rather than IP Australia records.</w:t>
      </w:r>
    </w:p>
    <w:p w14:paraId="6EEED216" w14:textId="77777777" w:rsidR="001D7776" w:rsidRPr="004D4C42" w:rsidRDefault="001D7776" w:rsidP="004D4C42">
      <w:pPr>
        <w:rPr>
          <w:rFonts w:ascii="Tahoma" w:hAnsi="Tahoma" w:cs="Tahoma"/>
          <w:sz w:val="18"/>
          <w:szCs w:val="18"/>
          <w:lang w:val="en"/>
        </w:rPr>
      </w:pPr>
      <w:r>
        <w:rPr>
          <w:rFonts w:ascii="Tahoma" w:hAnsi="Tahoma" w:cs="Tahoma"/>
          <w:sz w:val="18"/>
          <w:szCs w:val="18"/>
          <w:lang w:val="en"/>
        </w:rPr>
        <w:t>Where</w:t>
      </w:r>
      <w:r w:rsidRPr="004D4C42">
        <w:rPr>
          <w:rFonts w:ascii="Tahoma" w:hAnsi="Tahoma" w:cs="Tahoma"/>
          <w:sz w:val="18"/>
          <w:szCs w:val="18"/>
          <w:lang w:val="en"/>
        </w:rPr>
        <w:t xml:space="preserve"> applicable, data reported by IP Australia’s Patent Analytics Hub for universities and their corresponding technology transfer offices or commercialisation offices were tallied and reported as one reporting entity (for example data for NewSouthInnovations was counted under the University of New South). </w:t>
      </w:r>
    </w:p>
    <w:p w14:paraId="5AFE8901" w14:textId="77777777" w:rsidR="001D7776" w:rsidRPr="004D4C42" w:rsidRDefault="001D7776">
      <w:pPr>
        <w:rPr>
          <w:rFonts w:ascii="Tahoma" w:hAnsi="Tahoma" w:cs="Tahoma"/>
          <w:sz w:val="18"/>
          <w:szCs w:val="18"/>
          <w:lang w:val="en"/>
        </w:rPr>
      </w:pPr>
    </w:p>
    <w:p w14:paraId="71DAE4AB" w14:textId="77777777" w:rsidR="001D7776" w:rsidRPr="004D4C42" w:rsidRDefault="001D7776" w:rsidP="004D4C42">
      <w:pPr>
        <w:rPr>
          <w:rFonts w:ascii="Tahoma" w:eastAsia="Times New Roman" w:hAnsi="Tahoma" w:cs="Tahoma"/>
          <w:b/>
          <w:bCs/>
          <w:color w:val="666666"/>
          <w:sz w:val="25"/>
          <w:szCs w:val="25"/>
          <w:lang w:val="en"/>
        </w:rPr>
      </w:pPr>
      <w:r w:rsidRPr="004D4C42">
        <w:rPr>
          <w:rFonts w:ascii="Tahoma" w:eastAsia="Times New Roman" w:hAnsi="Tahoma" w:cs="Tahoma"/>
          <w:b/>
          <w:bCs/>
          <w:color w:val="666666"/>
          <w:sz w:val="25"/>
          <w:szCs w:val="25"/>
          <w:lang w:val="en"/>
        </w:rPr>
        <w:t>Publication</w:t>
      </w:r>
    </w:p>
    <w:p w14:paraId="7583773E" w14:textId="77777777" w:rsidR="00131D84" w:rsidRPr="004D4C42" w:rsidRDefault="00131D84" w:rsidP="004D4C42">
      <w:pPr>
        <w:rPr>
          <w:rFonts w:ascii="Tahoma" w:hAnsi="Tahoma" w:cs="Tahoma"/>
          <w:sz w:val="18"/>
          <w:szCs w:val="18"/>
          <w:lang w:val="en"/>
        </w:rPr>
      </w:pPr>
      <w:r w:rsidRPr="004D4C42">
        <w:rPr>
          <w:rFonts w:ascii="Tahoma" w:hAnsi="Tahoma" w:cs="Tahoma"/>
          <w:sz w:val="18"/>
          <w:szCs w:val="18"/>
          <w:lang w:val="en"/>
        </w:rPr>
        <w:t xml:space="preserve">The main data products associated with the 2015 </w:t>
      </w:r>
      <w:r w:rsidR="007D6CBC" w:rsidRPr="004D4C42">
        <w:rPr>
          <w:rFonts w:ascii="Tahoma" w:hAnsi="Tahoma" w:cs="Tahoma"/>
          <w:sz w:val="18"/>
          <w:szCs w:val="18"/>
          <w:lang w:val="en"/>
        </w:rPr>
        <w:t xml:space="preserve">NSRC IP </w:t>
      </w:r>
      <w:r w:rsidRPr="004D4C42">
        <w:rPr>
          <w:rFonts w:ascii="Tahoma" w:hAnsi="Tahoma" w:cs="Tahoma"/>
          <w:sz w:val="18"/>
          <w:szCs w:val="18"/>
          <w:lang w:val="en"/>
        </w:rPr>
        <w:t>data collection include</w:t>
      </w:r>
      <w:r w:rsidR="007D6CBC" w:rsidRPr="004D4C42">
        <w:rPr>
          <w:rFonts w:ascii="Tahoma" w:hAnsi="Tahoma" w:cs="Tahoma"/>
          <w:sz w:val="18"/>
          <w:szCs w:val="18"/>
          <w:lang w:val="en"/>
        </w:rPr>
        <w:t xml:space="preserve"> the following</w:t>
      </w:r>
      <w:r w:rsidRPr="004D4C42">
        <w:rPr>
          <w:rFonts w:ascii="Tahoma" w:hAnsi="Tahoma" w:cs="Tahoma"/>
          <w:sz w:val="18"/>
          <w:szCs w:val="18"/>
          <w:lang w:val="en"/>
        </w:rPr>
        <w:t>:</w:t>
      </w:r>
    </w:p>
    <w:p w14:paraId="4F8280EE" w14:textId="77777777" w:rsidR="004D4C42" w:rsidRPr="000B0DD5" w:rsidRDefault="004D4C42" w:rsidP="004D4C42">
      <w:pPr>
        <w:pStyle w:val="ListParagraph"/>
        <w:numPr>
          <w:ilvl w:val="0"/>
          <w:numId w:val="4"/>
        </w:numPr>
        <w:rPr>
          <w:rFonts w:ascii="Tahoma" w:hAnsi="Tahoma" w:cs="Tahoma"/>
          <w:sz w:val="18"/>
          <w:szCs w:val="18"/>
          <w:lang w:val="en"/>
        </w:rPr>
      </w:pPr>
      <w:r w:rsidRPr="000B0DD5">
        <w:rPr>
          <w:rFonts w:ascii="Tahoma" w:hAnsi="Tahoma" w:cs="Tahoma"/>
          <w:sz w:val="18"/>
          <w:szCs w:val="18"/>
          <w:lang w:val="en"/>
        </w:rPr>
        <w:t xml:space="preserve">NSRC </w:t>
      </w:r>
      <w:r w:rsidR="00475A3B" w:rsidRPr="000B0DD5">
        <w:rPr>
          <w:rFonts w:ascii="Tahoma" w:hAnsi="Tahoma" w:cs="Tahoma"/>
          <w:sz w:val="18"/>
          <w:szCs w:val="18"/>
          <w:lang w:val="en"/>
        </w:rPr>
        <w:t>Patent activity</w:t>
      </w:r>
      <w:r w:rsidR="00047A42" w:rsidRPr="000B0DD5">
        <w:rPr>
          <w:rFonts w:ascii="Tahoma" w:hAnsi="Tahoma" w:cs="Tahoma"/>
          <w:sz w:val="18"/>
          <w:szCs w:val="18"/>
          <w:lang w:val="en"/>
        </w:rPr>
        <w:t xml:space="preserve"> </w:t>
      </w:r>
      <w:r w:rsidRPr="000B0DD5">
        <w:rPr>
          <w:rFonts w:ascii="Tahoma" w:hAnsi="Tahoma" w:cs="Tahoma"/>
          <w:sz w:val="18"/>
          <w:szCs w:val="18"/>
          <w:lang w:val="en"/>
        </w:rPr>
        <w:t>2015</w:t>
      </w:r>
    </w:p>
    <w:p w14:paraId="5C990A98" w14:textId="77777777" w:rsidR="00B66BB2" w:rsidRPr="004D4C42" w:rsidRDefault="00047A42" w:rsidP="004D4C42">
      <w:pPr>
        <w:pStyle w:val="ListParagraph"/>
        <w:numPr>
          <w:ilvl w:val="0"/>
          <w:numId w:val="4"/>
        </w:numPr>
        <w:rPr>
          <w:rFonts w:ascii="Tahoma" w:hAnsi="Tahoma" w:cs="Tahoma"/>
          <w:sz w:val="18"/>
          <w:szCs w:val="18"/>
          <w:lang w:val="en"/>
        </w:rPr>
      </w:pPr>
      <w:r>
        <w:rPr>
          <w:rFonts w:ascii="Tahoma" w:hAnsi="Tahoma" w:cs="Tahoma"/>
          <w:sz w:val="18"/>
          <w:szCs w:val="18"/>
          <w:lang w:val="en"/>
        </w:rPr>
        <w:t>NSRC Patent activity</w:t>
      </w:r>
      <w:r w:rsidR="00B66BB2" w:rsidRPr="004D4C42">
        <w:rPr>
          <w:rFonts w:ascii="Tahoma" w:hAnsi="Tahoma" w:cs="Tahoma"/>
          <w:sz w:val="18"/>
          <w:szCs w:val="18"/>
          <w:lang w:val="en"/>
        </w:rPr>
        <w:t xml:space="preserve"> </w:t>
      </w:r>
      <w:r w:rsidR="004D4C42">
        <w:rPr>
          <w:rFonts w:ascii="Tahoma" w:hAnsi="Tahoma" w:cs="Tahoma"/>
          <w:sz w:val="18"/>
          <w:szCs w:val="18"/>
          <w:lang w:val="en"/>
        </w:rPr>
        <w:t xml:space="preserve">time series </w:t>
      </w:r>
      <w:r w:rsidR="00B66BB2" w:rsidRPr="004D4C42">
        <w:rPr>
          <w:rFonts w:ascii="Tahoma" w:hAnsi="Tahoma" w:cs="Tahoma"/>
          <w:sz w:val="18"/>
          <w:szCs w:val="18"/>
          <w:lang w:val="en"/>
        </w:rPr>
        <w:t>2000-201</w:t>
      </w:r>
      <w:r w:rsidR="0040731A" w:rsidRPr="004D4C42">
        <w:rPr>
          <w:rFonts w:ascii="Tahoma" w:hAnsi="Tahoma" w:cs="Tahoma"/>
          <w:sz w:val="18"/>
          <w:szCs w:val="18"/>
          <w:lang w:val="en"/>
        </w:rPr>
        <w:t>5</w:t>
      </w:r>
    </w:p>
    <w:p w14:paraId="763844C7" w14:textId="77777777" w:rsidR="00B66BB2" w:rsidRPr="004D4C42" w:rsidRDefault="00B66BB2" w:rsidP="004D4C42">
      <w:pPr>
        <w:pStyle w:val="ListParagraph"/>
        <w:numPr>
          <w:ilvl w:val="0"/>
          <w:numId w:val="4"/>
        </w:numPr>
        <w:rPr>
          <w:rFonts w:ascii="Tahoma" w:hAnsi="Tahoma" w:cs="Tahoma"/>
          <w:sz w:val="18"/>
          <w:szCs w:val="18"/>
          <w:lang w:val="en"/>
        </w:rPr>
      </w:pPr>
      <w:r w:rsidRPr="000B0DD5">
        <w:rPr>
          <w:rFonts w:ascii="Tahoma" w:hAnsi="Tahoma" w:cs="Tahoma"/>
          <w:sz w:val="18"/>
          <w:szCs w:val="18"/>
          <w:lang w:val="en"/>
        </w:rPr>
        <w:t>Summary Patent and PBR</w:t>
      </w:r>
      <w:r w:rsidR="001D7776" w:rsidRPr="000B0DD5">
        <w:rPr>
          <w:rFonts w:ascii="Tahoma" w:hAnsi="Tahoma" w:cs="Tahoma"/>
          <w:sz w:val="18"/>
          <w:szCs w:val="18"/>
          <w:lang w:val="en"/>
        </w:rPr>
        <w:t xml:space="preserve"> holdings</w:t>
      </w:r>
      <w:r w:rsidRPr="000B0DD5">
        <w:rPr>
          <w:rFonts w:ascii="Tahoma" w:hAnsi="Tahoma" w:cs="Tahoma"/>
          <w:sz w:val="18"/>
          <w:szCs w:val="18"/>
          <w:lang w:val="en"/>
        </w:rPr>
        <w:t xml:space="preserve"> 2000-201</w:t>
      </w:r>
      <w:r w:rsidR="00775BAB" w:rsidRPr="000B0DD5">
        <w:rPr>
          <w:rFonts w:ascii="Tahoma" w:hAnsi="Tahoma" w:cs="Tahoma"/>
          <w:sz w:val="18"/>
          <w:szCs w:val="18"/>
          <w:lang w:val="en"/>
        </w:rPr>
        <w:t>5</w:t>
      </w:r>
    </w:p>
    <w:p w14:paraId="67B38525" w14:textId="77777777" w:rsidR="001D7776" w:rsidRPr="00784491" w:rsidRDefault="00AA6836" w:rsidP="001D7776">
      <w:pPr>
        <w:rPr>
          <w:rFonts w:ascii="Tahoma" w:hAnsi="Tahoma" w:cs="Tahoma"/>
          <w:sz w:val="18"/>
          <w:szCs w:val="18"/>
          <w:lang w:val="en"/>
        </w:rPr>
      </w:pPr>
      <w:r>
        <w:rPr>
          <w:rFonts w:ascii="Tahoma" w:hAnsi="Tahoma" w:cs="Tahoma"/>
          <w:sz w:val="18"/>
          <w:szCs w:val="18"/>
          <w:lang w:val="en"/>
        </w:rPr>
        <w:lastRenderedPageBreak/>
        <w:t>The</w:t>
      </w:r>
      <w:r w:rsidR="001D7776">
        <w:rPr>
          <w:rFonts w:ascii="Tahoma" w:hAnsi="Tahoma" w:cs="Tahoma"/>
          <w:sz w:val="18"/>
          <w:szCs w:val="18"/>
          <w:lang w:val="en"/>
        </w:rPr>
        <w:t xml:space="preserve"> published </w:t>
      </w:r>
      <w:r w:rsidR="003C71FA">
        <w:rPr>
          <w:rFonts w:ascii="Tahoma" w:hAnsi="Tahoma" w:cs="Tahoma"/>
          <w:sz w:val="18"/>
          <w:szCs w:val="18"/>
          <w:lang w:val="en"/>
        </w:rPr>
        <w:t>datasets contain patent and PBR</w:t>
      </w:r>
      <w:r w:rsidR="001D7776" w:rsidRPr="00784491">
        <w:rPr>
          <w:rFonts w:ascii="Tahoma" w:hAnsi="Tahoma" w:cs="Tahoma"/>
          <w:sz w:val="18"/>
          <w:szCs w:val="18"/>
          <w:lang w:val="en"/>
        </w:rPr>
        <w:t xml:space="preserve"> data for </w:t>
      </w:r>
      <w:r w:rsidR="001D7776" w:rsidRPr="000B0DD5">
        <w:rPr>
          <w:rFonts w:ascii="Tahoma" w:hAnsi="Tahoma" w:cs="Tahoma"/>
          <w:sz w:val="18"/>
          <w:szCs w:val="18"/>
          <w:lang w:val="en"/>
        </w:rPr>
        <w:t>NSRC 2015 participants</w:t>
      </w:r>
      <w:r w:rsidR="00A20EA1">
        <w:rPr>
          <w:rFonts w:ascii="Tahoma" w:hAnsi="Tahoma" w:cs="Tahoma"/>
          <w:sz w:val="18"/>
          <w:szCs w:val="18"/>
          <w:lang w:val="en"/>
        </w:rPr>
        <w:t xml:space="preserve"> only</w:t>
      </w:r>
      <w:r w:rsidR="001D7776" w:rsidRPr="00784491">
        <w:rPr>
          <w:rFonts w:ascii="Tahoma" w:hAnsi="Tahoma" w:cs="Tahoma"/>
          <w:sz w:val="18"/>
          <w:szCs w:val="18"/>
          <w:lang w:val="en"/>
        </w:rPr>
        <w:t xml:space="preserve">. More detailed spreadsheets that include additional research institutions which are not NSRC participants can be found on the </w:t>
      </w:r>
      <w:hyperlink r:id="rId6" w:history="1">
        <w:r w:rsidR="001D7776" w:rsidRPr="00784491">
          <w:rPr>
            <w:rStyle w:val="Hyperlink"/>
            <w:rFonts w:ascii="Tahoma" w:hAnsi="Tahoma" w:cs="Tahoma"/>
            <w:sz w:val="18"/>
            <w:szCs w:val="18"/>
            <w:lang w:val="en"/>
          </w:rPr>
          <w:t>Patent Analytics Hub website</w:t>
        </w:r>
      </w:hyperlink>
      <w:r w:rsidR="001D7776" w:rsidRPr="00784491">
        <w:rPr>
          <w:rStyle w:val="Hyperlink"/>
          <w:rFonts w:ascii="Tahoma" w:hAnsi="Tahoma" w:cs="Tahoma"/>
          <w:sz w:val="18"/>
          <w:szCs w:val="18"/>
          <w:lang w:val="en"/>
        </w:rPr>
        <w:t>.</w:t>
      </w:r>
    </w:p>
    <w:p w14:paraId="6D07CA35" w14:textId="24A62299" w:rsidR="00131D84" w:rsidRPr="004D4C42" w:rsidRDefault="00131D84" w:rsidP="001A55D8">
      <w:pPr>
        <w:rPr>
          <w:rFonts w:ascii="Tahoma" w:hAnsi="Tahoma" w:cs="Tahoma"/>
          <w:color w:val="000000" w:themeColor="text1"/>
          <w:sz w:val="18"/>
          <w:szCs w:val="18"/>
          <w:lang w:val="en"/>
        </w:rPr>
      </w:pPr>
      <w:r w:rsidRPr="004D4C42">
        <w:rPr>
          <w:rFonts w:ascii="Tahoma" w:eastAsia="Times New Roman" w:hAnsi="Tahoma" w:cs="Tahoma"/>
          <w:color w:val="000000" w:themeColor="text1"/>
          <w:sz w:val="18"/>
          <w:szCs w:val="18"/>
          <w:lang w:val="en"/>
        </w:rPr>
        <w:t xml:space="preserve">The Department has developed a new interactive tool, </w:t>
      </w:r>
      <w:commentRangeStart w:id="1"/>
      <w:r w:rsidRPr="004D4C42">
        <w:rPr>
          <w:rFonts w:ascii="Tahoma" w:eastAsia="Times New Roman" w:hAnsi="Tahoma" w:cs="Tahoma"/>
          <w:color w:val="000000" w:themeColor="text1"/>
          <w:sz w:val="18"/>
          <w:szCs w:val="18"/>
          <w:lang w:val="en"/>
        </w:rPr>
        <w:t>‘</w:t>
      </w:r>
      <w:hyperlink r:id="rId7" w:history="1">
        <w:r w:rsidRPr="004D4C42">
          <w:rPr>
            <w:rStyle w:val="Hyperlink"/>
            <w:rFonts w:ascii="Tahoma" w:eastAsia="Times New Roman" w:hAnsi="Tahoma" w:cs="Tahoma"/>
            <w:color w:val="2E74B5" w:themeColor="accent1" w:themeShade="BF"/>
            <w:sz w:val="18"/>
            <w:szCs w:val="18"/>
            <w:lang w:val="en"/>
          </w:rPr>
          <w:t>NSRC Viz</w:t>
        </w:r>
        <w:r w:rsidRPr="004D4C42">
          <w:rPr>
            <w:rStyle w:val="Hyperlink"/>
            <w:rFonts w:ascii="Tahoma" w:eastAsia="Times New Roman" w:hAnsi="Tahoma" w:cs="Tahoma"/>
            <w:color w:val="000000" w:themeColor="text1"/>
            <w:sz w:val="18"/>
            <w:szCs w:val="18"/>
            <w:lang w:val="en"/>
          </w:rPr>
          <w:t>’</w:t>
        </w:r>
      </w:hyperlink>
      <w:commentRangeEnd w:id="1"/>
      <w:r w:rsidR="00A83255">
        <w:rPr>
          <w:rStyle w:val="CommentReference"/>
        </w:rPr>
        <w:commentReference w:id="1"/>
      </w:r>
      <w:r w:rsidRPr="004D4C42">
        <w:rPr>
          <w:rFonts w:ascii="Tahoma" w:eastAsia="Times New Roman" w:hAnsi="Tahoma" w:cs="Tahoma"/>
          <w:color w:val="000000" w:themeColor="text1"/>
          <w:sz w:val="18"/>
          <w:szCs w:val="18"/>
          <w:lang w:val="en"/>
        </w:rPr>
        <w:t>, to assist with visualisation and analysis of NSRC data, including IP data.</w:t>
      </w:r>
    </w:p>
    <w:p w14:paraId="5EE5576D" w14:textId="0DF26ECB" w:rsidR="001A55D8" w:rsidRPr="004D4C42" w:rsidRDefault="001A55D8" w:rsidP="001A55D8">
      <w:pPr>
        <w:rPr>
          <w:rFonts w:ascii="Tahoma" w:hAnsi="Tahoma" w:cs="Tahoma"/>
          <w:sz w:val="18"/>
          <w:szCs w:val="18"/>
          <w:lang w:val="en"/>
        </w:rPr>
      </w:pPr>
      <w:r w:rsidRPr="004D4C42">
        <w:rPr>
          <w:rFonts w:ascii="Tahoma" w:hAnsi="Tahoma" w:cs="Tahoma"/>
          <w:sz w:val="18"/>
          <w:szCs w:val="18"/>
          <w:lang w:val="en"/>
        </w:rPr>
        <w:t xml:space="preserve">Each published dataset is accompanied by a data dictionary which provides a definition of each data </w:t>
      </w:r>
      <w:r w:rsidR="002F3866" w:rsidRPr="004D4C42">
        <w:rPr>
          <w:rFonts w:ascii="Tahoma" w:hAnsi="Tahoma" w:cs="Tahoma"/>
          <w:sz w:val="18"/>
          <w:szCs w:val="18"/>
          <w:lang w:val="en"/>
        </w:rPr>
        <w:t>metric.</w:t>
      </w:r>
    </w:p>
    <w:p w14:paraId="1F57DA53" w14:textId="77777777" w:rsidR="00FD555B" w:rsidRDefault="00FD555B">
      <w:pPr>
        <w:rPr>
          <w:rFonts w:ascii="Tahoma" w:eastAsia="Times New Roman" w:hAnsi="Tahoma" w:cs="Tahoma"/>
          <w:b/>
          <w:color w:val="666666"/>
          <w:sz w:val="18"/>
          <w:szCs w:val="18"/>
          <w:lang w:val="en"/>
        </w:rPr>
      </w:pPr>
      <w:r>
        <w:rPr>
          <w:rFonts w:ascii="Tahoma" w:eastAsia="Times New Roman" w:hAnsi="Tahoma" w:cs="Tahoma"/>
          <w:b/>
          <w:color w:val="666666"/>
          <w:sz w:val="18"/>
          <w:szCs w:val="18"/>
          <w:lang w:val="en"/>
        </w:rPr>
        <w:br w:type="page"/>
      </w:r>
    </w:p>
    <w:p w14:paraId="085F60F2" w14:textId="77777777" w:rsidR="00FD555B" w:rsidRPr="00F307CF" w:rsidRDefault="00FD555B" w:rsidP="00FD555B">
      <w:pPr>
        <w:spacing w:after="0" w:line="336" w:lineRule="atLeast"/>
        <w:jc w:val="right"/>
        <w:outlineLvl w:val="2"/>
        <w:rPr>
          <w:rFonts w:ascii="Tahoma" w:eastAsia="Times New Roman" w:hAnsi="Tahoma" w:cs="Tahoma"/>
          <w:b/>
          <w:color w:val="666666"/>
          <w:sz w:val="18"/>
          <w:szCs w:val="18"/>
          <w:lang w:val="en"/>
        </w:rPr>
      </w:pPr>
      <w:r w:rsidRPr="00F307CF">
        <w:rPr>
          <w:rFonts w:ascii="Tahoma" w:eastAsia="Times New Roman" w:hAnsi="Tahoma" w:cs="Tahoma"/>
          <w:b/>
          <w:color w:val="666666"/>
          <w:sz w:val="18"/>
          <w:szCs w:val="18"/>
          <w:lang w:val="en"/>
        </w:rPr>
        <w:lastRenderedPageBreak/>
        <w:t>ATTACHMENT A</w:t>
      </w:r>
    </w:p>
    <w:p w14:paraId="4E16DFA2" w14:textId="77777777" w:rsidR="00FD555B" w:rsidRPr="00F307CF" w:rsidRDefault="00FD555B" w:rsidP="00FD555B">
      <w:pPr>
        <w:spacing w:after="0" w:line="336" w:lineRule="atLeast"/>
        <w:outlineLvl w:val="2"/>
        <w:rPr>
          <w:rFonts w:ascii="Tahoma" w:eastAsia="Times New Roman" w:hAnsi="Tahoma" w:cs="Tahoma"/>
          <w:b/>
          <w:bCs/>
          <w:color w:val="666666"/>
          <w:lang w:val="en"/>
        </w:rPr>
      </w:pPr>
      <w:r w:rsidRPr="00F307CF">
        <w:rPr>
          <w:rFonts w:ascii="Tahoma" w:eastAsia="Times New Roman" w:hAnsi="Tahoma" w:cs="Tahoma"/>
          <w:b/>
          <w:bCs/>
          <w:color w:val="666666"/>
          <w:lang w:val="en"/>
        </w:rPr>
        <w:t>2015 NSRC Participants</w:t>
      </w:r>
    </w:p>
    <w:p w14:paraId="5E8E1AC6" w14:textId="77777777" w:rsidR="00FD555B" w:rsidRDefault="00FD555B" w:rsidP="00FD555B">
      <w:pPr>
        <w:spacing w:after="0" w:line="336" w:lineRule="atLeast"/>
        <w:outlineLvl w:val="2"/>
        <w:rPr>
          <w:rFonts w:ascii="Tahoma" w:eastAsia="Times New Roman" w:hAnsi="Tahoma" w:cs="Tahoma"/>
          <w:b/>
          <w:bCs/>
          <w:color w:val="666666"/>
          <w:highlight w:val="yellow"/>
          <w:lang w:val="en"/>
        </w:rPr>
      </w:pPr>
      <w:r w:rsidRPr="001E49E4">
        <w:rPr>
          <w:rFonts w:ascii="Tahoma" w:eastAsia="Times New Roman" w:hAnsi="Tahoma" w:cs="Tahoma"/>
          <w:b/>
          <w:bCs/>
          <w:color w:val="666666"/>
          <w:lang w:val="en"/>
        </w:rPr>
        <w:t>Universities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3010"/>
        <w:gridCol w:w="3006"/>
        <w:gridCol w:w="3010"/>
      </w:tblGrid>
      <w:tr w:rsidR="00FD555B" w14:paraId="54978C4A" w14:textId="77777777" w:rsidTr="006C199D">
        <w:tc>
          <w:tcPr>
            <w:tcW w:w="3116" w:type="dxa"/>
            <w:shd w:val="clear" w:color="auto" w:fill="FFFFFF" w:themeFill="background1"/>
          </w:tcPr>
          <w:p w14:paraId="0CA5FE5E"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Australian Catholic University</w:t>
            </w:r>
          </w:p>
        </w:tc>
        <w:tc>
          <w:tcPr>
            <w:tcW w:w="3117" w:type="dxa"/>
            <w:shd w:val="clear" w:color="auto" w:fill="FFFFFF" w:themeFill="background1"/>
          </w:tcPr>
          <w:p w14:paraId="571C06DB"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Charles Darwin University</w:t>
            </w:r>
          </w:p>
        </w:tc>
        <w:tc>
          <w:tcPr>
            <w:tcW w:w="3117" w:type="dxa"/>
            <w:shd w:val="clear" w:color="auto" w:fill="FFFFFF" w:themeFill="background1"/>
          </w:tcPr>
          <w:p w14:paraId="693FEDED"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Charles Sturt University</w:t>
            </w:r>
          </w:p>
        </w:tc>
      </w:tr>
      <w:tr w:rsidR="00FD555B" w14:paraId="57E6BCCC" w14:textId="77777777" w:rsidTr="006C199D">
        <w:tc>
          <w:tcPr>
            <w:tcW w:w="3116" w:type="dxa"/>
            <w:shd w:val="clear" w:color="auto" w:fill="FFFFFF" w:themeFill="background1"/>
          </w:tcPr>
          <w:p w14:paraId="54EDE200"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CQUniversity</w:t>
            </w:r>
          </w:p>
        </w:tc>
        <w:tc>
          <w:tcPr>
            <w:tcW w:w="3117" w:type="dxa"/>
            <w:shd w:val="clear" w:color="auto" w:fill="FFFFFF" w:themeFill="background1"/>
          </w:tcPr>
          <w:p w14:paraId="45040226"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Curtin University of Technology</w:t>
            </w:r>
          </w:p>
        </w:tc>
        <w:tc>
          <w:tcPr>
            <w:tcW w:w="3117" w:type="dxa"/>
            <w:shd w:val="clear" w:color="auto" w:fill="FFFFFF" w:themeFill="background1"/>
          </w:tcPr>
          <w:p w14:paraId="45D35813"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Deakin University</w:t>
            </w:r>
          </w:p>
        </w:tc>
      </w:tr>
      <w:tr w:rsidR="00FD555B" w14:paraId="7682E5BD" w14:textId="77777777" w:rsidTr="006C199D">
        <w:tc>
          <w:tcPr>
            <w:tcW w:w="3116" w:type="dxa"/>
            <w:shd w:val="clear" w:color="auto" w:fill="FFFFFF" w:themeFill="background1"/>
          </w:tcPr>
          <w:p w14:paraId="49E5CD87"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Edith Cowan University</w:t>
            </w:r>
          </w:p>
        </w:tc>
        <w:tc>
          <w:tcPr>
            <w:tcW w:w="3117" w:type="dxa"/>
            <w:shd w:val="clear" w:color="auto" w:fill="FFFFFF" w:themeFill="background1"/>
          </w:tcPr>
          <w:p w14:paraId="100A91B5"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Federation University Australia</w:t>
            </w:r>
          </w:p>
        </w:tc>
        <w:tc>
          <w:tcPr>
            <w:tcW w:w="3117" w:type="dxa"/>
            <w:shd w:val="clear" w:color="auto" w:fill="FFFFFF" w:themeFill="background1"/>
          </w:tcPr>
          <w:p w14:paraId="0084822F"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Flinders University</w:t>
            </w:r>
          </w:p>
        </w:tc>
      </w:tr>
      <w:tr w:rsidR="00FD555B" w14:paraId="6850E83E" w14:textId="77777777" w:rsidTr="006C199D">
        <w:tc>
          <w:tcPr>
            <w:tcW w:w="3116" w:type="dxa"/>
            <w:shd w:val="clear" w:color="auto" w:fill="FFFFFF" w:themeFill="background1"/>
          </w:tcPr>
          <w:p w14:paraId="16B48B5C"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Griffith University</w:t>
            </w:r>
          </w:p>
        </w:tc>
        <w:tc>
          <w:tcPr>
            <w:tcW w:w="3117" w:type="dxa"/>
            <w:shd w:val="clear" w:color="auto" w:fill="FFFFFF" w:themeFill="background1"/>
          </w:tcPr>
          <w:p w14:paraId="275305A4"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James Cook University</w:t>
            </w:r>
          </w:p>
        </w:tc>
        <w:tc>
          <w:tcPr>
            <w:tcW w:w="3117" w:type="dxa"/>
            <w:shd w:val="clear" w:color="auto" w:fill="FFFFFF" w:themeFill="background1"/>
          </w:tcPr>
          <w:p w14:paraId="370C276A"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Latrobe University</w:t>
            </w:r>
          </w:p>
        </w:tc>
      </w:tr>
      <w:tr w:rsidR="00FD555B" w14:paraId="16A02CDE" w14:textId="77777777" w:rsidTr="006C199D">
        <w:tc>
          <w:tcPr>
            <w:tcW w:w="3116" w:type="dxa"/>
            <w:shd w:val="clear" w:color="auto" w:fill="FFFFFF" w:themeFill="background1"/>
          </w:tcPr>
          <w:p w14:paraId="02EA9175"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Macquarie University</w:t>
            </w:r>
          </w:p>
        </w:tc>
        <w:tc>
          <w:tcPr>
            <w:tcW w:w="3117" w:type="dxa"/>
            <w:shd w:val="clear" w:color="auto" w:fill="FFFFFF" w:themeFill="background1"/>
          </w:tcPr>
          <w:p w14:paraId="7BDADD70"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Monash University</w:t>
            </w:r>
          </w:p>
        </w:tc>
        <w:tc>
          <w:tcPr>
            <w:tcW w:w="3117" w:type="dxa"/>
            <w:shd w:val="clear" w:color="auto" w:fill="FFFFFF" w:themeFill="background1"/>
          </w:tcPr>
          <w:p w14:paraId="166E0AC7"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Murdoch University</w:t>
            </w:r>
          </w:p>
        </w:tc>
      </w:tr>
      <w:tr w:rsidR="00FD555B" w14:paraId="1EEE3EA0" w14:textId="77777777" w:rsidTr="006C199D">
        <w:tc>
          <w:tcPr>
            <w:tcW w:w="3116" w:type="dxa"/>
            <w:shd w:val="clear" w:color="auto" w:fill="FFFFFF" w:themeFill="background1"/>
          </w:tcPr>
          <w:p w14:paraId="19E5F972" w14:textId="77777777" w:rsidR="00FD555B" w:rsidRPr="001E49E4"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Newcastle Innovation </w:t>
            </w:r>
            <w:r>
              <w:rPr>
                <w:rFonts w:ascii="Tahoma" w:eastAsia="Times New Roman" w:hAnsi="Tahoma" w:cs="Tahoma"/>
                <w:color w:val="666666"/>
                <w:sz w:val="18"/>
                <w:szCs w:val="18"/>
                <w:lang w:val="en"/>
              </w:rPr>
              <w:t xml:space="preserve">Ltd </w:t>
            </w:r>
            <w:r w:rsidRPr="00F307CF">
              <w:rPr>
                <w:rFonts w:ascii="Tahoma" w:eastAsia="Times New Roman" w:hAnsi="Tahoma" w:cs="Tahoma"/>
                <w:color w:val="666666"/>
                <w:sz w:val="16"/>
                <w:szCs w:val="16"/>
                <w:lang w:val="en"/>
              </w:rPr>
              <w:t>(University of Newcastle, controlled entity)</w:t>
            </w:r>
          </w:p>
        </w:tc>
        <w:tc>
          <w:tcPr>
            <w:tcW w:w="3117" w:type="dxa"/>
            <w:shd w:val="clear" w:color="auto" w:fill="FFFFFF" w:themeFill="background1"/>
          </w:tcPr>
          <w:p w14:paraId="269F581E" w14:textId="77777777" w:rsidR="00FD555B" w:rsidRDefault="00FD555B" w:rsidP="006C199D">
            <w:pPr>
              <w:outlineLvl w:val="2"/>
              <w:rPr>
                <w:rFonts w:ascii="Tahoma" w:eastAsia="Times New Roman" w:hAnsi="Tahoma" w:cs="Tahoma"/>
                <w:b/>
                <w:bCs/>
                <w:color w:val="666666"/>
                <w:highlight w:val="yellow"/>
                <w:lang w:val="en"/>
              </w:rPr>
            </w:pPr>
            <w:r w:rsidRPr="00CF76E1">
              <w:rPr>
                <w:rFonts w:ascii="Tahoma" w:eastAsia="Times New Roman" w:hAnsi="Tahoma" w:cs="Tahoma"/>
                <w:color w:val="666666"/>
                <w:sz w:val="18"/>
                <w:szCs w:val="18"/>
                <w:lang w:val="en"/>
              </w:rPr>
              <w:t>Queensland University of Technology</w:t>
            </w:r>
          </w:p>
        </w:tc>
        <w:tc>
          <w:tcPr>
            <w:tcW w:w="3117" w:type="dxa"/>
            <w:shd w:val="clear" w:color="auto" w:fill="FFFFFF" w:themeFill="background1"/>
          </w:tcPr>
          <w:p w14:paraId="4A04383C"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RMIT University</w:t>
            </w:r>
          </w:p>
        </w:tc>
      </w:tr>
      <w:tr w:rsidR="00FD555B" w14:paraId="717C0992" w14:textId="77777777" w:rsidTr="006C199D">
        <w:tc>
          <w:tcPr>
            <w:tcW w:w="3116" w:type="dxa"/>
            <w:shd w:val="clear" w:color="auto" w:fill="FFFFFF" w:themeFill="background1"/>
          </w:tcPr>
          <w:p w14:paraId="34E53806" w14:textId="77777777" w:rsidR="00FD555B" w:rsidRPr="001E49E4"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Southern Cross University</w:t>
            </w:r>
          </w:p>
        </w:tc>
        <w:tc>
          <w:tcPr>
            <w:tcW w:w="3117" w:type="dxa"/>
            <w:shd w:val="clear" w:color="auto" w:fill="FFFFFF" w:themeFill="background1"/>
          </w:tcPr>
          <w:p w14:paraId="58A304FC"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Swinburne University of technology</w:t>
            </w:r>
          </w:p>
        </w:tc>
        <w:tc>
          <w:tcPr>
            <w:tcW w:w="3117" w:type="dxa"/>
            <w:shd w:val="clear" w:color="auto" w:fill="FFFFFF" w:themeFill="background1"/>
          </w:tcPr>
          <w:p w14:paraId="01032A57"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The Australian National University</w:t>
            </w:r>
          </w:p>
        </w:tc>
      </w:tr>
      <w:tr w:rsidR="00FD555B" w14:paraId="05A27CAB" w14:textId="77777777" w:rsidTr="006C199D">
        <w:tc>
          <w:tcPr>
            <w:tcW w:w="3116" w:type="dxa"/>
            <w:shd w:val="clear" w:color="auto" w:fill="FFFFFF" w:themeFill="background1"/>
          </w:tcPr>
          <w:p w14:paraId="3E880832" w14:textId="77777777" w:rsidR="00FD555B" w:rsidRPr="001E49E4"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Adelaide</w:t>
            </w:r>
          </w:p>
        </w:tc>
        <w:tc>
          <w:tcPr>
            <w:tcW w:w="3117" w:type="dxa"/>
            <w:shd w:val="clear" w:color="auto" w:fill="FFFFFF" w:themeFill="background1"/>
          </w:tcPr>
          <w:p w14:paraId="03AF4999"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The University of Melbourne</w:t>
            </w:r>
          </w:p>
        </w:tc>
        <w:tc>
          <w:tcPr>
            <w:tcW w:w="3117" w:type="dxa"/>
            <w:shd w:val="clear" w:color="auto" w:fill="FFFFFF" w:themeFill="background1"/>
          </w:tcPr>
          <w:p w14:paraId="76A7277A"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Th</w:t>
            </w:r>
            <w:r>
              <w:rPr>
                <w:rFonts w:ascii="Tahoma" w:eastAsia="Times New Roman" w:hAnsi="Tahoma" w:cs="Tahoma"/>
                <w:color w:val="666666"/>
                <w:sz w:val="18"/>
                <w:szCs w:val="18"/>
                <w:lang w:val="en"/>
              </w:rPr>
              <w:t>e University of New South Wales (</w:t>
            </w:r>
            <w:r w:rsidRPr="001E49E4">
              <w:rPr>
                <w:rFonts w:ascii="Tahoma" w:eastAsia="Times New Roman" w:hAnsi="Tahoma" w:cs="Tahoma"/>
                <w:color w:val="666666"/>
                <w:sz w:val="18"/>
                <w:szCs w:val="18"/>
                <w:lang w:val="en"/>
              </w:rPr>
              <w:t>NewSouth Innovations</w:t>
            </w:r>
            <w:r>
              <w:rPr>
                <w:rFonts w:ascii="Tahoma" w:eastAsia="Times New Roman" w:hAnsi="Tahoma" w:cs="Tahoma"/>
                <w:color w:val="666666"/>
                <w:sz w:val="18"/>
                <w:szCs w:val="18"/>
                <w:lang w:val="en"/>
              </w:rPr>
              <w:t>)</w:t>
            </w:r>
          </w:p>
        </w:tc>
      </w:tr>
      <w:tr w:rsidR="00FD555B" w14:paraId="06227C52" w14:textId="77777777" w:rsidTr="006C199D">
        <w:tc>
          <w:tcPr>
            <w:tcW w:w="3116" w:type="dxa"/>
            <w:shd w:val="clear" w:color="auto" w:fill="FFFFFF" w:themeFill="background1"/>
          </w:tcPr>
          <w:p w14:paraId="45955DA6" w14:textId="77777777" w:rsidR="00FD555B" w:rsidRPr="001E49E4"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Notre Dame Australia</w:t>
            </w:r>
          </w:p>
        </w:tc>
        <w:tc>
          <w:tcPr>
            <w:tcW w:w="3117" w:type="dxa"/>
            <w:shd w:val="clear" w:color="auto" w:fill="FFFFFF" w:themeFill="background1"/>
          </w:tcPr>
          <w:p w14:paraId="0E36859F"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The University of Queensland</w:t>
            </w:r>
          </w:p>
        </w:tc>
        <w:tc>
          <w:tcPr>
            <w:tcW w:w="3117" w:type="dxa"/>
            <w:shd w:val="clear" w:color="auto" w:fill="FFFFFF" w:themeFill="background1"/>
          </w:tcPr>
          <w:p w14:paraId="5CB0CFD8" w14:textId="77777777" w:rsidR="00FD555B" w:rsidRDefault="00FD555B" w:rsidP="006C199D">
            <w:pPr>
              <w:outlineLvl w:val="2"/>
              <w:rPr>
                <w:rFonts w:ascii="Tahoma" w:eastAsia="Times New Roman" w:hAnsi="Tahoma" w:cs="Tahoma"/>
                <w:b/>
                <w:bCs/>
                <w:color w:val="666666"/>
                <w:highlight w:val="yellow"/>
                <w:lang w:val="en"/>
              </w:rPr>
            </w:pPr>
            <w:r>
              <w:rPr>
                <w:rFonts w:ascii="Tahoma" w:eastAsia="Times New Roman" w:hAnsi="Tahoma" w:cs="Tahoma"/>
                <w:color w:val="666666"/>
                <w:sz w:val="18"/>
                <w:szCs w:val="18"/>
                <w:lang w:val="en"/>
              </w:rPr>
              <w:t>The University of Sydney</w:t>
            </w:r>
          </w:p>
        </w:tc>
      </w:tr>
      <w:tr w:rsidR="00FD555B" w14:paraId="5599AC08" w14:textId="77777777" w:rsidTr="006C199D">
        <w:tc>
          <w:tcPr>
            <w:tcW w:w="3116" w:type="dxa"/>
            <w:shd w:val="clear" w:color="auto" w:fill="FFFFFF" w:themeFill="background1"/>
          </w:tcPr>
          <w:p w14:paraId="74080A03" w14:textId="77777777" w:rsidR="00FD555B" w:rsidRPr="001E49E4"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Western Australia</w:t>
            </w:r>
          </w:p>
        </w:tc>
        <w:tc>
          <w:tcPr>
            <w:tcW w:w="3117" w:type="dxa"/>
            <w:shd w:val="clear" w:color="auto" w:fill="FFFFFF" w:themeFill="background1"/>
          </w:tcPr>
          <w:p w14:paraId="73750614"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The University of New England</w:t>
            </w:r>
          </w:p>
        </w:tc>
        <w:tc>
          <w:tcPr>
            <w:tcW w:w="3117" w:type="dxa"/>
            <w:shd w:val="clear" w:color="auto" w:fill="FFFFFF" w:themeFill="background1"/>
          </w:tcPr>
          <w:p w14:paraId="6B772A2B" w14:textId="77777777" w:rsidR="00FD555B" w:rsidRDefault="00FD555B" w:rsidP="006C199D">
            <w:pPr>
              <w:outlineLvl w:val="2"/>
              <w:rPr>
                <w:rFonts w:ascii="Tahoma" w:eastAsia="Times New Roman" w:hAnsi="Tahoma" w:cs="Tahoma"/>
                <w:b/>
                <w:bCs/>
                <w:color w:val="666666"/>
                <w:highlight w:val="yellow"/>
                <w:lang w:val="en"/>
              </w:rPr>
            </w:pPr>
            <w:r>
              <w:rPr>
                <w:rFonts w:ascii="Tahoma" w:eastAsia="Times New Roman" w:hAnsi="Tahoma" w:cs="Tahoma"/>
                <w:color w:val="666666"/>
                <w:sz w:val="18"/>
                <w:szCs w:val="18"/>
                <w:lang w:val="en"/>
              </w:rPr>
              <w:t>University of Canberra</w:t>
            </w:r>
          </w:p>
        </w:tc>
      </w:tr>
      <w:tr w:rsidR="00FD555B" w14:paraId="57FED4CA" w14:textId="77777777" w:rsidTr="006C199D">
        <w:tc>
          <w:tcPr>
            <w:tcW w:w="3116" w:type="dxa"/>
            <w:shd w:val="clear" w:color="auto" w:fill="FFFFFF" w:themeFill="background1"/>
          </w:tcPr>
          <w:p w14:paraId="036984DA" w14:textId="77777777" w:rsidR="00FD555B" w:rsidRPr="001E49E4"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South Australia</w:t>
            </w:r>
          </w:p>
        </w:tc>
        <w:tc>
          <w:tcPr>
            <w:tcW w:w="3117" w:type="dxa"/>
            <w:shd w:val="clear" w:color="auto" w:fill="FFFFFF" w:themeFill="background1"/>
          </w:tcPr>
          <w:p w14:paraId="021A5FCA"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University of Southern Queensland</w:t>
            </w:r>
          </w:p>
        </w:tc>
        <w:tc>
          <w:tcPr>
            <w:tcW w:w="3117" w:type="dxa"/>
            <w:shd w:val="clear" w:color="auto" w:fill="FFFFFF" w:themeFill="background1"/>
          </w:tcPr>
          <w:p w14:paraId="48D96B86"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University of Tasmania</w:t>
            </w:r>
          </w:p>
        </w:tc>
      </w:tr>
      <w:tr w:rsidR="00FD555B" w14:paraId="5EA06452" w14:textId="77777777" w:rsidTr="006C199D">
        <w:tc>
          <w:tcPr>
            <w:tcW w:w="3116" w:type="dxa"/>
            <w:shd w:val="clear" w:color="auto" w:fill="FFFFFF" w:themeFill="background1"/>
          </w:tcPr>
          <w:p w14:paraId="66362372" w14:textId="77777777" w:rsidR="00FD555B" w:rsidRPr="001E49E4"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Technology Sydney</w:t>
            </w:r>
          </w:p>
        </w:tc>
        <w:tc>
          <w:tcPr>
            <w:tcW w:w="3117" w:type="dxa"/>
            <w:shd w:val="clear" w:color="auto" w:fill="FFFFFF" w:themeFill="background1"/>
          </w:tcPr>
          <w:p w14:paraId="45FAB2FE"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University of the Sunshine Coast</w:t>
            </w:r>
          </w:p>
        </w:tc>
        <w:tc>
          <w:tcPr>
            <w:tcW w:w="3117" w:type="dxa"/>
            <w:shd w:val="clear" w:color="auto" w:fill="FFFFFF" w:themeFill="background1"/>
          </w:tcPr>
          <w:p w14:paraId="3DB1874D"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University of Western Sydney</w:t>
            </w:r>
          </w:p>
        </w:tc>
      </w:tr>
      <w:tr w:rsidR="00FD555B" w14:paraId="0FEEAEDB" w14:textId="77777777" w:rsidTr="006C199D">
        <w:tc>
          <w:tcPr>
            <w:tcW w:w="3116" w:type="dxa"/>
            <w:shd w:val="clear" w:color="auto" w:fill="FFFFFF" w:themeFill="background1"/>
          </w:tcPr>
          <w:p w14:paraId="4A358557" w14:textId="77777777" w:rsidR="00FD555B"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Victoria University</w:t>
            </w:r>
          </w:p>
        </w:tc>
        <w:tc>
          <w:tcPr>
            <w:tcW w:w="3117" w:type="dxa"/>
            <w:shd w:val="clear" w:color="auto" w:fill="FFFFFF" w:themeFill="background1"/>
          </w:tcPr>
          <w:p w14:paraId="0249357F" w14:textId="77777777" w:rsidR="00FD555B" w:rsidRDefault="00FD555B" w:rsidP="006C199D">
            <w:pPr>
              <w:outlineLvl w:val="2"/>
              <w:rPr>
                <w:rFonts w:ascii="Tahoma" w:eastAsia="Times New Roman" w:hAnsi="Tahoma" w:cs="Tahoma"/>
                <w:b/>
                <w:bCs/>
                <w:color w:val="666666"/>
                <w:highlight w:val="yellow"/>
                <w:lang w:val="en"/>
              </w:rPr>
            </w:pPr>
            <w:r>
              <w:rPr>
                <w:rFonts w:ascii="Tahoma" w:eastAsia="Times New Roman" w:hAnsi="Tahoma" w:cs="Tahoma"/>
                <w:color w:val="666666"/>
                <w:sz w:val="18"/>
                <w:szCs w:val="18"/>
                <w:lang w:val="en"/>
              </w:rPr>
              <w:t>Western Sydney University</w:t>
            </w:r>
          </w:p>
        </w:tc>
        <w:tc>
          <w:tcPr>
            <w:tcW w:w="3117" w:type="dxa"/>
            <w:shd w:val="clear" w:color="auto" w:fill="FFFFFF" w:themeFill="background1"/>
          </w:tcPr>
          <w:p w14:paraId="4D960946"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University of Wollongong</w:t>
            </w:r>
          </w:p>
        </w:tc>
      </w:tr>
    </w:tbl>
    <w:p w14:paraId="52B6CBAB" w14:textId="77777777" w:rsidR="00FD555B" w:rsidRDefault="00FD555B" w:rsidP="00FD555B">
      <w:pPr>
        <w:shd w:val="clear" w:color="auto" w:fill="FFFFFF" w:themeFill="background1"/>
        <w:spacing w:after="0" w:line="336" w:lineRule="atLeast"/>
        <w:outlineLvl w:val="2"/>
        <w:rPr>
          <w:rFonts w:ascii="Tahoma" w:eastAsia="Times New Roman" w:hAnsi="Tahoma" w:cs="Tahoma"/>
          <w:b/>
          <w:bCs/>
          <w:color w:val="666666"/>
          <w:highlight w:val="yellow"/>
          <w:lang w:val="en"/>
        </w:rPr>
      </w:pPr>
    </w:p>
    <w:p w14:paraId="49B03D3B" w14:textId="77777777" w:rsidR="00FD555B" w:rsidRDefault="00FD555B" w:rsidP="00FD555B">
      <w:pPr>
        <w:shd w:val="clear" w:color="auto" w:fill="FFFFFF" w:themeFill="background1"/>
        <w:spacing w:after="0" w:line="336" w:lineRule="atLeast"/>
        <w:outlineLvl w:val="2"/>
        <w:rPr>
          <w:rFonts w:ascii="Tahoma" w:eastAsia="Times New Roman" w:hAnsi="Tahoma" w:cs="Tahoma"/>
          <w:b/>
          <w:bCs/>
          <w:color w:val="666666"/>
          <w:highlight w:val="yellow"/>
          <w:lang w:val="en"/>
        </w:rPr>
      </w:pPr>
      <w:r w:rsidRPr="00557A6C">
        <w:rPr>
          <w:rFonts w:ascii="Tahoma" w:eastAsia="Times New Roman" w:hAnsi="Tahoma" w:cs="Tahoma"/>
          <w:b/>
          <w:bCs/>
          <w:color w:val="666666"/>
          <w:lang w:val="en"/>
        </w:rPr>
        <w:t>MRI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2995"/>
        <w:gridCol w:w="2998"/>
        <w:gridCol w:w="3033"/>
      </w:tblGrid>
      <w:tr w:rsidR="00FD555B" w14:paraId="53ADBD91" w14:textId="77777777" w:rsidTr="006C199D">
        <w:tc>
          <w:tcPr>
            <w:tcW w:w="3116" w:type="dxa"/>
            <w:shd w:val="clear" w:color="auto" w:fill="FFFFFF" w:themeFill="background1"/>
          </w:tcPr>
          <w:p w14:paraId="0929DFAC"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ANZAC Research Institute</w:t>
            </w:r>
          </w:p>
        </w:tc>
        <w:tc>
          <w:tcPr>
            <w:tcW w:w="3117" w:type="dxa"/>
            <w:shd w:val="clear" w:color="auto" w:fill="FFFFFF" w:themeFill="background1"/>
          </w:tcPr>
          <w:p w14:paraId="267677CB"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Baker IDI Heart and Diabetes Institute</w:t>
            </w:r>
          </w:p>
        </w:tc>
        <w:tc>
          <w:tcPr>
            <w:tcW w:w="3117" w:type="dxa"/>
            <w:shd w:val="clear" w:color="auto" w:fill="FFFFFF" w:themeFill="background1"/>
          </w:tcPr>
          <w:p w14:paraId="29DE63F7"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Pr>
                <w:rFonts w:ascii="Tahoma" w:eastAsia="Times New Roman" w:hAnsi="Tahoma" w:cs="Tahoma"/>
                <w:color w:val="666666"/>
                <w:sz w:val="18"/>
                <w:szCs w:val="18"/>
                <w:lang w:val="en"/>
              </w:rPr>
              <w:t>Bionics Institute</w:t>
            </w:r>
          </w:p>
        </w:tc>
      </w:tr>
      <w:tr w:rsidR="00FD555B" w14:paraId="7A23519C" w14:textId="77777777" w:rsidTr="006C199D">
        <w:tc>
          <w:tcPr>
            <w:tcW w:w="3116" w:type="dxa"/>
            <w:shd w:val="clear" w:color="auto" w:fill="FFFFFF" w:themeFill="background1"/>
          </w:tcPr>
          <w:p w14:paraId="4B4E3E6A"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Brien Holden Vision Institute</w:t>
            </w:r>
          </w:p>
        </w:tc>
        <w:tc>
          <w:tcPr>
            <w:tcW w:w="3117" w:type="dxa"/>
            <w:shd w:val="clear" w:color="auto" w:fill="FFFFFF" w:themeFill="background1"/>
          </w:tcPr>
          <w:p w14:paraId="13BD4113"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Pr>
                <w:rFonts w:ascii="Tahoma" w:eastAsia="Times New Roman" w:hAnsi="Tahoma" w:cs="Tahoma"/>
                <w:color w:val="666666"/>
                <w:sz w:val="18"/>
                <w:szCs w:val="18"/>
                <w:lang w:val="en"/>
              </w:rPr>
              <w:t>Burnet Institute</w:t>
            </w:r>
          </w:p>
        </w:tc>
        <w:tc>
          <w:tcPr>
            <w:tcW w:w="3117" w:type="dxa"/>
            <w:shd w:val="clear" w:color="auto" w:fill="FFFFFF" w:themeFill="background1"/>
          </w:tcPr>
          <w:p w14:paraId="5E764433"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Cancer Council Victoria</w:t>
            </w:r>
          </w:p>
        </w:tc>
      </w:tr>
      <w:tr w:rsidR="00FD555B" w14:paraId="05597A35" w14:textId="77777777" w:rsidTr="006C199D">
        <w:tc>
          <w:tcPr>
            <w:tcW w:w="3116" w:type="dxa"/>
            <w:shd w:val="clear" w:color="auto" w:fill="FFFFFF" w:themeFill="background1"/>
          </w:tcPr>
          <w:p w14:paraId="37FEBBE4"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Centenary Institute of Cancer Medicine and Cell Biology</w:t>
            </w:r>
          </w:p>
        </w:tc>
        <w:tc>
          <w:tcPr>
            <w:tcW w:w="3117" w:type="dxa"/>
            <w:shd w:val="clear" w:color="auto" w:fill="FFFFFF" w:themeFill="background1"/>
          </w:tcPr>
          <w:p w14:paraId="427AFB29"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Garvan Institute of Medical Research</w:t>
            </w:r>
          </w:p>
        </w:tc>
        <w:tc>
          <w:tcPr>
            <w:tcW w:w="3117" w:type="dxa"/>
            <w:shd w:val="clear" w:color="auto" w:fill="FFFFFF" w:themeFill="background1"/>
          </w:tcPr>
          <w:p w14:paraId="03022BDD" w14:textId="77777777" w:rsidR="00FD555B" w:rsidRDefault="00FD555B" w:rsidP="006C199D">
            <w:pPr>
              <w:shd w:val="clear" w:color="auto" w:fill="FFFFFF" w:themeFill="background1"/>
              <w:outlineLvl w:val="2"/>
              <w:rPr>
                <w:rFonts w:ascii="Tahoma" w:eastAsia="Times New Roman" w:hAnsi="Tahoma" w:cs="Tahoma"/>
                <w:b/>
                <w:bCs/>
                <w:color w:val="666666"/>
                <w:highlight w:val="yellow"/>
                <w:lang w:val="en"/>
              </w:rPr>
            </w:pPr>
            <w:r>
              <w:rPr>
                <w:rFonts w:ascii="Tahoma" w:eastAsia="Times New Roman" w:hAnsi="Tahoma" w:cs="Tahoma"/>
                <w:color w:val="666666"/>
                <w:sz w:val="18"/>
                <w:szCs w:val="18"/>
                <w:lang w:val="en"/>
              </w:rPr>
              <w:t>Hudson Institute of Medical Research</w:t>
            </w:r>
          </w:p>
        </w:tc>
      </w:tr>
      <w:tr w:rsidR="00FD555B" w14:paraId="3068EEA3" w14:textId="77777777" w:rsidTr="006C199D">
        <w:tc>
          <w:tcPr>
            <w:tcW w:w="3116" w:type="dxa"/>
            <w:shd w:val="clear" w:color="auto" w:fill="FFFFFF" w:themeFill="background1"/>
          </w:tcPr>
          <w:p w14:paraId="54B1EA38"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Kolling Institute of Medical Research</w:t>
            </w:r>
          </w:p>
        </w:tc>
        <w:tc>
          <w:tcPr>
            <w:tcW w:w="3117" w:type="dxa"/>
            <w:shd w:val="clear" w:color="auto" w:fill="FFFFFF" w:themeFill="background1"/>
          </w:tcPr>
          <w:p w14:paraId="48734232"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Murdoch Childrens Research Institute</w:t>
            </w:r>
          </w:p>
        </w:tc>
        <w:tc>
          <w:tcPr>
            <w:tcW w:w="3117" w:type="dxa"/>
            <w:shd w:val="clear" w:color="auto" w:fill="FFFFFF" w:themeFill="background1"/>
          </w:tcPr>
          <w:p w14:paraId="08BF5D3F"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Neuroscience Research Australia</w:t>
            </w:r>
          </w:p>
        </w:tc>
      </w:tr>
      <w:tr w:rsidR="00FD555B" w14:paraId="604CCFE5" w14:textId="77777777" w:rsidTr="006C199D">
        <w:tc>
          <w:tcPr>
            <w:tcW w:w="3116" w:type="dxa"/>
            <w:shd w:val="clear" w:color="auto" w:fill="FFFFFF" w:themeFill="background1"/>
          </w:tcPr>
          <w:p w14:paraId="4497B842" w14:textId="77777777" w:rsidR="00FD555B" w:rsidRDefault="00FD555B" w:rsidP="006C199D">
            <w:pPr>
              <w:outlineLvl w:val="2"/>
              <w:rPr>
                <w:rFonts w:ascii="Tahoma" w:eastAsia="Times New Roman" w:hAnsi="Tahoma" w:cs="Tahoma"/>
                <w:b/>
                <w:bCs/>
                <w:color w:val="666666"/>
                <w:highlight w:val="yellow"/>
                <w:lang w:val="en"/>
              </w:rPr>
            </w:pPr>
            <w:r>
              <w:rPr>
                <w:rFonts w:ascii="Tahoma" w:eastAsia="Times New Roman" w:hAnsi="Tahoma" w:cs="Tahoma"/>
                <w:color w:val="666666"/>
                <w:sz w:val="18"/>
                <w:szCs w:val="18"/>
                <w:lang w:val="en"/>
              </w:rPr>
              <w:t>Olivia Newton-John Cancer Research Institute</w:t>
            </w:r>
          </w:p>
        </w:tc>
        <w:tc>
          <w:tcPr>
            <w:tcW w:w="3117" w:type="dxa"/>
            <w:shd w:val="clear" w:color="auto" w:fill="FFFFFF" w:themeFill="background1"/>
          </w:tcPr>
          <w:p w14:paraId="0B849C0A"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Peter MacCallum Cancer Centre</w:t>
            </w:r>
          </w:p>
        </w:tc>
        <w:tc>
          <w:tcPr>
            <w:tcW w:w="3117" w:type="dxa"/>
            <w:shd w:val="clear" w:color="auto" w:fill="FFFFFF" w:themeFill="background1"/>
          </w:tcPr>
          <w:p w14:paraId="7962D9DC" w14:textId="77777777" w:rsidR="00FD555B" w:rsidRDefault="00FD555B" w:rsidP="006C199D">
            <w:pPr>
              <w:outlineLvl w:val="2"/>
              <w:rPr>
                <w:rFonts w:ascii="Tahoma" w:eastAsia="Times New Roman" w:hAnsi="Tahoma" w:cs="Tahoma"/>
                <w:b/>
                <w:bCs/>
                <w:color w:val="666666"/>
                <w:highlight w:val="yellow"/>
                <w:lang w:val="en"/>
              </w:rPr>
            </w:pPr>
            <w:r w:rsidRPr="001E49E4">
              <w:rPr>
                <w:rFonts w:ascii="Tahoma" w:eastAsia="Times New Roman" w:hAnsi="Tahoma" w:cs="Tahoma"/>
                <w:color w:val="666666"/>
                <w:sz w:val="18"/>
                <w:szCs w:val="18"/>
                <w:lang w:val="en"/>
              </w:rPr>
              <w:t>QIMR Berghofer Medical Research Institute</w:t>
            </w:r>
          </w:p>
        </w:tc>
      </w:tr>
      <w:tr w:rsidR="00FD555B" w14:paraId="4ED48637" w14:textId="77777777" w:rsidTr="006C199D">
        <w:tc>
          <w:tcPr>
            <w:tcW w:w="3116" w:type="dxa"/>
            <w:shd w:val="clear" w:color="auto" w:fill="FFFFFF" w:themeFill="background1"/>
          </w:tcPr>
          <w:p w14:paraId="7DD07182" w14:textId="77777777" w:rsidR="00FD555B"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Telethon Kids Institute</w:t>
            </w:r>
          </w:p>
        </w:tc>
        <w:tc>
          <w:tcPr>
            <w:tcW w:w="3117" w:type="dxa"/>
            <w:shd w:val="clear" w:color="auto" w:fill="FFFFFF" w:themeFill="background1"/>
          </w:tcPr>
          <w:p w14:paraId="409F88F4" w14:textId="77777777" w:rsidR="00FD555B" w:rsidRPr="001E49E4" w:rsidRDefault="00FD555B" w:rsidP="006C199D">
            <w:pPr>
              <w:outlineLvl w:val="2"/>
              <w:rPr>
                <w:rFonts w:ascii="Tahoma" w:eastAsia="Times New Roman" w:hAnsi="Tahoma" w:cs="Tahoma"/>
                <w:color w:val="666666"/>
                <w:sz w:val="18"/>
                <w:szCs w:val="18"/>
                <w:lang w:val="en"/>
              </w:rPr>
            </w:pPr>
            <w:r>
              <w:rPr>
                <w:rFonts w:ascii="Tahoma" w:eastAsia="Times New Roman" w:hAnsi="Tahoma" w:cs="Tahoma"/>
                <w:color w:val="666666"/>
                <w:sz w:val="18"/>
                <w:szCs w:val="18"/>
                <w:lang w:val="en"/>
              </w:rPr>
              <w:t>The George Institute for Global Health</w:t>
            </w:r>
          </w:p>
        </w:tc>
        <w:tc>
          <w:tcPr>
            <w:tcW w:w="3117" w:type="dxa"/>
            <w:shd w:val="clear" w:color="auto" w:fill="FFFFFF" w:themeFill="background1"/>
          </w:tcPr>
          <w:p w14:paraId="4355D4E1" w14:textId="77777777" w:rsidR="00FD555B" w:rsidRPr="001E49E4" w:rsidRDefault="00FD555B" w:rsidP="006C199D">
            <w:pPr>
              <w:outlineLvl w:val="2"/>
              <w:rPr>
                <w:rFonts w:ascii="Tahoma" w:eastAsia="Times New Roman" w:hAnsi="Tahoma" w:cs="Tahoma"/>
                <w:color w:val="666666"/>
                <w:sz w:val="18"/>
                <w:szCs w:val="18"/>
                <w:lang w:val="en"/>
              </w:rPr>
            </w:pPr>
            <w:r>
              <w:rPr>
                <w:rFonts w:ascii="Tahoma" w:eastAsia="Times New Roman" w:hAnsi="Tahoma" w:cs="Tahoma"/>
                <w:color w:val="666666"/>
                <w:sz w:val="18"/>
                <w:szCs w:val="18"/>
                <w:lang w:val="en"/>
              </w:rPr>
              <w:t>The Institute for Breathing and Sleep</w:t>
            </w:r>
          </w:p>
        </w:tc>
      </w:tr>
      <w:tr w:rsidR="00FD555B" w14:paraId="11C481E3" w14:textId="77777777" w:rsidTr="006C199D">
        <w:tc>
          <w:tcPr>
            <w:tcW w:w="3116" w:type="dxa"/>
            <w:shd w:val="clear" w:color="auto" w:fill="FFFFFF" w:themeFill="background1"/>
          </w:tcPr>
          <w:p w14:paraId="4A2DDAF3" w14:textId="77777777" w:rsidR="00FD555B"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Walter and Eliza Hall Institute of Medical Research</w:t>
            </w:r>
          </w:p>
        </w:tc>
        <w:tc>
          <w:tcPr>
            <w:tcW w:w="3117" w:type="dxa"/>
            <w:shd w:val="clear" w:color="auto" w:fill="FFFFFF" w:themeFill="background1"/>
          </w:tcPr>
          <w:p w14:paraId="5C35767D" w14:textId="77777777" w:rsidR="00FD555B" w:rsidRPr="001E49E4" w:rsidRDefault="00FD555B" w:rsidP="006C199D">
            <w:pPr>
              <w:outlineLvl w:val="2"/>
              <w:rPr>
                <w:rFonts w:ascii="Tahoma" w:eastAsia="Times New Roman" w:hAnsi="Tahoma" w:cs="Tahoma"/>
                <w:color w:val="666666"/>
                <w:sz w:val="18"/>
                <w:szCs w:val="18"/>
                <w:lang w:val="en"/>
              </w:rPr>
            </w:pPr>
            <w:r>
              <w:rPr>
                <w:rFonts w:ascii="Tahoma" w:eastAsia="Times New Roman" w:hAnsi="Tahoma" w:cs="Tahoma"/>
                <w:color w:val="666666"/>
                <w:sz w:val="18"/>
                <w:szCs w:val="18"/>
                <w:lang w:val="en"/>
              </w:rPr>
              <w:t>Victor Chang Cardiac Research Institute</w:t>
            </w:r>
          </w:p>
        </w:tc>
        <w:tc>
          <w:tcPr>
            <w:tcW w:w="3117" w:type="dxa"/>
            <w:shd w:val="clear" w:color="auto" w:fill="FFFFFF" w:themeFill="background1"/>
          </w:tcPr>
          <w:p w14:paraId="0A0F8DED" w14:textId="77777777" w:rsidR="00FD555B" w:rsidRPr="001E49E4" w:rsidRDefault="00FD555B" w:rsidP="006C199D">
            <w:pPr>
              <w:outlineLvl w:val="2"/>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Woolcock Institute of Medical Research</w:t>
            </w:r>
          </w:p>
        </w:tc>
      </w:tr>
    </w:tbl>
    <w:p w14:paraId="3AB78B33" w14:textId="77777777" w:rsidR="00FD555B" w:rsidRDefault="00FD555B" w:rsidP="00FD555B">
      <w:pPr>
        <w:spacing w:after="0" w:line="336" w:lineRule="atLeast"/>
        <w:outlineLvl w:val="2"/>
        <w:rPr>
          <w:rFonts w:ascii="Tahoma" w:eastAsia="Times New Roman" w:hAnsi="Tahoma" w:cs="Tahoma"/>
          <w:b/>
          <w:bCs/>
          <w:color w:val="666666"/>
          <w:highlight w:val="yellow"/>
          <w:lang w:val="en"/>
        </w:rPr>
      </w:pPr>
    </w:p>
    <w:p w14:paraId="2E640409" w14:textId="77777777" w:rsidR="00FD555B" w:rsidRPr="001E49E4" w:rsidRDefault="00FD555B" w:rsidP="00FD555B">
      <w:pPr>
        <w:spacing w:after="0" w:line="336" w:lineRule="atLeast"/>
        <w:outlineLvl w:val="2"/>
        <w:rPr>
          <w:rFonts w:ascii="Tahoma" w:eastAsia="Times New Roman" w:hAnsi="Tahoma" w:cs="Tahoma"/>
          <w:b/>
          <w:bCs/>
          <w:color w:val="666666"/>
          <w:lang w:val="en"/>
        </w:rPr>
      </w:pPr>
      <w:r w:rsidRPr="001E49E4">
        <w:rPr>
          <w:rFonts w:ascii="Tahoma" w:eastAsia="Times New Roman" w:hAnsi="Tahoma" w:cs="Tahoma"/>
          <w:b/>
          <w:bCs/>
          <w:color w:val="666666"/>
          <w:lang w:val="en"/>
        </w:rPr>
        <w:t>PFRA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9"/>
        <w:gridCol w:w="2861"/>
        <w:gridCol w:w="2866"/>
      </w:tblGrid>
      <w:tr w:rsidR="00FD555B" w14:paraId="3391DA48" w14:textId="77777777" w:rsidTr="006C199D">
        <w:tc>
          <w:tcPr>
            <w:tcW w:w="3415" w:type="dxa"/>
            <w:shd w:val="clear" w:color="auto" w:fill="FFFFFF" w:themeFill="background1"/>
          </w:tcPr>
          <w:p w14:paraId="4DFBA54F"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Australian Astronomical Observatory (AAO)</w:t>
            </w:r>
          </w:p>
        </w:tc>
        <w:tc>
          <w:tcPr>
            <w:tcW w:w="2970" w:type="dxa"/>
            <w:shd w:val="clear" w:color="auto" w:fill="FFFFFF" w:themeFill="background1"/>
          </w:tcPr>
          <w:p w14:paraId="4A01B1F2"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Australian Institute of Marine Science (AIMS)</w:t>
            </w:r>
          </w:p>
        </w:tc>
        <w:tc>
          <w:tcPr>
            <w:tcW w:w="2965" w:type="dxa"/>
            <w:shd w:val="clear" w:color="auto" w:fill="FFFFFF" w:themeFill="background1"/>
          </w:tcPr>
          <w:p w14:paraId="3E14807C"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Australian Nuclear Science and Technology </w:t>
            </w:r>
            <w:r>
              <w:rPr>
                <w:rFonts w:ascii="Tahoma" w:eastAsia="Times New Roman" w:hAnsi="Tahoma" w:cs="Tahoma"/>
                <w:color w:val="666666"/>
                <w:sz w:val="18"/>
                <w:szCs w:val="18"/>
                <w:lang w:val="en"/>
              </w:rPr>
              <w:t xml:space="preserve">Organisation </w:t>
            </w:r>
            <w:r w:rsidRPr="001E49E4">
              <w:rPr>
                <w:rFonts w:ascii="Tahoma" w:eastAsia="Times New Roman" w:hAnsi="Tahoma" w:cs="Tahoma"/>
                <w:color w:val="666666"/>
                <w:sz w:val="18"/>
                <w:szCs w:val="18"/>
                <w:lang w:val="en"/>
              </w:rPr>
              <w:t>(ANSTO)</w:t>
            </w:r>
          </w:p>
        </w:tc>
      </w:tr>
      <w:tr w:rsidR="00FD555B" w14:paraId="68B4104A" w14:textId="77777777" w:rsidTr="006C199D">
        <w:tc>
          <w:tcPr>
            <w:tcW w:w="3415" w:type="dxa"/>
          </w:tcPr>
          <w:p w14:paraId="7D6FCFB3"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Commonwealth Scientific and Industrial Research Organisation (CSIRO)</w:t>
            </w:r>
          </w:p>
        </w:tc>
        <w:tc>
          <w:tcPr>
            <w:tcW w:w="2970" w:type="dxa"/>
          </w:tcPr>
          <w:p w14:paraId="457FF42C"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D</w:t>
            </w:r>
            <w:r>
              <w:rPr>
                <w:rFonts w:ascii="Tahoma" w:eastAsia="Times New Roman" w:hAnsi="Tahoma" w:cs="Tahoma"/>
                <w:color w:val="666666"/>
                <w:sz w:val="18"/>
                <w:szCs w:val="18"/>
                <w:lang w:val="en"/>
              </w:rPr>
              <w:t xml:space="preserve">efence </w:t>
            </w:r>
            <w:r w:rsidRPr="001E49E4">
              <w:rPr>
                <w:rFonts w:ascii="Tahoma" w:eastAsia="Times New Roman" w:hAnsi="Tahoma" w:cs="Tahoma"/>
                <w:color w:val="666666"/>
                <w:sz w:val="18"/>
                <w:szCs w:val="18"/>
                <w:lang w:val="en"/>
              </w:rPr>
              <w:t>S</w:t>
            </w:r>
            <w:r>
              <w:rPr>
                <w:rFonts w:ascii="Tahoma" w:eastAsia="Times New Roman" w:hAnsi="Tahoma" w:cs="Tahoma"/>
                <w:color w:val="666666"/>
                <w:sz w:val="18"/>
                <w:szCs w:val="18"/>
                <w:lang w:val="en"/>
              </w:rPr>
              <w:t xml:space="preserve">cience </w:t>
            </w:r>
            <w:r w:rsidRPr="001E49E4">
              <w:rPr>
                <w:rFonts w:ascii="Tahoma" w:eastAsia="Times New Roman" w:hAnsi="Tahoma" w:cs="Tahoma"/>
                <w:color w:val="666666"/>
                <w:sz w:val="18"/>
                <w:szCs w:val="18"/>
                <w:lang w:val="en"/>
              </w:rPr>
              <w:t>T</w:t>
            </w:r>
            <w:r>
              <w:rPr>
                <w:rFonts w:ascii="Tahoma" w:eastAsia="Times New Roman" w:hAnsi="Tahoma" w:cs="Tahoma"/>
                <w:color w:val="666666"/>
                <w:sz w:val="18"/>
                <w:szCs w:val="18"/>
                <w:lang w:val="en"/>
              </w:rPr>
              <w:t>echnology</w:t>
            </w:r>
            <w:r w:rsidRPr="001E49E4">
              <w:rPr>
                <w:rFonts w:ascii="Tahoma" w:eastAsia="Times New Roman" w:hAnsi="Tahoma" w:cs="Tahoma"/>
                <w:color w:val="666666"/>
                <w:sz w:val="18"/>
                <w:szCs w:val="18"/>
                <w:lang w:val="en"/>
              </w:rPr>
              <w:t xml:space="preserve"> Group</w:t>
            </w:r>
          </w:p>
        </w:tc>
        <w:tc>
          <w:tcPr>
            <w:tcW w:w="2965" w:type="dxa"/>
          </w:tcPr>
          <w:p w14:paraId="58C7166C"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National Measurement Institute (NMI)</w:t>
            </w:r>
          </w:p>
        </w:tc>
      </w:tr>
      <w:tr w:rsidR="00FD555B" w14:paraId="6D4E3498" w14:textId="77777777" w:rsidTr="006C199D">
        <w:tc>
          <w:tcPr>
            <w:tcW w:w="3415" w:type="dxa"/>
          </w:tcPr>
          <w:p w14:paraId="5EE1C5AA"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NICTA</w:t>
            </w:r>
          </w:p>
        </w:tc>
        <w:tc>
          <w:tcPr>
            <w:tcW w:w="2970" w:type="dxa"/>
          </w:tcPr>
          <w:p w14:paraId="16690259"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p>
        </w:tc>
        <w:tc>
          <w:tcPr>
            <w:tcW w:w="2965" w:type="dxa"/>
          </w:tcPr>
          <w:p w14:paraId="558BBFE9" w14:textId="77777777" w:rsidR="00FD555B" w:rsidRPr="001E49E4" w:rsidRDefault="00FD555B" w:rsidP="006C199D">
            <w:pPr>
              <w:spacing w:before="100" w:beforeAutospacing="1" w:after="100" w:afterAutospacing="1"/>
              <w:rPr>
                <w:rFonts w:ascii="Tahoma" w:eastAsia="Times New Roman" w:hAnsi="Tahoma" w:cs="Tahoma"/>
                <w:color w:val="666666"/>
                <w:sz w:val="18"/>
                <w:szCs w:val="18"/>
                <w:lang w:val="en"/>
              </w:rPr>
            </w:pPr>
          </w:p>
        </w:tc>
      </w:tr>
    </w:tbl>
    <w:p w14:paraId="6C449B16" w14:textId="77777777" w:rsidR="00A30EDC" w:rsidRPr="004D4C42" w:rsidRDefault="00A30EDC" w:rsidP="004D4C42">
      <w:pPr>
        <w:rPr>
          <w:rFonts w:ascii="Tahoma" w:eastAsia="Times New Roman" w:hAnsi="Tahoma" w:cs="Tahoma"/>
          <w:b/>
          <w:bCs/>
          <w:color w:val="666666"/>
          <w:sz w:val="25"/>
          <w:szCs w:val="25"/>
          <w:lang w:val="en"/>
        </w:rPr>
      </w:pPr>
    </w:p>
    <w:sectPr w:rsidR="00A30EDC" w:rsidRPr="004D4C4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Kwiatkowski, Max" w:date="2017-02-20T14:04:00Z" w:initials="KM">
    <w:p w14:paraId="5041FE79" w14:textId="18F05169" w:rsidR="00A83255" w:rsidRDefault="00A83255">
      <w:pPr>
        <w:pStyle w:val="CommentText"/>
      </w:pPr>
      <w:r>
        <w:rPr>
          <w:rStyle w:val="CommentReference"/>
        </w:rPr>
        <w:annotationRef/>
      </w:r>
      <w:r w:rsidR="00906451">
        <w:rPr>
          <w:rStyle w:val="CommentReference"/>
        </w:rPr>
        <w:t>Add link to a new NSRC Viz landing page once we know address</w:t>
      </w:r>
      <w: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41FE7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60174"/>
    <w:multiLevelType w:val="multilevel"/>
    <w:tmpl w:val="C824A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960565"/>
    <w:multiLevelType w:val="multilevel"/>
    <w:tmpl w:val="55B0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8B7DB6"/>
    <w:multiLevelType w:val="multilevel"/>
    <w:tmpl w:val="2690B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ED7EA2"/>
    <w:multiLevelType w:val="hybridMultilevel"/>
    <w:tmpl w:val="CBD4F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wiatkowski, Max">
    <w15:presenceInfo w15:providerId="AD" w15:userId="S-1-5-21-2957929095-3120739573-999721741-19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BB2"/>
    <w:rsid w:val="00047A42"/>
    <w:rsid w:val="000B0DD5"/>
    <w:rsid w:val="00115663"/>
    <w:rsid w:val="00131D84"/>
    <w:rsid w:val="001A55D8"/>
    <w:rsid w:val="001D7776"/>
    <w:rsid w:val="002F3866"/>
    <w:rsid w:val="003C71FA"/>
    <w:rsid w:val="0040731A"/>
    <w:rsid w:val="00421E9B"/>
    <w:rsid w:val="00475A3B"/>
    <w:rsid w:val="004B793B"/>
    <w:rsid w:val="004C09AC"/>
    <w:rsid w:val="004D4C42"/>
    <w:rsid w:val="00524F2B"/>
    <w:rsid w:val="00576CC1"/>
    <w:rsid w:val="00592DE0"/>
    <w:rsid w:val="00755C09"/>
    <w:rsid w:val="00775BAB"/>
    <w:rsid w:val="007A4177"/>
    <w:rsid w:val="007D6CBC"/>
    <w:rsid w:val="007F0DE0"/>
    <w:rsid w:val="00906451"/>
    <w:rsid w:val="00A20EA1"/>
    <w:rsid w:val="00A30EDC"/>
    <w:rsid w:val="00A44CDB"/>
    <w:rsid w:val="00A83255"/>
    <w:rsid w:val="00AA6836"/>
    <w:rsid w:val="00B5078E"/>
    <w:rsid w:val="00B66BB2"/>
    <w:rsid w:val="00C7377A"/>
    <w:rsid w:val="00D21154"/>
    <w:rsid w:val="00D56316"/>
    <w:rsid w:val="00E247E5"/>
    <w:rsid w:val="00FD555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E292"/>
  <w15:docId w15:val="{72880E00-859D-44DE-BF94-61C0F0A0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6BB2"/>
    <w:rPr>
      <w:color w:val="0563C1" w:themeColor="hyperlink"/>
      <w:u w:val="single"/>
    </w:rPr>
  </w:style>
  <w:style w:type="character" w:styleId="CommentReference">
    <w:name w:val="annotation reference"/>
    <w:basedOn w:val="DefaultParagraphFont"/>
    <w:uiPriority w:val="99"/>
    <w:semiHidden/>
    <w:unhideWhenUsed/>
    <w:rsid w:val="0040731A"/>
    <w:rPr>
      <w:sz w:val="16"/>
      <w:szCs w:val="16"/>
    </w:rPr>
  </w:style>
  <w:style w:type="paragraph" w:styleId="CommentText">
    <w:name w:val="annotation text"/>
    <w:basedOn w:val="Normal"/>
    <w:link w:val="CommentTextChar"/>
    <w:uiPriority w:val="99"/>
    <w:semiHidden/>
    <w:unhideWhenUsed/>
    <w:rsid w:val="0040731A"/>
    <w:pPr>
      <w:spacing w:line="240" w:lineRule="auto"/>
    </w:pPr>
    <w:rPr>
      <w:sz w:val="20"/>
      <w:szCs w:val="20"/>
    </w:rPr>
  </w:style>
  <w:style w:type="character" w:customStyle="1" w:styleId="CommentTextChar">
    <w:name w:val="Comment Text Char"/>
    <w:basedOn w:val="DefaultParagraphFont"/>
    <w:link w:val="CommentText"/>
    <w:uiPriority w:val="99"/>
    <w:semiHidden/>
    <w:rsid w:val="0040731A"/>
    <w:rPr>
      <w:sz w:val="20"/>
      <w:szCs w:val="20"/>
    </w:rPr>
  </w:style>
  <w:style w:type="paragraph" w:styleId="CommentSubject">
    <w:name w:val="annotation subject"/>
    <w:basedOn w:val="CommentText"/>
    <w:next w:val="CommentText"/>
    <w:link w:val="CommentSubjectChar"/>
    <w:uiPriority w:val="99"/>
    <w:semiHidden/>
    <w:unhideWhenUsed/>
    <w:rsid w:val="0040731A"/>
    <w:rPr>
      <w:b/>
      <w:bCs/>
    </w:rPr>
  </w:style>
  <w:style w:type="character" w:customStyle="1" w:styleId="CommentSubjectChar">
    <w:name w:val="Comment Subject Char"/>
    <w:basedOn w:val="CommentTextChar"/>
    <w:link w:val="CommentSubject"/>
    <w:uiPriority w:val="99"/>
    <w:semiHidden/>
    <w:rsid w:val="0040731A"/>
    <w:rPr>
      <w:b/>
      <w:bCs/>
      <w:sz w:val="20"/>
      <w:szCs w:val="20"/>
    </w:rPr>
  </w:style>
  <w:style w:type="paragraph" w:styleId="BalloonText">
    <w:name w:val="Balloon Text"/>
    <w:basedOn w:val="Normal"/>
    <w:link w:val="BalloonTextChar"/>
    <w:uiPriority w:val="99"/>
    <w:semiHidden/>
    <w:unhideWhenUsed/>
    <w:rsid w:val="004073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31A"/>
    <w:rPr>
      <w:rFonts w:ascii="Tahoma" w:hAnsi="Tahoma" w:cs="Tahoma"/>
      <w:sz w:val="16"/>
      <w:szCs w:val="16"/>
    </w:rPr>
  </w:style>
  <w:style w:type="character" w:styleId="FollowedHyperlink">
    <w:name w:val="FollowedHyperlink"/>
    <w:basedOn w:val="DefaultParagraphFont"/>
    <w:uiPriority w:val="99"/>
    <w:semiHidden/>
    <w:unhideWhenUsed/>
    <w:rsid w:val="00775BAB"/>
    <w:rPr>
      <w:color w:val="954F72" w:themeColor="followedHyperlink"/>
      <w:u w:val="single"/>
    </w:rPr>
  </w:style>
  <w:style w:type="paragraph" w:styleId="ListParagraph">
    <w:name w:val="List Paragraph"/>
    <w:basedOn w:val="Normal"/>
    <w:uiPriority w:val="34"/>
    <w:qFormat/>
    <w:rsid w:val="001A55D8"/>
    <w:pPr>
      <w:ind w:left="720"/>
      <w:contextualSpacing/>
    </w:pPr>
  </w:style>
  <w:style w:type="table" w:styleId="TableGrid">
    <w:name w:val="Table Grid"/>
    <w:basedOn w:val="TableNormal"/>
    <w:uiPriority w:val="59"/>
    <w:rsid w:val="00FD555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341372">
      <w:bodyDiv w:val="1"/>
      <w:marLeft w:val="0"/>
      <w:marRight w:val="0"/>
      <w:marTop w:val="0"/>
      <w:marBottom w:val="0"/>
      <w:divBdr>
        <w:top w:val="none" w:sz="0" w:space="0" w:color="auto"/>
        <w:left w:val="none" w:sz="0" w:space="0" w:color="auto"/>
        <w:bottom w:val="none" w:sz="0" w:space="0" w:color="auto"/>
        <w:right w:val="none" w:sz="0" w:space="0" w:color="auto"/>
      </w:divBdr>
      <w:divsChild>
        <w:div w:id="397552187">
          <w:marLeft w:val="0"/>
          <w:marRight w:val="0"/>
          <w:marTop w:val="0"/>
          <w:marBottom w:val="0"/>
          <w:divBdr>
            <w:top w:val="none" w:sz="0" w:space="0" w:color="auto"/>
            <w:left w:val="none" w:sz="0" w:space="0" w:color="auto"/>
            <w:bottom w:val="none" w:sz="0" w:space="0" w:color="auto"/>
            <w:right w:val="none" w:sz="0" w:space="0" w:color="auto"/>
          </w:divBdr>
          <w:divsChild>
            <w:div w:id="1513491184">
              <w:marLeft w:val="0"/>
              <w:marRight w:val="0"/>
              <w:marTop w:val="0"/>
              <w:marBottom w:val="0"/>
              <w:divBdr>
                <w:top w:val="none" w:sz="0" w:space="0" w:color="auto"/>
                <w:left w:val="none" w:sz="0" w:space="0" w:color="auto"/>
                <w:bottom w:val="none" w:sz="0" w:space="0" w:color="auto"/>
                <w:right w:val="none" w:sz="0" w:space="0" w:color="auto"/>
              </w:divBdr>
              <w:divsChild>
                <w:div w:id="2034647080">
                  <w:marLeft w:val="0"/>
                  <w:marRight w:val="0"/>
                  <w:marTop w:val="0"/>
                  <w:marBottom w:val="0"/>
                  <w:divBdr>
                    <w:top w:val="none" w:sz="0" w:space="0" w:color="auto"/>
                    <w:left w:val="none" w:sz="0" w:space="0" w:color="auto"/>
                    <w:bottom w:val="none" w:sz="0" w:space="0" w:color="auto"/>
                    <w:right w:val="none" w:sz="0" w:space="0" w:color="auto"/>
                  </w:divBdr>
                  <w:divsChild>
                    <w:div w:id="1083377367">
                      <w:marLeft w:val="0"/>
                      <w:marRight w:val="0"/>
                      <w:marTop w:val="0"/>
                      <w:marBottom w:val="0"/>
                      <w:divBdr>
                        <w:top w:val="none" w:sz="0" w:space="0" w:color="auto"/>
                        <w:left w:val="none" w:sz="0" w:space="0" w:color="auto"/>
                        <w:bottom w:val="none" w:sz="0" w:space="0" w:color="auto"/>
                        <w:right w:val="none" w:sz="0" w:space="0" w:color="auto"/>
                      </w:divBdr>
                      <w:divsChild>
                        <w:div w:id="44528756">
                          <w:marLeft w:val="0"/>
                          <w:marRight w:val="0"/>
                          <w:marTop w:val="0"/>
                          <w:marBottom w:val="0"/>
                          <w:divBdr>
                            <w:top w:val="none" w:sz="0" w:space="0" w:color="auto"/>
                            <w:left w:val="none" w:sz="0" w:space="0" w:color="auto"/>
                            <w:bottom w:val="none" w:sz="0" w:space="0" w:color="auto"/>
                            <w:right w:val="none" w:sz="0" w:space="0" w:color="auto"/>
                          </w:divBdr>
                          <w:divsChild>
                            <w:div w:id="761101301">
                              <w:marLeft w:val="0"/>
                              <w:marRight w:val="0"/>
                              <w:marTop w:val="0"/>
                              <w:marBottom w:val="0"/>
                              <w:divBdr>
                                <w:top w:val="none" w:sz="0" w:space="0" w:color="auto"/>
                                <w:left w:val="none" w:sz="0" w:space="0" w:color="auto"/>
                                <w:bottom w:val="none" w:sz="0" w:space="0" w:color="auto"/>
                                <w:right w:val="none" w:sz="0" w:space="0" w:color="auto"/>
                              </w:divBdr>
                              <w:divsChild>
                                <w:div w:id="435759325">
                                  <w:marLeft w:val="0"/>
                                  <w:marRight w:val="0"/>
                                  <w:marTop w:val="0"/>
                                  <w:marBottom w:val="0"/>
                                  <w:divBdr>
                                    <w:top w:val="none" w:sz="0" w:space="0" w:color="auto"/>
                                    <w:left w:val="none" w:sz="0" w:space="0" w:color="auto"/>
                                    <w:bottom w:val="none" w:sz="0" w:space="0" w:color="auto"/>
                                    <w:right w:val="none" w:sz="0" w:space="0" w:color="auto"/>
                                  </w:divBdr>
                                  <w:divsChild>
                                    <w:div w:id="1095899298">
                                      <w:marLeft w:val="0"/>
                                      <w:marRight w:val="0"/>
                                      <w:marTop w:val="0"/>
                                      <w:marBottom w:val="0"/>
                                      <w:divBdr>
                                        <w:top w:val="none" w:sz="0" w:space="0" w:color="auto"/>
                                        <w:left w:val="none" w:sz="0" w:space="0" w:color="auto"/>
                                        <w:bottom w:val="none" w:sz="0" w:space="0" w:color="auto"/>
                                        <w:right w:val="none" w:sz="0" w:space="0" w:color="auto"/>
                                      </w:divBdr>
                                      <w:divsChild>
                                        <w:div w:id="1888953828">
                                          <w:marLeft w:val="0"/>
                                          <w:marRight w:val="0"/>
                                          <w:marTop w:val="75"/>
                                          <w:marBottom w:val="0"/>
                                          <w:divBdr>
                                            <w:top w:val="none" w:sz="0" w:space="0" w:color="auto"/>
                                            <w:left w:val="none" w:sz="0" w:space="0" w:color="auto"/>
                                            <w:bottom w:val="none" w:sz="0" w:space="0" w:color="auto"/>
                                            <w:right w:val="none" w:sz="0" w:space="0" w:color="auto"/>
                                          </w:divBdr>
                                          <w:divsChild>
                                            <w:div w:id="349838532">
                                              <w:marLeft w:val="0"/>
                                              <w:marRight w:val="0"/>
                                              <w:marTop w:val="0"/>
                                              <w:marBottom w:val="0"/>
                                              <w:divBdr>
                                                <w:top w:val="none" w:sz="0" w:space="0" w:color="auto"/>
                                                <w:left w:val="none" w:sz="0" w:space="0" w:color="auto"/>
                                                <w:bottom w:val="none" w:sz="0" w:space="0" w:color="auto"/>
                                                <w:right w:val="none" w:sz="0" w:space="0" w:color="auto"/>
                                              </w:divBdr>
                                            </w:div>
                                            <w:div w:id="231739064">
                                              <w:marLeft w:val="0"/>
                                              <w:marRight w:val="0"/>
                                              <w:marTop w:val="0"/>
                                              <w:marBottom w:val="0"/>
                                              <w:divBdr>
                                                <w:top w:val="none" w:sz="0" w:space="0" w:color="auto"/>
                                                <w:left w:val="none" w:sz="0" w:space="0" w:color="auto"/>
                                                <w:bottom w:val="none" w:sz="0" w:space="0" w:color="auto"/>
                                                <w:right w:val="none" w:sz="0" w:space="0" w:color="auto"/>
                                              </w:divBdr>
                                            </w:div>
                                            <w:div w:id="195763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6983199">
      <w:bodyDiv w:val="1"/>
      <w:marLeft w:val="0"/>
      <w:marRight w:val="0"/>
      <w:marTop w:val="0"/>
      <w:marBottom w:val="0"/>
      <w:divBdr>
        <w:top w:val="none" w:sz="0" w:space="0" w:color="auto"/>
        <w:left w:val="none" w:sz="0" w:space="0" w:color="auto"/>
        <w:bottom w:val="none" w:sz="0" w:space="0" w:color="auto"/>
        <w:right w:val="none" w:sz="0" w:space="0" w:color="auto"/>
      </w:divBdr>
      <w:divsChild>
        <w:div w:id="1629816088">
          <w:marLeft w:val="0"/>
          <w:marRight w:val="0"/>
          <w:marTop w:val="0"/>
          <w:marBottom w:val="0"/>
          <w:divBdr>
            <w:top w:val="none" w:sz="0" w:space="0" w:color="auto"/>
            <w:left w:val="none" w:sz="0" w:space="0" w:color="auto"/>
            <w:bottom w:val="none" w:sz="0" w:space="0" w:color="auto"/>
            <w:right w:val="none" w:sz="0" w:space="0" w:color="auto"/>
          </w:divBdr>
          <w:divsChild>
            <w:div w:id="740715426">
              <w:marLeft w:val="0"/>
              <w:marRight w:val="0"/>
              <w:marTop w:val="0"/>
              <w:marBottom w:val="0"/>
              <w:divBdr>
                <w:top w:val="none" w:sz="0" w:space="0" w:color="auto"/>
                <w:left w:val="none" w:sz="0" w:space="0" w:color="auto"/>
                <w:bottom w:val="none" w:sz="0" w:space="0" w:color="auto"/>
                <w:right w:val="none" w:sz="0" w:space="0" w:color="auto"/>
              </w:divBdr>
              <w:divsChild>
                <w:div w:id="763914192">
                  <w:marLeft w:val="0"/>
                  <w:marRight w:val="0"/>
                  <w:marTop w:val="0"/>
                  <w:marBottom w:val="0"/>
                  <w:divBdr>
                    <w:top w:val="none" w:sz="0" w:space="0" w:color="auto"/>
                    <w:left w:val="none" w:sz="0" w:space="0" w:color="auto"/>
                    <w:bottom w:val="none" w:sz="0" w:space="0" w:color="auto"/>
                    <w:right w:val="none" w:sz="0" w:space="0" w:color="auto"/>
                  </w:divBdr>
                  <w:divsChild>
                    <w:div w:id="1738897714">
                      <w:marLeft w:val="0"/>
                      <w:marRight w:val="0"/>
                      <w:marTop w:val="0"/>
                      <w:marBottom w:val="0"/>
                      <w:divBdr>
                        <w:top w:val="none" w:sz="0" w:space="0" w:color="auto"/>
                        <w:left w:val="none" w:sz="0" w:space="0" w:color="auto"/>
                        <w:bottom w:val="none" w:sz="0" w:space="0" w:color="auto"/>
                        <w:right w:val="none" w:sz="0" w:space="0" w:color="auto"/>
                      </w:divBdr>
                      <w:divsChild>
                        <w:div w:id="140539508">
                          <w:marLeft w:val="0"/>
                          <w:marRight w:val="0"/>
                          <w:marTop w:val="0"/>
                          <w:marBottom w:val="0"/>
                          <w:divBdr>
                            <w:top w:val="none" w:sz="0" w:space="0" w:color="auto"/>
                            <w:left w:val="none" w:sz="0" w:space="0" w:color="auto"/>
                            <w:bottom w:val="none" w:sz="0" w:space="0" w:color="auto"/>
                            <w:right w:val="none" w:sz="0" w:space="0" w:color="auto"/>
                          </w:divBdr>
                          <w:divsChild>
                            <w:div w:id="2069185828">
                              <w:marLeft w:val="0"/>
                              <w:marRight w:val="0"/>
                              <w:marTop w:val="0"/>
                              <w:marBottom w:val="0"/>
                              <w:divBdr>
                                <w:top w:val="none" w:sz="0" w:space="0" w:color="auto"/>
                                <w:left w:val="none" w:sz="0" w:space="0" w:color="auto"/>
                                <w:bottom w:val="none" w:sz="0" w:space="0" w:color="auto"/>
                                <w:right w:val="none" w:sz="0" w:space="0" w:color="auto"/>
                              </w:divBdr>
                              <w:divsChild>
                                <w:div w:id="1836260244">
                                  <w:marLeft w:val="0"/>
                                  <w:marRight w:val="0"/>
                                  <w:marTop w:val="0"/>
                                  <w:marBottom w:val="0"/>
                                  <w:divBdr>
                                    <w:top w:val="none" w:sz="0" w:space="0" w:color="auto"/>
                                    <w:left w:val="none" w:sz="0" w:space="0" w:color="auto"/>
                                    <w:bottom w:val="none" w:sz="0" w:space="0" w:color="auto"/>
                                    <w:right w:val="none" w:sz="0" w:space="0" w:color="auto"/>
                                  </w:divBdr>
                                  <w:divsChild>
                                    <w:div w:id="1107119479">
                                      <w:marLeft w:val="0"/>
                                      <w:marRight w:val="0"/>
                                      <w:marTop w:val="0"/>
                                      <w:marBottom w:val="0"/>
                                      <w:divBdr>
                                        <w:top w:val="none" w:sz="0" w:space="0" w:color="auto"/>
                                        <w:left w:val="none" w:sz="0" w:space="0" w:color="auto"/>
                                        <w:bottom w:val="none" w:sz="0" w:space="0" w:color="auto"/>
                                        <w:right w:val="none" w:sz="0" w:space="0" w:color="auto"/>
                                      </w:divBdr>
                                      <w:divsChild>
                                        <w:div w:id="835345830">
                                          <w:marLeft w:val="0"/>
                                          <w:marRight w:val="0"/>
                                          <w:marTop w:val="75"/>
                                          <w:marBottom w:val="0"/>
                                          <w:divBdr>
                                            <w:top w:val="none" w:sz="0" w:space="0" w:color="auto"/>
                                            <w:left w:val="none" w:sz="0" w:space="0" w:color="auto"/>
                                            <w:bottom w:val="none" w:sz="0" w:space="0" w:color="auto"/>
                                            <w:right w:val="none" w:sz="0" w:space="0" w:color="auto"/>
                                          </w:divBdr>
                                          <w:divsChild>
                                            <w:div w:id="1857765410">
                                              <w:marLeft w:val="0"/>
                                              <w:marRight w:val="0"/>
                                              <w:marTop w:val="0"/>
                                              <w:marBottom w:val="0"/>
                                              <w:divBdr>
                                                <w:top w:val="none" w:sz="0" w:space="0" w:color="auto"/>
                                                <w:left w:val="none" w:sz="0" w:space="0" w:color="auto"/>
                                                <w:bottom w:val="none" w:sz="0" w:space="0" w:color="auto"/>
                                                <w:right w:val="none" w:sz="0" w:space="0" w:color="auto"/>
                                              </w:divBdr>
                                            </w:div>
                                            <w:div w:id="2045790170">
                                              <w:marLeft w:val="0"/>
                                              <w:marRight w:val="0"/>
                                              <w:marTop w:val="0"/>
                                              <w:marBottom w:val="0"/>
                                              <w:divBdr>
                                                <w:top w:val="none" w:sz="0" w:space="0" w:color="auto"/>
                                                <w:left w:val="none" w:sz="0" w:space="0" w:color="auto"/>
                                                <w:bottom w:val="none" w:sz="0" w:space="0" w:color="auto"/>
                                                <w:right w:val="none" w:sz="0" w:space="0" w:color="auto"/>
                                              </w:divBdr>
                                            </w:div>
                                            <w:div w:id="35415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hyperlink" Target="file:///C:\Users\MKwiatkowski\AppData\Local\Microsoft\Windows\Temporary%20Internet%20Files\Content.Outlook\SGAF0PH5\%5binsert%20link%20to%20NSRC%20Viz%20landing%20page%20once%20live%5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paustralia.gov.au/tools-resources/patent-analytics-hub"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D7FB6-D1FA-4CCB-A97A-65EE02277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Jenny</dc:creator>
  <cp:lastModifiedBy>Bingham, Adam</cp:lastModifiedBy>
  <cp:revision>2</cp:revision>
  <dcterms:created xsi:type="dcterms:W3CDTF">2019-02-14T02:01:00Z</dcterms:created>
  <dcterms:modified xsi:type="dcterms:W3CDTF">2019-02-14T02:01:00Z</dcterms:modified>
</cp:coreProperties>
</file>