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439E9" w14:textId="77777777" w:rsidR="00795087" w:rsidRDefault="00795087" w:rsidP="00795087">
      <w:pPr>
        <w:rPr>
          <w:rFonts w:asciiTheme="majorHAnsi" w:eastAsiaTheme="majorEastAsia" w:hAnsiTheme="majorHAnsi" w:cstheme="majorBidi"/>
          <w:b/>
          <w:color w:val="2C2C2D" w:themeColor="text2" w:themeShade="80"/>
          <w:spacing w:val="5"/>
          <w:kern w:val="28"/>
          <w:sz w:val="56"/>
          <w:szCs w:val="52"/>
        </w:rPr>
      </w:pPr>
      <w:bookmarkStart w:id="0" w:name="_GoBack"/>
      <w:bookmarkEnd w:id="0"/>
    </w:p>
    <w:p w14:paraId="55BE7A3B" w14:textId="77777777" w:rsidR="00975726" w:rsidRDefault="00795087" w:rsidP="00795087">
      <w:pPr>
        <w:pStyle w:val="Title"/>
        <w:ind w:left="993"/>
      </w:pPr>
      <w:r w:rsidRPr="00795087">
        <w:t>National Survey of Research Commercialisation (NSRC)</w:t>
      </w:r>
    </w:p>
    <w:p w14:paraId="07641A6E" w14:textId="77777777" w:rsidR="002300AC" w:rsidRDefault="00795087" w:rsidP="002916ED">
      <w:pPr>
        <w:pStyle w:val="Subtitle"/>
        <w:ind w:left="993" w:right="662"/>
      </w:pPr>
      <w:r w:rsidRPr="00795087">
        <w:t>Data Summary 2012 – 2014</w:t>
      </w:r>
    </w:p>
    <w:p w14:paraId="26569E24" w14:textId="77777777" w:rsidR="00163B54" w:rsidRDefault="00163B54" w:rsidP="002916ED">
      <w:pPr>
        <w:pStyle w:val="Subtitle"/>
        <w:ind w:left="993" w:right="662"/>
      </w:pPr>
    </w:p>
    <w:p w14:paraId="63FD9D0C" w14:textId="2210053B" w:rsidR="00602C92" w:rsidRDefault="00163B54" w:rsidP="002916ED">
      <w:pPr>
        <w:ind w:left="993" w:right="662"/>
        <w:rPr>
          <w:rStyle w:val="Hyperlink"/>
        </w:rPr>
      </w:pPr>
      <w:r w:rsidRPr="00A93922">
        <w:t>www.industry.gov.au/</w:t>
      </w:r>
      <w:r w:rsidR="00A93922">
        <w:t>nsrc</w:t>
      </w:r>
    </w:p>
    <w:p w14:paraId="137ECAA0" w14:textId="77777777" w:rsidR="001A2DC6" w:rsidRDefault="001A2DC6" w:rsidP="001A25AE">
      <w:pPr>
        <w:ind w:left="993" w:right="804"/>
        <w:rPr>
          <w:rStyle w:val="Hyperlink"/>
        </w:rPr>
      </w:pPr>
    </w:p>
    <w:p w14:paraId="023019DF" w14:textId="77777777" w:rsidR="001A2DC6" w:rsidRDefault="001A2DC6" w:rsidP="00163B54">
      <w:pPr>
        <w:rPr>
          <w:rStyle w:val="Hyperlink"/>
        </w:rPr>
        <w:sectPr w:rsidR="001A2DC6" w:rsidSect="0088639D">
          <w:headerReference w:type="default" r:id="rId11"/>
          <w:footerReference w:type="even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EADCCD" w14:textId="77777777" w:rsidR="006255AE" w:rsidRDefault="006255AE" w:rsidP="006255AE">
      <w:bookmarkStart w:id="1" w:name="_Toc419991348"/>
      <w:bookmarkStart w:id="2" w:name="_Toc304456805"/>
      <w:r w:rsidRPr="00756951">
        <w:lastRenderedPageBreak/>
        <w:t xml:space="preserve">This </w:t>
      </w:r>
      <w:r>
        <w:t>document</w:t>
      </w:r>
      <w:r w:rsidRPr="00756951">
        <w:t xml:space="preserve"> presents key statistics from</w:t>
      </w:r>
      <w:r>
        <w:t xml:space="preserve"> the</w:t>
      </w:r>
      <w:r w:rsidRPr="00756951">
        <w:t xml:space="preserve"> 2014 N</w:t>
      </w:r>
      <w:r>
        <w:t>ational Survey of Research Commercialisation (N</w:t>
      </w:r>
      <w:r w:rsidRPr="00756951">
        <w:t>SRC</w:t>
      </w:r>
      <w:r>
        <w:t>)</w:t>
      </w:r>
      <w:r w:rsidRPr="00756951">
        <w:t xml:space="preserve"> and compare</w:t>
      </w:r>
      <w:r>
        <w:t xml:space="preserve">s them </w:t>
      </w:r>
      <w:r w:rsidRPr="00756951">
        <w:t xml:space="preserve">against </w:t>
      </w:r>
      <w:r>
        <w:t xml:space="preserve">data from the </w:t>
      </w:r>
      <w:r w:rsidRPr="00756951">
        <w:t>2012 and 2013</w:t>
      </w:r>
      <w:r>
        <w:t xml:space="preserve"> survey</w:t>
      </w:r>
      <w:r>
        <w:rPr>
          <w:rStyle w:val="FootnoteReference"/>
          <w:rFonts w:ascii="Arial" w:hAnsi="Arial" w:cs="Arial"/>
        </w:rPr>
        <w:footnoteReference w:id="1"/>
      </w:r>
      <w:r w:rsidRPr="00756951">
        <w:t>.</w:t>
      </w:r>
      <w:r>
        <w:t xml:space="preserve"> </w:t>
      </w:r>
    </w:p>
    <w:bookmarkEnd w:id="1"/>
    <w:bookmarkEnd w:id="2"/>
    <w:p w14:paraId="11277BC9" w14:textId="426EA83A" w:rsidR="00A22053" w:rsidRPr="00370B37" w:rsidRDefault="00A22053" w:rsidP="00370B37">
      <w:pPr>
        <w:pStyle w:val="Heading2"/>
        <w:numPr>
          <w:ilvl w:val="0"/>
          <w:numId w:val="17"/>
        </w:numPr>
      </w:pPr>
      <w:r w:rsidRPr="00756951">
        <w:t>National Survey of Research Commercialisation</w:t>
      </w:r>
    </w:p>
    <w:p w14:paraId="32C49906" w14:textId="77777777" w:rsidR="00A22053" w:rsidRDefault="00A22053" w:rsidP="00370B37">
      <w:pPr>
        <w:pStyle w:val="ListParagraph"/>
        <w:spacing w:after="0"/>
        <w:ind w:left="0"/>
        <w:rPr>
          <w:rFonts w:ascii="Arial" w:hAnsi="Arial" w:cs="Arial"/>
          <w:sz w:val="20"/>
        </w:rPr>
      </w:pPr>
      <w:r w:rsidRPr="00525A6A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NSRC</w:t>
      </w:r>
      <w:r w:rsidRPr="00525A6A">
        <w:rPr>
          <w:rFonts w:ascii="Arial" w:hAnsi="Arial" w:cs="Arial"/>
          <w:sz w:val="20"/>
        </w:rPr>
        <w:t xml:space="preserve"> provides a collection of data on various aspects of research engagement and commercialisation activities of </w:t>
      </w:r>
      <w:r>
        <w:rPr>
          <w:rFonts w:ascii="Arial" w:hAnsi="Arial" w:cs="Arial"/>
          <w:sz w:val="20"/>
        </w:rPr>
        <w:t xml:space="preserve">Australian </w:t>
      </w:r>
      <w:r w:rsidRPr="00525A6A">
        <w:rPr>
          <w:rFonts w:ascii="Arial" w:hAnsi="Arial" w:cs="Arial"/>
          <w:sz w:val="20"/>
        </w:rPr>
        <w:t>universities, publicly funded research agencies (PFRAs) and medic</w:t>
      </w:r>
      <w:r>
        <w:rPr>
          <w:rFonts w:ascii="Arial" w:hAnsi="Arial" w:cs="Arial"/>
          <w:sz w:val="20"/>
        </w:rPr>
        <w:t>al research institutes (MRIs)</w:t>
      </w:r>
      <w:r w:rsidRPr="00525A6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3B2F4E33" w14:textId="77777777" w:rsidR="00A22053" w:rsidRPr="00525A6A" w:rsidRDefault="00A22053" w:rsidP="00A22053">
      <w:pPr>
        <w:pStyle w:val="ListParagraph"/>
        <w:ind w:left="357"/>
        <w:rPr>
          <w:rFonts w:ascii="Arial" w:hAnsi="Arial" w:cs="Arial"/>
          <w:sz w:val="20"/>
        </w:rPr>
      </w:pPr>
    </w:p>
    <w:p w14:paraId="20D7DE42" w14:textId="77777777" w:rsidR="00A22053" w:rsidRPr="00350CDF" w:rsidRDefault="00A22053" w:rsidP="00A22053">
      <w:pPr>
        <w:pStyle w:val="ListParagraph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There was a 93%</w:t>
      </w:r>
      <w:r w:rsidRPr="00350C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response rate to the 2014</w:t>
      </w:r>
      <w:r w:rsidRPr="00350C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NSRC data </w:t>
      </w:r>
      <w:r w:rsidRPr="00350CDF">
        <w:rPr>
          <w:rFonts w:ascii="Arial" w:hAnsi="Arial" w:cs="Arial"/>
          <w:sz w:val="20"/>
        </w:rPr>
        <w:t>collection</w:t>
      </w:r>
      <w:r>
        <w:rPr>
          <w:rFonts w:ascii="Arial" w:hAnsi="Arial" w:cs="Arial"/>
          <w:sz w:val="20"/>
        </w:rPr>
        <w:t>, an improvement over the 89% response rate in 2013</w:t>
      </w:r>
      <w:r w:rsidRPr="00350CDF">
        <w:rPr>
          <w:rFonts w:ascii="Arial" w:hAnsi="Arial" w:cs="Arial"/>
          <w:sz w:val="20"/>
        </w:rPr>
        <w:t>.</w:t>
      </w:r>
    </w:p>
    <w:p w14:paraId="14765AC1" w14:textId="77777777" w:rsidR="00A22053" w:rsidRPr="00824B06" w:rsidRDefault="00A22053" w:rsidP="00A22053">
      <w:pPr>
        <w:pStyle w:val="ListParagraph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0"/>
        </w:rPr>
      </w:pPr>
      <w:r w:rsidRPr="00824B06">
        <w:rPr>
          <w:rFonts w:ascii="Arial" w:hAnsi="Arial" w:cs="Arial"/>
          <w:sz w:val="20"/>
        </w:rPr>
        <w:t xml:space="preserve">The participating institutions comprised of seven </w:t>
      </w:r>
      <w:r>
        <w:rPr>
          <w:rFonts w:ascii="Arial" w:hAnsi="Arial" w:cs="Arial"/>
          <w:sz w:val="20"/>
        </w:rPr>
        <w:t>PFRAs</w:t>
      </w:r>
      <w:r w:rsidRPr="00824B06">
        <w:rPr>
          <w:rFonts w:ascii="Arial" w:hAnsi="Arial" w:cs="Arial"/>
          <w:sz w:val="20"/>
        </w:rPr>
        <w:t xml:space="preserve">; 37 universities and 19 </w:t>
      </w:r>
      <w:r>
        <w:rPr>
          <w:rFonts w:ascii="Arial" w:hAnsi="Arial" w:cs="Arial"/>
          <w:sz w:val="20"/>
        </w:rPr>
        <w:t>MRIs</w:t>
      </w:r>
      <w:r w:rsidRPr="00824B06">
        <w:rPr>
          <w:rFonts w:ascii="Arial" w:hAnsi="Arial" w:cs="Arial"/>
          <w:sz w:val="20"/>
        </w:rPr>
        <w:t>.</w:t>
      </w:r>
    </w:p>
    <w:p w14:paraId="1B844A40" w14:textId="77777777" w:rsidR="00A22053" w:rsidRPr="00E47977" w:rsidRDefault="00A22053" w:rsidP="00A22053">
      <w:pPr>
        <w:pStyle w:val="ListParagraph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0"/>
        </w:rPr>
      </w:pPr>
      <w:r w:rsidRPr="00E47977">
        <w:rPr>
          <w:rFonts w:ascii="Arial" w:hAnsi="Arial" w:cs="Arial"/>
          <w:sz w:val="20"/>
        </w:rPr>
        <w:t>The 2014 survey population makeup included</w:t>
      </w:r>
      <w:r>
        <w:rPr>
          <w:rFonts w:ascii="Arial" w:hAnsi="Arial" w:cs="Arial"/>
          <w:sz w:val="20"/>
        </w:rPr>
        <w:t xml:space="preserve"> a number of changes including</w:t>
      </w:r>
      <w:r w:rsidRPr="00E47977">
        <w:rPr>
          <w:rFonts w:ascii="Arial" w:hAnsi="Arial" w:cs="Arial"/>
          <w:sz w:val="20"/>
        </w:rPr>
        <w:t xml:space="preserve">: participation by two </w:t>
      </w:r>
      <w:r>
        <w:rPr>
          <w:rFonts w:ascii="Arial" w:hAnsi="Arial" w:cs="Arial"/>
          <w:sz w:val="20"/>
        </w:rPr>
        <w:t xml:space="preserve">additional PFRAs and one </w:t>
      </w:r>
      <w:r w:rsidRPr="00E47977">
        <w:rPr>
          <w:rFonts w:ascii="Arial" w:hAnsi="Arial" w:cs="Arial"/>
          <w:sz w:val="20"/>
        </w:rPr>
        <w:t>MRI; two universities chose not to participate and a number of MRIs disbanded, merged or were dropped from the survey because they were not in scope.</w:t>
      </w:r>
    </w:p>
    <w:p w14:paraId="3D212C34" w14:textId="77777777" w:rsidR="00A22053" w:rsidRDefault="00A22053" w:rsidP="00A22053">
      <w:pPr>
        <w:spacing w:after="0" w:line="240" w:lineRule="auto"/>
        <w:rPr>
          <w:rFonts w:ascii="Arial" w:hAnsi="Arial" w:cs="Arial"/>
          <w:b/>
        </w:rPr>
      </w:pPr>
    </w:p>
    <w:p w14:paraId="3CA98E26" w14:textId="77777777" w:rsidR="00A22053" w:rsidRDefault="00A22053" w:rsidP="00D05CB9">
      <w:pPr>
        <w:pStyle w:val="Heading3"/>
        <w:rPr>
          <w:sz w:val="20"/>
          <w:szCs w:val="20"/>
        </w:rPr>
      </w:pPr>
      <w:r w:rsidRPr="00D05CB9">
        <w:rPr>
          <w:sz w:val="20"/>
          <w:szCs w:val="20"/>
        </w:rPr>
        <w:t>Table 1: NSRC Survey Population</w:t>
      </w:r>
    </w:p>
    <w:p w14:paraId="0662D33F" w14:textId="77777777" w:rsidR="00A93922" w:rsidRPr="00A93922" w:rsidRDefault="00A93922" w:rsidP="00A93922"/>
    <w:tbl>
      <w:tblPr>
        <w:tblW w:w="5648" w:type="dxa"/>
        <w:tblInd w:w="108" w:type="dxa"/>
        <w:tblLook w:val="04A0" w:firstRow="1" w:lastRow="0" w:firstColumn="1" w:lastColumn="0" w:noHBand="0" w:noVBand="1"/>
      </w:tblPr>
      <w:tblGrid>
        <w:gridCol w:w="976"/>
        <w:gridCol w:w="733"/>
        <w:gridCol w:w="1023"/>
        <w:gridCol w:w="1740"/>
        <w:gridCol w:w="1176"/>
      </w:tblGrid>
      <w:tr w:rsidR="00A22053" w:rsidRPr="00613000" w14:paraId="778B20DA" w14:textId="77777777" w:rsidTr="0057682D">
        <w:trPr>
          <w:trHeight w:val="450"/>
        </w:trPr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4D79B"/>
            <w:noWrap/>
            <w:vAlign w:val="center"/>
            <w:hideMark/>
          </w:tcPr>
          <w:p w14:paraId="4FBF17AD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Year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0FC39D0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Research Organisations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4D79B"/>
            <w:noWrap/>
            <w:vAlign w:val="center"/>
            <w:hideMark/>
          </w:tcPr>
          <w:p w14:paraId="1742C4F8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Total</w:t>
            </w:r>
          </w:p>
        </w:tc>
      </w:tr>
      <w:tr w:rsidR="00A22053" w:rsidRPr="00613000" w14:paraId="64117F03" w14:textId="77777777" w:rsidTr="0057682D">
        <w:trPr>
          <w:trHeight w:val="450"/>
        </w:trPr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784554" w14:textId="77777777" w:rsidR="00A22053" w:rsidRPr="00613000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34088434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MRIs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45C48CD1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PFR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A</w:t>
            </w:r>
            <w:r w:rsidRPr="0061300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05B042C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Universities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BBC215" w14:textId="77777777" w:rsidR="00A22053" w:rsidRPr="00613000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</w:p>
        </w:tc>
      </w:tr>
      <w:tr w:rsidR="00A22053" w:rsidRPr="00613000" w14:paraId="7390F064" w14:textId="77777777" w:rsidTr="0057682D">
        <w:trPr>
          <w:trHeight w:val="4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78B3" w14:textId="77777777" w:rsidR="00A22053" w:rsidRPr="00613000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2012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2001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89F3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02F8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E02D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66</w:t>
            </w:r>
          </w:p>
        </w:tc>
      </w:tr>
      <w:tr w:rsidR="00A22053" w:rsidRPr="00613000" w14:paraId="6F2434DE" w14:textId="77777777" w:rsidTr="0057682D">
        <w:trPr>
          <w:trHeight w:val="450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32890" w14:textId="77777777" w:rsidR="00A22053" w:rsidRPr="00613000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2013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7D5EE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6FF73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2BF83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9CB2C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66</w:t>
            </w:r>
          </w:p>
        </w:tc>
      </w:tr>
      <w:tr w:rsidR="00A22053" w:rsidRPr="00613000" w14:paraId="6606C531" w14:textId="77777777" w:rsidTr="0057682D">
        <w:trPr>
          <w:trHeight w:val="45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1957" w14:textId="77777777" w:rsidR="00A22053" w:rsidRPr="00613000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2014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1FFA4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F2AC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27DE3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4394A" w14:textId="77777777" w:rsidR="00A22053" w:rsidRPr="0061300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61300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63</w:t>
            </w:r>
          </w:p>
        </w:tc>
      </w:tr>
    </w:tbl>
    <w:p w14:paraId="06F2FA36" w14:textId="77777777" w:rsidR="00A22053" w:rsidRDefault="00A22053" w:rsidP="00D05CB9">
      <w:pPr>
        <w:pStyle w:val="Heading3"/>
        <w:rPr>
          <w:sz w:val="20"/>
          <w:szCs w:val="20"/>
        </w:rPr>
      </w:pPr>
      <w:r w:rsidRPr="00D05CB9">
        <w:rPr>
          <w:sz w:val="20"/>
          <w:szCs w:val="20"/>
        </w:rPr>
        <w:t>Figure 1: 2014 NSRC participation by sector</w:t>
      </w:r>
    </w:p>
    <w:p w14:paraId="34539AB5" w14:textId="77777777" w:rsidR="00A93922" w:rsidRPr="00A93922" w:rsidRDefault="00A93922" w:rsidP="00A93922"/>
    <w:p w14:paraId="63F060B6" w14:textId="76074AA5" w:rsidR="00A22053" w:rsidRDefault="00A22053" w:rsidP="00A22053">
      <w:pPr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7275F775" wp14:editId="32A335C5">
            <wp:extent cx="4230094" cy="1296063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7BB01FB" w14:textId="42FEDA41" w:rsidR="00A22053" w:rsidRPr="0086396D" w:rsidRDefault="00D05CB9" w:rsidP="00D05CB9">
      <w:pPr>
        <w:pStyle w:val="Heading2"/>
        <w:rPr>
          <w:sz w:val="20"/>
        </w:rPr>
      </w:pPr>
      <w:r>
        <w:t xml:space="preserve">2.  </w:t>
      </w:r>
      <w:r w:rsidR="00A22053" w:rsidRPr="00D05CB9">
        <w:t>R</w:t>
      </w:r>
      <w:r w:rsidR="00A22053" w:rsidRPr="0086396D">
        <w:t>esearch Expenditure</w:t>
      </w:r>
    </w:p>
    <w:p w14:paraId="7C47C82E" w14:textId="77777777" w:rsidR="00A22053" w:rsidRDefault="00A22053" w:rsidP="00A22053">
      <w:pPr>
        <w:pStyle w:val="ListParagraph"/>
        <w:spacing w:after="360"/>
        <w:ind w:left="357"/>
        <w:rPr>
          <w:rFonts w:ascii="Arial" w:hAnsi="Arial" w:cs="Arial"/>
          <w:sz w:val="20"/>
        </w:rPr>
      </w:pPr>
    </w:p>
    <w:p w14:paraId="68D79048" w14:textId="77777777" w:rsidR="00A22053" w:rsidRPr="0086396D" w:rsidRDefault="00A22053" w:rsidP="00370B37">
      <w:pPr>
        <w:pStyle w:val="ListParagraph"/>
        <w:spacing w:after="360"/>
        <w:ind w:left="0"/>
        <w:rPr>
          <w:rFonts w:ascii="Arial" w:hAnsi="Arial" w:cs="Arial"/>
          <w:sz w:val="20"/>
        </w:rPr>
      </w:pPr>
      <w:r w:rsidRPr="0086396D">
        <w:rPr>
          <w:rFonts w:ascii="Arial" w:hAnsi="Arial" w:cs="Arial"/>
          <w:sz w:val="20"/>
        </w:rPr>
        <w:t>Research is defined as creative work undertaken on a systematic basis in order to increase the stock of knowledge, including knowledge of man, culture and society, and the use of this stock of knowledge to devise new applications.</w:t>
      </w:r>
      <w:r>
        <w:rPr>
          <w:rFonts w:ascii="Arial" w:hAnsi="Arial" w:cs="Arial"/>
          <w:sz w:val="20"/>
        </w:rPr>
        <w:t xml:space="preserve"> Research expenditure shows the total expenditure on research performed by institutions in 2014 regardless of the funding source.</w:t>
      </w:r>
    </w:p>
    <w:p w14:paraId="30C718DC" w14:textId="77777777" w:rsidR="00A22053" w:rsidRPr="00756951" w:rsidRDefault="00A22053" w:rsidP="00A22053">
      <w:pPr>
        <w:pStyle w:val="ListParagraph"/>
        <w:spacing w:after="360"/>
        <w:ind w:left="357"/>
        <w:rPr>
          <w:rFonts w:ascii="Arial" w:hAnsi="Arial" w:cs="Arial"/>
          <w:b/>
        </w:rPr>
      </w:pPr>
    </w:p>
    <w:p w14:paraId="61118FAE" w14:textId="77777777" w:rsidR="00A22053" w:rsidRPr="00756951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 w:rsidRPr="00756951">
        <w:rPr>
          <w:rFonts w:ascii="Arial" w:hAnsi="Arial" w:cs="Arial"/>
          <w:sz w:val="20"/>
        </w:rPr>
        <w:t>Total research investment from surveyed organisations was $10.2 billion in 2014 compared to $</w:t>
      </w:r>
      <w:r>
        <w:rPr>
          <w:rFonts w:ascii="Arial" w:hAnsi="Arial" w:cs="Arial"/>
          <w:sz w:val="20"/>
        </w:rPr>
        <w:t xml:space="preserve">9.7 </w:t>
      </w:r>
      <w:r w:rsidRPr="00756951">
        <w:rPr>
          <w:rFonts w:ascii="Arial" w:hAnsi="Arial" w:cs="Arial"/>
          <w:sz w:val="20"/>
        </w:rPr>
        <w:t>billion in 2013</w:t>
      </w:r>
      <w:r>
        <w:rPr>
          <w:rFonts w:ascii="Arial" w:hAnsi="Arial" w:cs="Arial"/>
          <w:sz w:val="20"/>
        </w:rPr>
        <w:t xml:space="preserve"> (inflation adjusted)</w:t>
      </w:r>
      <w:r w:rsidRPr="00756951">
        <w:rPr>
          <w:rFonts w:ascii="Arial" w:hAnsi="Arial" w:cs="Arial"/>
          <w:sz w:val="20"/>
        </w:rPr>
        <w:t>, a 5.5</w:t>
      </w:r>
      <w:r>
        <w:rPr>
          <w:rFonts w:ascii="Arial" w:hAnsi="Arial" w:cs="Arial"/>
          <w:sz w:val="20"/>
        </w:rPr>
        <w:t>%</w:t>
      </w:r>
      <w:r w:rsidRPr="00756951">
        <w:rPr>
          <w:rFonts w:ascii="Arial" w:hAnsi="Arial" w:cs="Arial"/>
          <w:sz w:val="20"/>
        </w:rPr>
        <w:t xml:space="preserve"> increase in real terms.</w:t>
      </w:r>
    </w:p>
    <w:p w14:paraId="79C1E54B" w14:textId="77777777" w:rsidR="00A22053" w:rsidRPr="00756951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PFRAs</w:t>
      </w:r>
      <w:r w:rsidRPr="00756951">
        <w:rPr>
          <w:rFonts w:ascii="Arial" w:hAnsi="Arial" w:cs="Arial"/>
          <w:sz w:val="20"/>
        </w:rPr>
        <w:t xml:space="preserve"> reported 7.</w:t>
      </w:r>
      <w:r>
        <w:rPr>
          <w:rFonts w:ascii="Arial" w:hAnsi="Arial" w:cs="Arial"/>
          <w:sz w:val="20"/>
        </w:rPr>
        <w:t>6%</w:t>
      </w:r>
      <w:r w:rsidRPr="00756951">
        <w:rPr>
          <w:rFonts w:ascii="Arial" w:hAnsi="Arial" w:cs="Arial"/>
          <w:sz w:val="20"/>
        </w:rPr>
        <w:t xml:space="preserve"> growth in research expenditure from </w:t>
      </w:r>
      <w:r>
        <w:rPr>
          <w:rFonts w:ascii="Arial" w:hAnsi="Arial" w:cs="Arial"/>
          <w:sz w:val="20"/>
        </w:rPr>
        <w:t>2013</w:t>
      </w:r>
      <w:r w:rsidRPr="00756951">
        <w:rPr>
          <w:rFonts w:ascii="Arial" w:hAnsi="Arial" w:cs="Arial"/>
          <w:sz w:val="20"/>
        </w:rPr>
        <w:t xml:space="preserve"> followed by universities and </w:t>
      </w:r>
      <w:r>
        <w:rPr>
          <w:rFonts w:ascii="Arial" w:hAnsi="Arial" w:cs="Arial"/>
          <w:sz w:val="20"/>
        </w:rPr>
        <w:t>MRIs</w:t>
      </w:r>
      <w:r w:rsidRPr="00756951">
        <w:rPr>
          <w:rFonts w:ascii="Arial" w:hAnsi="Arial" w:cs="Arial"/>
          <w:sz w:val="20"/>
        </w:rPr>
        <w:t xml:space="preserve"> at 5.4</w:t>
      </w:r>
      <w:r>
        <w:rPr>
          <w:rFonts w:ascii="Arial" w:hAnsi="Arial" w:cs="Arial"/>
          <w:sz w:val="20"/>
        </w:rPr>
        <w:t>%</w:t>
      </w:r>
      <w:r w:rsidRPr="00756951">
        <w:rPr>
          <w:rFonts w:ascii="Arial" w:hAnsi="Arial" w:cs="Arial"/>
          <w:sz w:val="20"/>
        </w:rPr>
        <w:t xml:space="preserve"> and 2.4</w:t>
      </w:r>
      <w:r>
        <w:rPr>
          <w:rFonts w:ascii="Arial" w:hAnsi="Arial" w:cs="Arial"/>
          <w:sz w:val="20"/>
        </w:rPr>
        <w:t>%</w:t>
      </w:r>
      <w:r w:rsidRPr="00756951">
        <w:rPr>
          <w:rFonts w:ascii="Arial" w:hAnsi="Arial" w:cs="Arial"/>
          <w:sz w:val="20"/>
        </w:rPr>
        <w:t xml:space="preserve"> growth respectively.</w:t>
      </w:r>
    </w:p>
    <w:p w14:paraId="1E865B58" w14:textId="77777777" w:rsidR="00A22053" w:rsidRPr="00D172CE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u</w:t>
      </w:r>
      <w:r w:rsidRPr="00756951">
        <w:rPr>
          <w:rFonts w:ascii="Arial" w:hAnsi="Arial" w:cs="Arial"/>
          <w:sz w:val="20"/>
        </w:rPr>
        <w:t xml:space="preserve">niversity sector </w:t>
      </w:r>
      <w:r>
        <w:rPr>
          <w:rFonts w:ascii="Arial" w:hAnsi="Arial" w:cs="Arial"/>
          <w:sz w:val="20"/>
        </w:rPr>
        <w:t xml:space="preserve">accounted for </w:t>
      </w:r>
      <w:r w:rsidRPr="00756951">
        <w:rPr>
          <w:rFonts w:ascii="Arial" w:hAnsi="Arial" w:cs="Arial"/>
          <w:sz w:val="20"/>
        </w:rPr>
        <w:t>80</w:t>
      </w:r>
      <w:r>
        <w:rPr>
          <w:rFonts w:ascii="Arial" w:hAnsi="Arial" w:cs="Arial"/>
          <w:sz w:val="20"/>
        </w:rPr>
        <w:t>.2%</w:t>
      </w:r>
      <w:r w:rsidRPr="00756951">
        <w:rPr>
          <w:rFonts w:ascii="Arial" w:hAnsi="Arial" w:cs="Arial"/>
          <w:sz w:val="20"/>
        </w:rPr>
        <w:t xml:space="preserve"> of the total </w:t>
      </w:r>
      <w:r>
        <w:rPr>
          <w:rFonts w:ascii="Arial" w:hAnsi="Arial" w:cs="Arial"/>
          <w:sz w:val="20"/>
        </w:rPr>
        <w:t xml:space="preserve">R&amp;D investment </w:t>
      </w:r>
      <w:r w:rsidRPr="00756951">
        <w:rPr>
          <w:rFonts w:ascii="Arial" w:hAnsi="Arial" w:cs="Arial"/>
          <w:sz w:val="20"/>
        </w:rPr>
        <w:t>of the organisations surveyed.</w:t>
      </w:r>
    </w:p>
    <w:p w14:paraId="236B046E" w14:textId="77777777" w:rsidR="00A22053" w:rsidRDefault="00A22053" w:rsidP="00D05CB9">
      <w:pPr>
        <w:pStyle w:val="Heading3"/>
        <w:rPr>
          <w:sz w:val="20"/>
          <w:szCs w:val="20"/>
        </w:rPr>
      </w:pPr>
      <w:r w:rsidRPr="00A93922">
        <w:rPr>
          <w:sz w:val="20"/>
          <w:szCs w:val="20"/>
        </w:rPr>
        <w:t xml:space="preserve"> Table 2: Research expenditure ($ Millions)</w:t>
      </w:r>
    </w:p>
    <w:p w14:paraId="184EC1ED" w14:textId="77777777" w:rsidR="00A93922" w:rsidRPr="00A93922" w:rsidRDefault="00A93922" w:rsidP="00A93922"/>
    <w:tbl>
      <w:tblPr>
        <w:tblW w:w="6564" w:type="dxa"/>
        <w:tblInd w:w="108" w:type="dxa"/>
        <w:tblLook w:val="04A0" w:firstRow="1" w:lastRow="0" w:firstColumn="1" w:lastColumn="0" w:noHBand="0" w:noVBand="1"/>
      </w:tblPr>
      <w:tblGrid>
        <w:gridCol w:w="1056"/>
        <w:gridCol w:w="1836"/>
        <w:gridCol w:w="1836"/>
        <w:gridCol w:w="1836"/>
      </w:tblGrid>
      <w:tr w:rsidR="00A22053" w:rsidRPr="00A86E43" w14:paraId="4CC4DA17" w14:textId="77777777" w:rsidTr="0057682D">
        <w:trPr>
          <w:trHeight w:val="51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14:paraId="5B95B20C" w14:textId="77777777" w:rsidR="00A22053" w:rsidRPr="00A86E43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18DC5825" w14:textId="77777777" w:rsidR="00A22053" w:rsidRPr="00A86E43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                 </w:t>
            </w:r>
            <w:r w:rsidRPr="00A86E4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82E387D" w14:textId="77777777" w:rsidR="00A22053" w:rsidRPr="00A86E43" w:rsidRDefault="00A22053" w:rsidP="0057682D">
            <w:pPr>
              <w:tabs>
                <w:tab w:val="left" w:pos="1111"/>
              </w:tabs>
              <w:spacing w:after="0" w:line="240" w:lineRule="auto"/>
              <w:ind w:left="-165" w:firstLine="165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                 </w:t>
            </w:r>
            <w:r w:rsidRPr="00A86E4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003A0455" w14:textId="77777777" w:rsidR="00A22053" w:rsidRPr="00A86E43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              </w:t>
            </w:r>
            <w:r w:rsidRPr="00A86E4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2014</w:t>
            </w:r>
          </w:p>
        </w:tc>
      </w:tr>
      <w:tr w:rsidR="00A22053" w:rsidRPr="00A86E43" w14:paraId="12B28A01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7A73" w14:textId="77777777" w:rsidR="00A22053" w:rsidRPr="00A86E43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PFRAs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6AB1" w14:textId="77777777" w:rsidR="00A22053" w:rsidRPr="00A86E43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                    1,388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C4C4" w14:textId="77777777" w:rsidR="00A22053" w:rsidRPr="00A86E43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                    1,363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8371" w14:textId="77777777" w:rsidR="00A22053" w:rsidRPr="00A86E43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                    1,466 </w:t>
            </w:r>
          </w:p>
        </w:tc>
      </w:tr>
      <w:tr w:rsidR="00A22053" w:rsidRPr="00A86E43" w14:paraId="3301E3DF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4F6E4" w14:textId="77777777" w:rsidR="00A22053" w:rsidRPr="00A86E43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UNIs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08150" w14:textId="77777777" w:rsidR="00A22053" w:rsidRPr="00A86E43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                    8,064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DB6E5" w14:textId="77777777" w:rsidR="00A22053" w:rsidRPr="00A86E43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                    7,765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E716C" w14:textId="77777777" w:rsidR="00A22053" w:rsidRPr="00A86E43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                    8,185 </w:t>
            </w:r>
          </w:p>
        </w:tc>
      </w:tr>
      <w:tr w:rsidR="00A22053" w:rsidRPr="00A86E43" w14:paraId="76C73D47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BF38" w14:textId="77777777" w:rsidR="00A22053" w:rsidRPr="00A86E43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MRIs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C60D" w14:textId="77777777" w:rsidR="00A22053" w:rsidRPr="00A86E43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                      504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9A1E" w14:textId="77777777" w:rsidR="00A22053" w:rsidRPr="00A86E43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                      538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4FFB" w14:textId="77777777" w:rsidR="00A22053" w:rsidRPr="00A86E43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                      551 </w:t>
            </w:r>
          </w:p>
        </w:tc>
      </w:tr>
      <w:tr w:rsidR="00A22053" w:rsidRPr="00A86E43" w14:paraId="5EA3BFCA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6B89D" w14:textId="77777777" w:rsidR="00A22053" w:rsidRPr="00A86E43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5478F" w14:textId="77777777" w:rsidR="00A22053" w:rsidRPr="00A86E43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                   9,95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6</w:t>
            </w:r>
            <w:r w:rsidRPr="00A86E4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721B2" w14:textId="77777777" w:rsidR="00A22053" w:rsidRPr="00A86E43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                   9,666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4A752" w14:textId="77777777" w:rsidR="00A22053" w:rsidRPr="00A86E43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A86E43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                 10,202 </w:t>
            </w:r>
          </w:p>
        </w:tc>
      </w:tr>
    </w:tbl>
    <w:p w14:paraId="4B01A1C4" w14:textId="77777777" w:rsidR="00A22053" w:rsidRDefault="00A22053" w:rsidP="00A22053">
      <w:pPr>
        <w:rPr>
          <w:rFonts w:ascii="Arial" w:hAnsi="Arial" w:cs="Arial"/>
        </w:rPr>
      </w:pPr>
    </w:p>
    <w:p w14:paraId="18A7BFEF" w14:textId="77777777" w:rsidR="00A22053" w:rsidRDefault="00A22053" w:rsidP="00D05CB9">
      <w:pPr>
        <w:pStyle w:val="Heading3"/>
        <w:rPr>
          <w:sz w:val="20"/>
          <w:szCs w:val="20"/>
        </w:rPr>
      </w:pPr>
      <w:r w:rsidRPr="00A93922">
        <w:rPr>
          <w:sz w:val="20"/>
          <w:szCs w:val="20"/>
        </w:rPr>
        <w:t>Figure 2: Research expenditure by sector</w:t>
      </w:r>
    </w:p>
    <w:p w14:paraId="207250C1" w14:textId="77777777" w:rsidR="00A93922" w:rsidRPr="00A93922" w:rsidRDefault="00A93922" w:rsidP="00A93922"/>
    <w:p w14:paraId="767B0498" w14:textId="77777777" w:rsidR="00A22053" w:rsidRPr="00D172CE" w:rsidRDefault="00A22053" w:rsidP="00A22053">
      <w:pPr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3A52A08E" wp14:editId="0EE64733">
            <wp:extent cx="4500438" cy="2870421"/>
            <wp:effectExtent l="0" t="0" r="14605" b="2540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86C3413" w14:textId="33AA0131" w:rsidR="00A22053" w:rsidRPr="00A22053" w:rsidRDefault="00A22053" w:rsidP="00D05CB9">
      <w:pPr>
        <w:pStyle w:val="Heading2"/>
        <w:numPr>
          <w:ilvl w:val="0"/>
          <w:numId w:val="18"/>
        </w:numPr>
      </w:pPr>
      <w:r w:rsidRPr="00A22053">
        <w:t>Invention Disclosures and Material Transfer Agreements</w:t>
      </w:r>
    </w:p>
    <w:p w14:paraId="75504741" w14:textId="4607D79D" w:rsidR="00A22053" w:rsidRPr="00756951" w:rsidRDefault="00A22053" w:rsidP="00A22053">
      <w:pPr>
        <w:spacing w:after="360"/>
        <w:rPr>
          <w:rFonts w:ascii="Arial" w:hAnsi="Arial" w:cs="Arial"/>
        </w:rPr>
      </w:pPr>
      <w:r w:rsidRPr="00756951">
        <w:rPr>
          <w:rFonts w:ascii="Arial" w:hAnsi="Arial" w:cs="Arial"/>
        </w:rPr>
        <w:t>Invention disclosure</w:t>
      </w:r>
      <w:r>
        <w:rPr>
          <w:rFonts w:ascii="Arial" w:hAnsi="Arial" w:cs="Arial"/>
        </w:rPr>
        <w:t>s</w:t>
      </w:r>
      <w:r w:rsidRPr="00756951">
        <w:rPr>
          <w:rFonts w:ascii="Arial" w:hAnsi="Arial" w:cs="Arial"/>
        </w:rPr>
        <w:t xml:space="preserve"> and material transfer agreements </w:t>
      </w:r>
      <w:r>
        <w:rPr>
          <w:rFonts w:ascii="Arial" w:hAnsi="Arial" w:cs="Arial"/>
        </w:rPr>
        <w:t>are measures of knowledge creation and knowledge exchange</w:t>
      </w:r>
      <w:r w:rsidRPr="007569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CA7ABB" w14:textId="73D6BD93" w:rsidR="00A22053" w:rsidRPr="00D05CB9" w:rsidRDefault="00D05CB9" w:rsidP="00D05CB9">
      <w:pPr>
        <w:pStyle w:val="Heading3"/>
      </w:pPr>
      <w:r w:rsidRPr="00D05CB9">
        <w:t xml:space="preserve">3.1 </w:t>
      </w:r>
      <w:r w:rsidR="00A22053" w:rsidRPr="00D05CB9">
        <w:t>Invention Disclosures</w:t>
      </w:r>
    </w:p>
    <w:p w14:paraId="29D323FD" w14:textId="77777777" w:rsidR="00A22053" w:rsidRDefault="00A22053" w:rsidP="00A22053">
      <w:pPr>
        <w:pStyle w:val="ListParagraph"/>
        <w:spacing w:after="360"/>
        <w:ind w:left="357"/>
        <w:rPr>
          <w:rFonts w:ascii="Arial" w:hAnsi="Arial" w:cs="Arial"/>
          <w:sz w:val="20"/>
          <w:szCs w:val="20"/>
        </w:rPr>
      </w:pPr>
    </w:p>
    <w:p w14:paraId="24186266" w14:textId="77777777" w:rsidR="00A22053" w:rsidRDefault="00A22053" w:rsidP="00A22053">
      <w:pPr>
        <w:pStyle w:val="ListParagraph"/>
        <w:spacing w:after="360"/>
        <w:ind w:left="0"/>
        <w:rPr>
          <w:rFonts w:ascii="Arial" w:hAnsi="Arial" w:cs="Arial"/>
          <w:sz w:val="20"/>
          <w:szCs w:val="20"/>
        </w:rPr>
      </w:pPr>
      <w:r w:rsidRPr="0086396D">
        <w:rPr>
          <w:rFonts w:ascii="Arial" w:hAnsi="Arial" w:cs="Arial"/>
          <w:sz w:val="20"/>
          <w:szCs w:val="20"/>
        </w:rPr>
        <w:t>Invention disclosures describe an invention to determine whether patent protection should be sought.</w:t>
      </w:r>
    </w:p>
    <w:p w14:paraId="5683B374" w14:textId="77777777" w:rsidR="00A22053" w:rsidRPr="0086396D" w:rsidRDefault="00A22053" w:rsidP="00A22053">
      <w:pPr>
        <w:pStyle w:val="ListParagraph"/>
        <w:spacing w:after="360"/>
        <w:ind w:left="357"/>
        <w:rPr>
          <w:rFonts w:ascii="Arial" w:hAnsi="Arial" w:cs="Arial"/>
          <w:sz w:val="20"/>
          <w:szCs w:val="20"/>
        </w:rPr>
      </w:pPr>
    </w:p>
    <w:p w14:paraId="15883F29" w14:textId="521A1503" w:rsidR="00A22053" w:rsidRPr="00756951" w:rsidRDefault="00A22053" w:rsidP="00A22053">
      <w:pPr>
        <w:pStyle w:val="ListParagraph"/>
        <w:numPr>
          <w:ilvl w:val="0"/>
          <w:numId w:val="13"/>
        </w:num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2014, t</w:t>
      </w:r>
      <w:r w:rsidRPr="00756951">
        <w:rPr>
          <w:rFonts w:ascii="Arial" w:hAnsi="Arial" w:cs="Arial"/>
          <w:sz w:val="20"/>
        </w:rPr>
        <w:t>otal invention disclosure</w:t>
      </w:r>
      <w:r>
        <w:rPr>
          <w:rFonts w:ascii="Arial" w:hAnsi="Arial" w:cs="Arial"/>
          <w:sz w:val="20"/>
        </w:rPr>
        <w:t>s</w:t>
      </w:r>
      <w:r w:rsidRPr="00756951">
        <w:rPr>
          <w:rFonts w:ascii="Arial" w:hAnsi="Arial" w:cs="Arial"/>
          <w:sz w:val="20"/>
        </w:rPr>
        <w:t xml:space="preserve"> </w:t>
      </w:r>
      <w:r w:rsidR="00EB6736">
        <w:rPr>
          <w:rFonts w:ascii="Arial" w:hAnsi="Arial" w:cs="Arial"/>
          <w:sz w:val="20"/>
        </w:rPr>
        <w:t>were 1,203</w:t>
      </w:r>
      <w:r>
        <w:rPr>
          <w:rFonts w:ascii="Arial" w:hAnsi="Arial" w:cs="Arial"/>
          <w:sz w:val="20"/>
        </w:rPr>
        <w:t>,</w:t>
      </w:r>
      <w:r w:rsidRPr="00756951">
        <w:rPr>
          <w:rFonts w:ascii="Arial" w:hAnsi="Arial" w:cs="Arial"/>
          <w:sz w:val="20"/>
        </w:rPr>
        <w:t xml:space="preserve"> </w:t>
      </w:r>
      <w:r w:rsidR="00EB6736">
        <w:rPr>
          <w:rFonts w:ascii="Arial" w:hAnsi="Arial" w:cs="Arial"/>
          <w:sz w:val="20"/>
        </w:rPr>
        <w:t>a decline of 15.3</w:t>
      </w:r>
      <w:r>
        <w:rPr>
          <w:rFonts w:ascii="Arial" w:hAnsi="Arial" w:cs="Arial"/>
          <w:sz w:val="20"/>
        </w:rPr>
        <w:t>% from 2013</w:t>
      </w:r>
      <w:r w:rsidRPr="00756951">
        <w:rPr>
          <w:rFonts w:ascii="Arial" w:hAnsi="Arial" w:cs="Arial"/>
          <w:sz w:val="20"/>
        </w:rPr>
        <w:t xml:space="preserve">. This is due to </w:t>
      </w:r>
      <w:r>
        <w:rPr>
          <w:rFonts w:ascii="Arial" w:hAnsi="Arial" w:cs="Arial"/>
          <w:sz w:val="20"/>
        </w:rPr>
        <w:t xml:space="preserve">a </w:t>
      </w:r>
      <w:r w:rsidRPr="00756951">
        <w:rPr>
          <w:rFonts w:ascii="Arial" w:hAnsi="Arial" w:cs="Arial"/>
          <w:sz w:val="20"/>
        </w:rPr>
        <w:t>substantial reduction in invention</w:t>
      </w:r>
      <w:r>
        <w:rPr>
          <w:rFonts w:ascii="Arial" w:hAnsi="Arial" w:cs="Arial"/>
          <w:sz w:val="20"/>
        </w:rPr>
        <w:t xml:space="preserve"> disclosures</w:t>
      </w:r>
      <w:r w:rsidRPr="00756951">
        <w:rPr>
          <w:rFonts w:ascii="Arial" w:hAnsi="Arial" w:cs="Arial"/>
          <w:sz w:val="20"/>
        </w:rPr>
        <w:t xml:space="preserve"> reported by MRIs and PFR</w:t>
      </w:r>
      <w:r>
        <w:rPr>
          <w:rFonts w:ascii="Arial" w:hAnsi="Arial" w:cs="Arial"/>
          <w:sz w:val="20"/>
        </w:rPr>
        <w:t>A</w:t>
      </w:r>
      <w:r w:rsidRPr="00756951">
        <w:rPr>
          <w:rFonts w:ascii="Arial" w:hAnsi="Arial" w:cs="Arial"/>
          <w:sz w:val="20"/>
        </w:rPr>
        <w:t xml:space="preserve">s while </w:t>
      </w:r>
      <w:r>
        <w:rPr>
          <w:rFonts w:ascii="Arial" w:hAnsi="Arial" w:cs="Arial"/>
          <w:sz w:val="20"/>
        </w:rPr>
        <w:t xml:space="preserve">the university sector </w:t>
      </w:r>
      <w:r w:rsidRPr="00756951">
        <w:rPr>
          <w:rFonts w:ascii="Arial" w:hAnsi="Arial" w:cs="Arial"/>
          <w:sz w:val="20"/>
        </w:rPr>
        <w:t>remain</w:t>
      </w:r>
      <w:r>
        <w:rPr>
          <w:rFonts w:ascii="Arial" w:hAnsi="Arial" w:cs="Arial"/>
          <w:sz w:val="20"/>
        </w:rPr>
        <w:t>ed</w:t>
      </w:r>
      <w:r w:rsidRPr="00756951">
        <w:rPr>
          <w:rFonts w:ascii="Arial" w:hAnsi="Arial" w:cs="Arial"/>
          <w:sz w:val="20"/>
        </w:rPr>
        <w:t xml:space="preserve"> stable.</w:t>
      </w:r>
    </w:p>
    <w:p w14:paraId="26EBCF74" w14:textId="77777777" w:rsidR="00A22053" w:rsidRPr="00C3406F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 w:rsidRPr="00756951">
        <w:rPr>
          <w:rFonts w:ascii="Arial" w:hAnsi="Arial" w:cs="Arial"/>
          <w:sz w:val="20"/>
        </w:rPr>
        <w:t>Universities accounted for 84.</w:t>
      </w:r>
      <w:r>
        <w:rPr>
          <w:rFonts w:ascii="Arial" w:hAnsi="Arial" w:cs="Arial"/>
          <w:sz w:val="20"/>
        </w:rPr>
        <w:t>5% of total invention</w:t>
      </w:r>
      <w:r w:rsidRPr="00756951">
        <w:rPr>
          <w:rFonts w:ascii="Arial" w:hAnsi="Arial" w:cs="Arial"/>
          <w:sz w:val="20"/>
        </w:rPr>
        <w:t xml:space="preserve"> disclosure</w:t>
      </w:r>
      <w:r>
        <w:rPr>
          <w:rFonts w:ascii="Arial" w:hAnsi="Arial" w:cs="Arial"/>
          <w:sz w:val="20"/>
        </w:rPr>
        <w:t>s</w:t>
      </w:r>
      <w:r w:rsidRPr="00756951">
        <w:rPr>
          <w:rFonts w:ascii="Arial" w:hAnsi="Arial" w:cs="Arial"/>
          <w:sz w:val="20"/>
        </w:rPr>
        <w:t xml:space="preserve"> reported</w:t>
      </w:r>
      <w:r>
        <w:rPr>
          <w:rFonts w:ascii="Arial" w:hAnsi="Arial" w:cs="Arial"/>
          <w:sz w:val="20"/>
        </w:rPr>
        <w:t xml:space="preserve"> in 2014</w:t>
      </w:r>
      <w:r w:rsidRPr="00756951">
        <w:rPr>
          <w:rFonts w:ascii="Arial" w:hAnsi="Arial" w:cs="Arial"/>
          <w:sz w:val="20"/>
        </w:rPr>
        <w:t>, followed by MRIs and PFR</w:t>
      </w:r>
      <w:r>
        <w:rPr>
          <w:rFonts w:ascii="Arial" w:hAnsi="Arial" w:cs="Arial"/>
          <w:sz w:val="20"/>
        </w:rPr>
        <w:t>A</w:t>
      </w:r>
      <w:r w:rsidRPr="00756951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>at</w:t>
      </w:r>
      <w:r w:rsidRPr="00756951">
        <w:rPr>
          <w:rFonts w:ascii="Arial" w:hAnsi="Arial" w:cs="Arial"/>
          <w:sz w:val="20"/>
        </w:rPr>
        <w:t xml:space="preserve"> 13.</w:t>
      </w:r>
      <w:r>
        <w:rPr>
          <w:rFonts w:ascii="Arial" w:hAnsi="Arial" w:cs="Arial"/>
          <w:sz w:val="20"/>
        </w:rPr>
        <w:t>2%</w:t>
      </w:r>
      <w:r w:rsidRPr="00756951">
        <w:rPr>
          <w:rFonts w:ascii="Arial" w:hAnsi="Arial" w:cs="Arial"/>
          <w:sz w:val="20"/>
        </w:rPr>
        <w:t xml:space="preserve"> and 2.3</w:t>
      </w:r>
      <w:r>
        <w:rPr>
          <w:rFonts w:ascii="Arial" w:hAnsi="Arial" w:cs="Arial"/>
          <w:sz w:val="20"/>
        </w:rPr>
        <w:t>%</w:t>
      </w:r>
      <w:r w:rsidRPr="007569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respectively</w:t>
      </w:r>
      <w:r w:rsidRPr="00756951">
        <w:rPr>
          <w:rFonts w:ascii="Arial" w:hAnsi="Arial" w:cs="Arial"/>
          <w:sz w:val="20"/>
        </w:rPr>
        <w:t>.</w:t>
      </w:r>
    </w:p>
    <w:p w14:paraId="3F825A86" w14:textId="3B70C021" w:rsidR="00A22053" w:rsidRPr="00A93922" w:rsidRDefault="00A22053" w:rsidP="00A93922">
      <w:pPr>
        <w:pStyle w:val="Heading3"/>
        <w:spacing w:after="120" w:line="360" w:lineRule="auto"/>
        <w:rPr>
          <w:sz w:val="20"/>
          <w:szCs w:val="20"/>
        </w:rPr>
      </w:pPr>
      <w:r w:rsidRPr="00A93922">
        <w:rPr>
          <w:sz w:val="20"/>
          <w:szCs w:val="20"/>
        </w:rPr>
        <w:lastRenderedPageBreak/>
        <w:t xml:space="preserve">Table 3.1: Number of Invention disclosures </w:t>
      </w:r>
    </w:p>
    <w:tbl>
      <w:tblPr>
        <w:tblW w:w="6564" w:type="dxa"/>
        <w:tblInd w:w="108" w:type="dxa"/>
        <w:tblLook w:val="04A0" w:firstRow="1" w:lastRow="0" w:firstColumn="1" w:lastColumn="0" w:noHBand="0" w:noVBand="1"/>
      </w:tblPr>
      <w:tblGrid>
        <w:gridCol w:w="1056"/>
        <w:gridCol w:w="1836"/>
        <w:gridCol w:w="1836"/>
        <w:gridCol w:w="1836"/>
      </w:tblGrid>
      <w:tr w:rsidR="00A22053" w:rsidRPr="00537AEF" w14:paraId="6729ADEA" w14:textId="77777777" w:rsidTr="0057682D">
        <w:trPr>
          <w:trHeight w:val="465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06D7A82A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1A5B12CD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32ECF726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47D23AE1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2014</w:t>
            </w:r>
          </w:p>
        </w:tc>
      </w:tr>
      <w:tr w:rsidR="00A22053" w:rsidRPr="00537AEF" w14:paraId="3CC1262F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E497" w14:textId="77777777" w:rsidR="00A22053" w:rsidRPr="00537AEF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 PFRAs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54FC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108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4978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115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7F72" w14:textId="54026EE1" w:rsidR="00A22053" w:rsidRPr="00537AEF" w:rsidRDefault="000A7109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9</w:t>
            </w:r>
            <w:r w:rsidR="00A22053"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6</w:t>
            </w:r>
          </w:p>
        </w:tc>
      </w:tr>
      <w:tr w:rsidR="00A22053" w:rsidRPr="00537AEF" w14:paraId="08F11C4C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2B6E2" w14:textId="77777777" w:rsidR="00A22053" w:rsidRPr="00537AEF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 UNIs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EE5D4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971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3B4CE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1,044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C24EB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957</w:t>
            </w:r>
          </w:p>
        </w:tc>
      </w:tr>
      <w:tr w:rsidR="00A22053" w:rsidRPr="00537AEF" w14:paraId="151CD601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49AE" w14:textId="77777777" w:rsidR="00A22053" w:rsidRPr="00537AEF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 MRIs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6948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DD87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261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4CF3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150</w:t>
            </w:r>
          </w:p>
        </w:tc>
      </w:tr>
      <w:tr w:rsidR="00A22053" w:rsidRPr="00537AEF" w14:paraId="62243068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AA208" w14:textId="77777777" w:rsidR="00A22053" w:rsidRPr="00537AEF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Totals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6D330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1,390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0C0D0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1,420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1C660" w14:textId="3630DBC5" w:rsidR="00A22053" w:rsidRPr="00537AEF" w:rsidRDefault="000A7109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1,20</w:t>
            </w:r>
            <w:r w:rsidR="00A22053" w:rsidRPr="00537AE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3</w:t>
            </w:r>
          </w:p>
        </w:tc>
      </w:tr>
    </w:tbl>
    <w:p w14:paraId="4633A13F" w14:textId="77777777" w:rsidR="00A22053" w:rsidRPr="00A93922" w:rsidRDefault="00A22053" w:rsidP="00D05CB9">
      <w:pPr>
        <w:pStyle w:val="Heading3"/>
        <w:rPr>
          <w:sz w:val="20"/>
          <w:szCs w:val="20"/>
        </w:rPr>
      </w:pPr>
      <w:r w:rsidRPr="00A93922">
        <w:rPr>
          <w:sz w:val="20"/>
          <w:szCs w:val="20"/>
        </w:rPr>
        <w:t>Figure 3.1: Number of Invention disclosures by sector</w:t>
      </w:r>
    </w:p>
    <w:p w14:paraId="45BDD896" w14:textId="2E15E0CE" w:rsidR="00A22053" w:rsidRDefault="000A7109" w:rsidP="00A22053">
      <w:pPr>
        <w:pStyle w:val="ListParagraph"/>
        <w:spacing w:before="240"/>
        <w:ind w:left="0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185DFD2E" wp14:editId="230ED7D6">
            <wp:extent cx="4810125" cy="3319463"/>
            <wp:effectExtent l="0" t="0" r="9525" b="1460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F2ABF25" w14:textId="77777777" w:rsidR="00A22053" w:rsidRPr="00756951" w:rsidRDefault="00A22053" w:rsidP="00A22053">
      <w:pPr>
        <w:pStyle w:val="ListParagraph"/>
        <w:spacing w:before="240"/>
        <w:ind w:left="0"/>
        <w:rPr>
          <w:rFonts w:ascii="Arial" w:hAnsi="Arial" w:cs="Arial"/>
        </w:rPr>
      </w:pPr>
    </w:p>
    <w:p w14:paraId="45F3C150" w14:textId="685859D1" w:rsidR="00A22053" w:rsidRPr="00756951" w:rsidRDefault="00D05CB9" w:rsidP="00D05CB9">
      <w:pPr>
        <w:pStyle w:val="Heading2"/>
      </w:pPr>
      <w:r>
        <w:t xml:space="preserve">3.2 </w:t>
      </w:r>
      <w:r w:rsidR="00A22053" w:rsidRPr="00756951">
        <w:t>Material Transfer Agreement</w:t>
      </w:r>
      <w:r w:rsidR="00A22053">
        <w:t>s</w:t>
      </w:r>
    </w:p>
    <w:p w14:paraId="334BEFDB" w14:textId="77777777" w:rsidR="00A22053" w:rsidRPr="00756951" w:rsidRDefault="00A22053" w:rsidP="00A22053">
      <w:pPr>
        <w:spacing w:after="360"/>
        <w:rPr>
          <w:rFonts w:ascii="Arial" w:hAnsi="Arial" w:cs="Arial"/>
        </w:rPr>
      </w:pPr>
      <w:r w:rsidRPr="00756951">
        <w:rPr>
          <w:rFonts w:ascii="Arial" w:hAnsi="Arial" w:cs="Arial"/>
        </w:rPr>
        <w:t>Material Transfer Agreements (MTA</w:t>
      </w:r>
      <w:r>
        <w:rPr>
          <w:rFonts w:ascii="Arial" w:hAnsi="Arial" w:cs="Arial"/>
        </w:rPr>
        <w:t>s</w:t>
      </w:r>
      <w:r w:rsidRPr="00756951">
        <w:rPr>
          <w:rFonts w:ascii="Arial" w:hAnsi="Arial" w:cs="Arial"/>
        </w:rPr>
        <w:t>) outline conditions under which material is provided from the owner to another entity for a specific use</w:t>
      </w:r>
      <w:r>
        <w:rPr>
          <w:rFonts w:ascii="Arial" w:hAnsi="Arial" w:cs="Arial"/>
        </w:rPr>
        <w:t>.</w:t>
      </w:r>
      <w:r w:rsidRPr="00756951">
        <w:rPr>
          <w:rFonts w:ascii="Arial" w:hAnsi="Arial" w:cs="Arial"/>
        </w:rPr>
        <w:t xml:space="preserve">  </w:t>
      </w:r>
    </w:p>
    <w:p w14:paraId="033D7D94" w14:textId="77777777" w:rsidR="00A22053" w:rsidRPr="00756951" w:rsidRDefault="00A22053" w:rsidP="00A22053">
      <w:pPr>
        <w:pStyle w:val="ListParagraph"/>
        <w:numPr>
          <w:ilvl w:val="0"/>
          <w:numId w:val="13"/>
        </w:num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2014, r</w:t>
      </w:r>
      <w:r w:rsidRPr="00756951">
        <w:rPr>
          <w:rFonts w:ascii="Arial" w:hAnsi="Arial" w:cs="Arial"/>
          <w:sz w:val="20"/>
        </w:rPr>
        <w:t>esearch organisations entered into 1</w:t>
      </w:r>
      <w:r>
        <w:rPr>
          <w:rFonts w:ascii="Arial" w:hAnsi="Arial" w:cs="Arial"/>
          <w:sz w:val="20"/>
        </w:rPr>
        <w:t>,</w:t>
      </w:r>
      <w:r w:rsidRPr="00756951">
        <w:rPr>
          <w:rFonts w:ascii="Arial" w:hAnsi="Arial" w:cs="Arial"/>
          <w:sz w:val="20"/>
        </w:rPr>
        <w:t xml:space="preserve">212 </w:t>
      </w:r>
      <w:r>
        <w:rPr>
          <w:rFonts w:ascii="Arial" w:hAnsi="Arial" w:cs="Arial"/>
          <w:sz w:val="20"/>
        </w:rPr>
        <w:t>MTAs</w:t>
      </w:r>
      <w:r w:rsidRPr="00756951">
        <w:rPr>
          <w:rFonts w:ascii="Arial" w:hAnsi="Arial" w:cs="Arial"/>
          <w:sz w:val="20"/>
        </w:rPr>
        <w:t>, a</w:t>
      </w:r>
      <w:r>
        <w:rPr>
          <w:rFonts w:ascii="Arial" w:hAnsi="Arial" w:cs="Arial"/>
          <w:sz w:val="20"/>
        </w:rPr>
        <w:t>n increase of</w:t>
      </w:r>
      <w:r w:rsidRPr="00756951">
        <w:rPr>
          <w:rFonts w:ascii="Arial" w:hAnsi="Arial" w:cs="Arial"/>
          <w:sz w:val="20"/>
        </w:rPr>
        <w:t xml:space="preserve"> 29.2</w:t>
      </w:r>
      <w:r>
        <w:rPr>
          <w:rFonts w:ascii="Arial" w:hAnsi="Arial" w:cs="Arial"/>
          <w:sz w:val="20"/>
        </w:rPr>
        <w:t>%</w:t>
      </w:r>
      <w:r w:rsidRPr="007569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over </w:t>
      </w:r>
      <w:r w:rsidRPr="00756951">
        <w:rPr>
          <w:rFonts w:ascii="Arial" w:hAnsi="Arial" w:cs="Arial"/>
          <w:sz w:val="20"/>
        </w:rPr>
        <w:t xml:space="preserve">938 </w:t>
      </w:r>
      <w:r>
        <w:rPr>
          <w:rFonts w:ascii="Arial" w:hAnsi="Arial" w:cs="Arial"/>
          <w:sz w:val="20"/>
        </w:rPr>
        <w:t xml:space="preserve">reported </w:t>
      </w:r>
      <w:r w:rsidRPr="00756951">
        <w:rPr>
          <w:rFonts w:ascii="Arial" w:hAnsi="Arial" w:cs="Arial"/>
          <w:sz w:val="20"/>
        </w:rPr>
        <w:t>in 2013.</w:t>
      </w:r>
    </w:p>
    <w:p w14:paraId="69074226" w14:textId="77777777" w:rsidR="00A22053" w:rsidRPr="008A02D4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 w:rsidRPr="00756951">
        <w:rPr>
          <w:rFonts w:ascii="Arial" w:hAnsi="Arial" w:cs="Arial"/>
          <w:sz w:val="20"/>
        </w:rPr>
        <w:t xml:space="preserve">Universities accounted for </w:t>
      </w:r>
      <w:r>
        <w:rPr>
          <w:rFonts w:ascii="Arial" w:hAnsi="Arial" w:cs="Arial"/>
          <w:sz w:val="20"/>
        </w:rPr>
        <w:t>49.0%</w:t>
      </w:r>
      <w:r w:rsidRPr="00756951">
        <w:rPr>
          <w:rFonts w:ascii="Arial" w:hAnsi="Arial" w:cs="Arial"/>
          <w:sz w:val="20"/>
        </w:rPr>
        <w:t xml:space="preserve"> of total M</w:t>
      </w:r>
      <w:r>
        <w:rPr>
          <w:rFonts w:ascii="Arial" w:hAnsi="Arial" w:cs="Arial"/>
          <w:sz w:val="20"/>
        </w:rPr>
        <w:t>T</w:t>
      </w:r>
      <w:r w:rsidRPr="00756951">
        <w:rPr>
          <w:rFonts w:ascii="Arial" w:hAnsi="Arial" w:cs="Arial"/>
          <w:sz w:val="20"/>
        </w:rPr>
        <w:t>As entered into in 2014, followed by MRIs and PFR</w:t>
      </w:r>
      <w:r>
        <w:rPr>
          <w:rFonts w:ascii="Arial" w:hAnsi="Arial" w:cs="Arial"/>
          <w:sz w:val="20"/>
        </w:rPr>
        <w:t>A</w:t>
      </w:r>
      <w:r w:rsidRPr="00756951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with </w:t>
      </w:r>
      <w:r w:rsidRPr="00756951">
        <w:rPr>
          <w:rFonts w:ascii="Arial" w:hAnsi="Arial" w:cs="Arial"/>
          <w:sz w:val="20"/>
        </w:rPr>
        <w:t>35.8</w:t>
      </w:r>
      <w:r>
        <w:rPr>
          <w:rFonts w:ascii="Arial" w:hAnsi="Arial" w:cs="Arial"/>
          <w:sz w:val="20"/>
        </w:rPr>
        <w:t>%</w:t>
      </w:r>
      <w:r w:rsidRPr="00756951">
        <w:rPr>
          <w:rFonts w:ascii="Arial" w:hAnsi="Arial" w:cs="Arial"/>
          <w:sz w:val="20"/>
        </w:rPr>
        <w:t xml:space="preserve"> and 15.2</w:t>
      </w:r>
      <w:r>
        <w:rPr>
          <w:rFonts w:ascii="Arial" w:hAnsi="Arial" w:cs="Arial"/>
          <w:sz w:val="20"/>
        </w:rPr>
        <w:t>%</w:t>
      </w:r>
      <w:r w:rsidRPr="007569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respectively</w:t>
      </w:r>
      <w:r w:rsidRPr="00756951">
        <w:rPr>
          <w:rFonts w:ascii="Arial" w:hAnsi="Arial" w:cs="Arial"/>
          <w:sz w:val="20"/>
        </w:rPr>
        <w:t>.</w:t>
      </w:r>
    </w:p>
    <w:p w14:paraId="56818C2A" w14:textId="77777777" w:rsidR="00A22053" w:rsidRPr="00A93922" w:rsidRDefault="00A22053" w:rsidP="00D05CB9">
      <w:pPr>
        <w:pStyle w:val="Heading3"/>
        <w:rPr>
          <w:sz w:val="20"/>
          <w:szCs w:val="20"/>
        </w:rPr>
      </w:pPr>
      <w:r w:rsidRPr="00A93922">
        <w:rPr>
          <w:sz w:val="20"/>
          <w:szCs w:val="20"/>
        </w:rPr>
        <w:t xml:space="preserve">Table 3.2: Number of Material Transfer Agreements </w:t>
      </w:r>
    </w:p>
    <w:tbl>
      <w:tblPr>
        <w:tblW w:w="6564" w:type="dxa"/>
        <w:tblInd w:w="108" w:type="dxa"/>
        <w:tblLook w:val="04A0" w:firstRow="1" w:lastRow="0" w:firstColumn="1" w:lastColumn="0" w:noHBand="0" w:noVBand="1"/>
      </w:tblPr>
      <w:tblGrid>
        <w:gridCol w:w="1056"/>
        <w:gridCol w:w="1836"/>
        <w:gridCol w:w="1836"/>
        <w:gridCol w:w="1836"/>
      </w:tblGrid>
      <w:tr w:rsidR="00A22053" w:rsidRPr="00537AEF" w14:paraId="5A32DDF9" w14:textId="77777777" w:rsidTr="0057682D">
        <w:trPr>
          <w:trHeight w:val="48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42EB085D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4DACC135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77CFDE5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11252CC3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2014</w:t>
            </w:r>
          </w:p>
        </w:tc>
      </w:tr>
      <w:tr w:rsidR="00A22053" w:rsidRPr="00537AEF" w14:paraId="204CDCCC" w14:textId="77777777" w:rsidTr="0057682D">
        <w:trPr>
          <w:trHeight w:val="45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8EF1" w14:textId="77777777" w:rsidR="00A22053" w:rsidRPr="00537AEF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PFRAs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AC90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177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D146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165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56C6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184</w:t>
            </w:r>
          </w:p>
        </w:tc>
      </w:tr>
      <w:tr w:rsidR="00A22053" w:rsidRPr="00537AEF" w14:paraId="35240081" w14:textId="77777777" w:rsidTr="0057682D">
        <w:trPr>
          <w:trHeight w:val="45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F431E" w14:textId="77777777" w:rsidR="00A22053" w:rsidRPr="00537AEF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UNIs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EBAE7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373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50410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427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9B2FA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594</w:t>
            </w:r>
          </w:p>
        </w:tc>
      </w:tr>
      <w:tr w:rsidR="00A22053" w:rsidRPr="00537AEF" w14:paraId="52C5822A" w14:textId="77777777" w:rsidTr="0057682D">
        <w:trPr>
          <w:trHeight w:val="45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2CFB" w14:textId="77777777" w:rsidR="00A22053" w:rsidRPr="00537AEF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MRIs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640A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375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98B9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346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9075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434</w:t>
            </w:r>
          </w:p>
        </w:tc>
      </w:tr>
      <w:tr w:rsidR="00A22053" w:rsidRPr="00537AEF" w14:paraId="5C70F74E" w14:textId="77777777" w:rsidTr="0057682D">
        <w:trPr>
          <w:trHeight w:val="45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F75CB" w14:textId="77777777" w:rsidR="00A22053" w:rsidRPr="00537AEF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lastRenderedPageBreak/>
              <w:t>Totals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DE91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925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510DA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938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47388" w14:textId="77777777" w:rsidR="00A22053" w:rsidRPr="00537AEF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537AEF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1,212</w:t>
            </w:r>
          </w:p>
        </w:tc>
      </w:tr>
    </w:tbl>
    <w:p w14:paraId="74CC4F70" w14:textId="77777777" w:rsidR="00A22053" w:rsidRDefault="00A22053" w:rsidP="00A22053">
      <w:pPr>
        <w:pStyle w:val="ListParagraph"/>
        <w:spacing w:after="360"/>
        <w:ind w:left="357"/>
        <w:rPr>
          <w:rFonts w:ascii="Arial" w:hAnsi="Arial" w:cs="Arial"/>
          <w:b/>
        </w:rPr>
      </w:pPr>
    </w:p>
    <w:p w14:paraId="5D106F4D" w14:textId="77777777" w:rsidR="00A22053" w:rsidRDefault="00A22053" w:rsidP="00D05CB9">
      <w:pPr>
        <w:pStyle w:val="Heading3"/>
        <w:rPr>
          <w:sz w:val="20"/>
          <w:szCs w:val="20"/>
        </w:rPr>
      </w:pPr>
      <w:r w:rsidRPr="00A93922">
        <w:rPr>
          <w:sz w:val="20"/>
          <w:szCs w:val="20"/>
        </w:rPr>
        <w:t>Figure 3.2: Number of Material Transfer Agreements by sector</w:t>
      </w:r>
    </w:p>
    <w:p w14:paraId="152D9F14" w14:textId="77777777" w:rsidR="00A93922" w:rsidRPr="00A93922" w:rsidRDefault="00A93922" w:rsidP="00A93922"/>
    <w:p w14:paraId="5A8AC14D" w14:textId="77777777" w:rsidR="00A22053" w:rsidRDefault="00A22053" w:rsidP="00A22053">
      <w:pPr>
        <w:pStyle w:val="ListParagraph"/>
        <w:spacing w:after="360"/>
        <w:ind w:left="0"/>
        <w:rPr>
          <w:rFonts w:ascii="Arial" w:hAnsi="Arial" w:cs="Arial"/>
          <w:b/>
        </w:rPr>
      </w:pPr>
      <w:r>
        <w:rPr>
          <w:noProof/>
          <w:lang w:eastAsia="en-AU"/>
        </w:rPr>
        <w:drawing>
          <wp:inline distT="0" distB="0" distL="0" distR="0" wp14:anchorId="0A94CA58" wp14:editId="09235B1A">
            <wp:extent cx="4524292" cy="2814762"/>
            <wp:effectExtent l="0" t="0" r="10160" b="2413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8268922" w14:textId="77777777" w:rsidR="00A22053" w:rsidRPr="008A02D4" w:rsidRDefault="00A22053" w:rsidP="00A22053">
      <w:pPr>
        <w:pStyle w:val="ListParagraph"/>
        <w:spacing w:after="360"/>
        <w:ind w:left="0"/>
        <w:rPr>
          <w:rFonts w:ascii="Arial" w:hAnsi="Arial" w:cs="Arial"/>
          <w:b/>
        </w:rPr>
      </w:pPr>
    </w:p>
    <w:p w14:paraId="19678EE2" w14:textId="44DD1683" w:rsidR="00A22053" w:rsidRPr="00756951" w:rsidRDefault="00A22053" w:rsidP="00D05CB9">
      <w:pPr>
        <w:pStyle w:val="Heading2"/>
        <w:numPr>
          <w:ilvl w:val="0"/>
          <w:numId w:val="18"/>
        </w:numPr>
      </w:pPr>
      <w:r w:rsidRPr="00756951">
        <w:t>Resourc</w:t>
      </w:r>
      <w:r>
        <w:t>ing</w:t>
      </w:r>
    </w:p>
    <w:p w14:paraId="34E12A0D" w14:textId="77777777" w:rsidR="00A22053" w:rsidRDefault="00A22053" w:rsidP="00A22053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Research commercialisation resourcing includes staff whose duties are specifically involved with research commercialisation activities</w:t>
      </w:r>
      <w:r w:rsidRPr="008B3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including</w:t>
      </w:r>
      <w:r w:rsidRPr="008B3FD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8B3FD0">
        <w:rPr>
          <w:rFonts w:ascii="Arial" w:hAnsi="Arial" w:cs="Arial"/>
        </w:rPr>
        <w:t>li</w:t>
      </w:r>
      <w:r>
        <w:rPr>
          <w:rFonts w:ascii="Arial" w:hAnsi="Arial" w:cs="Arial"/>
        </w:rPr>
        <w:t>censing and patenting processes</w:t>
      </w:r>
      <w:r w:rsidRPr="008B3FD0">
        <w:rPr>
          <w:rFonts w:ascii="Arial" w:hAnsi="Arial" w:cs="Arial"/>
        </w:rPr>
        <w:t>; start-up activity efforts;</w:t>
      </w:r>
      <w:r>
        <w:rPr>
          <w:rFonts w:ascii="Arial" w:hAnsi="Arial" w:cs="Arial"/>
        </w:rPr>
        <w:t xml:space="preserve"> </w:t>
      </w:r>
      <w:r w:rsidRPr="008B3FD0">
        <w:rPr>
          <w:rFonts w:ascii="Arial" w:hAnsi="Arial" w:cs="Arial"/>
        </w:rPr>
        <w:t>marketing issues in a commercialisation context; negotiating and manag</w:t>
      </w:r>
      <w:r>
        <w:rPr>
          <w:rFonts w:ascii="Arial" w:hAnsi="Arial" w:cs="Arial"/>
        </w:rPr>
        <w:t xml:space="preserve">ing contracts and consultancies; and </w:t>
      </w:r>
      <w:r w:rsidRPr="008B3FD0">
        <w:rPr>
          <w:rFonts w:ascii="Arial" w:hAnsi="Arial" w:cs="Arial"/>
        </w:rPr>
        <w:t>organising community information sessions.</w:t>
      </w:r>
    </w:p>
    <w:p w14:paraId="3D17062C" w14:textId="77777777" w:rsidR="00A22053" w:rsidRDefault="00A22053" w:rsidP="00A22053">
      <w:pPr>
        <w:pStyle w:val="ListParagraph"/>
        <w:numPr>
          <w:ilvl w:val="0"/>
          <w:numId w:val="13"/>
        </w:num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2014, r</w:t>
      </w:r>
      <w:r w:rsidRPr="00756951">
        <w:rPr>
          <w:rFonts w:ascii="Arial" w:hAnsi="Arial" w:cs="Arial"/>
          <w:sz w:val="20"/>
        </w:rPr>
        <w:t xml:space="preserve">esearch organisations employed </w:t>
      </w:r>
      <w:r>
        <w:rPr>
          <w:rFonts w:ascii="Arial" w:hAnsi="Arial" w:cs="Arial"/>
          <w:sz w:val="20"/>
        </w:rPr>
        <w:t xml:space="preserve">a total of </w:t>
      </w:r>
      <w:r w:rsidRPr="00756951">
        <w:rPr>
          <w:rFonts w:ascii="Arial" w:hAnsi="Arial" w:cs="Arial"/>
          <w:sz w:val="20"/>
        </w:rPr>
        <w:t>53</w:t>
      </w:r>
      <w:r>
        <w:rPr>
          <w:rFonts w:ascii="Arial" w:hAnsi="Arial" w:cs="Arial"/>
          <w:sz w:val="20"/>
        </w:rPr>
        <w:t>3</w:t>
      </w:r>
      <w:r w:rsidRPr="00756951">
        <w:rPr>
          <w:rFonts w:ascii="Arial" w:hAnsi="Arial" w:cs="Arial"/>
          <w:sz w:val="20"/>
        </w:rPr>
        <w:t xml:space="preserve"> dedicated staff for commercialisation activities compared to </w:t>
      </w:r>
      <w:r>
        <w:rPr>
          <w:rFonts w:ascii="Arial" w:hAnsi="Arial" w:cs="Arial"/>
          <w:sz w:val="20"/>
        </w:rPr>
        <w:t>677</w:t>
      </w:r>
      <w:r w:rsidRPr="00756951">
        <w:rPr>
          <w:rFonts w:ascii="Arial" w:hAnsi="Arial" w:cs="Arial"/>
          <w:sz w:val="20"/>
        </w:rPr>
        <w:t xml:space="preserve"> staff in 2013, </w:t>
      </w:r>
      <w:r>
        <w:rPr>
          <w:rFonts w:ascii="Arial" w:hAnsi="Arial" w:cs="Arial"/>
          <w:sz w:val="20"/>
        </w:rPr>
        <w:t>representing an overall decrease of 21.3%</w:t>
      </w:r>
      <w:r w:rsidRPr="00756951">
        <w:rPr>
          <w:rFonts w:ascii="Arial" w:hAnsi="Arial" w:cs="Arial"/>
          <w:sz w:val="20"/>
        </w:rPr>
        <w:t>.</w:t>
      </w:r>
    </w:p>
    <w:p w14:paraId="37548A78" w14:textId="77777777" w:rsidR="00A22053" w:rsidRPr="00756951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 w:rsidRPr="00756951">
        <w:rPr>
          <w:rFonts w:ascii="Arial" w:hAnsi="Arial" w:cs="Arial"/>
          <w:sz w:val="20"/>
        </w:rPr>
        <w:t>Universities employed 59.</w:t>
      </w:r>
      <w:r>
        <w:rPr>
          <w:rFonts w:ascii="Arial" w:hAnsi="Arial" w:cs="Arial"/>
          <w:sz w:val="20"/>
        </w:rPr>
        <w:t>1%</w:t>
      </w:r>
      <w:r w:rsidRPr="00756951">
        <w:rPr>
          <w:rFonts w:ascii="Arial" w:hAnsi="Arial" w:cs="Arial"/>
          <w:sz w:val="20"/>
        </w:rPr>
        <w:t xml:space="preserve"> of </w:t>
      </w:r>
      <w:r>
        <w:rPr>
          <w:rFonts w:ascii="Arial" w:hAnsi="Arial" w:cs="Arial"/>
          <w:sz w:val="20"/>
        </w:rPr>
        <w:t xml:space="preserve">the </w:t>
      </w:r>
      <w:r w:rsidRPr="00756951">
        <w:rPr>
          <w:rFonts w:ascii="Arial" w:hAnsi="Arial" w:cs="Arial"/>
          <w:sz w:val="20"/>
        </w:rPr>
        <w:t>commercialisation workforce in 2014</w:t>
      </w:r>
      <w:r>
        <w:rPr>
          <w:rFonts w:ascii="Arial" w:hAnsi="Arial" w:cs="Arial"/>
          <w:sz w:val="20"/>
        </w:rPr>
        <w:t>, followed by PFRAs and MRIs at 35.1% and 5.8% respectively</w:t>
      </w:r>
      <w:r w:rsidRPr="00756951">
        <w:rPr>
          <w:rFonts w:ascii="Arial" w:hAnsi="Arial" w:cs="Arial"/>
          <w:sz w:val="20"/>
        </w:rPr>
        <w:t>.</w:t>
      </w:r>
    </w:p>
    <w:p w14:paraId="4150F82F" w14:textId="77777777" w:rsidR="00A22053" w:rsidRPr="008A02D4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756951">
        <w:rPr>
          <w:rFonts w:ascii="Arial" w:hAnsi="Arial" w:cs="Arial"/>
          <w:sz w:val="20"/>
        </w:rPr>
        <w:t xml:space="preserve">ommercialisation staff employed </w:t>
      </w:r>
      <w:r>
        <w:rPr>
          <w:rFonts w:ascii="Arial" w:hAnsi="Arial" w:cs="Arial"/>
          <w:sz w:val="20"/>
        </w:rPr>
        <w:t>in</w:t>
      </w:r>
      <w:r w:rsidRPr="00756951">
        <w:rPr>
          <w:rFonts w:ascii="Arial" w:hAnsi="Arial" w:cs="Arial"/>
          <w:sz w:val="20"/>
        </w:rPr>
        <w:t xml:space="preserve"> university sector </w:t>
      </w:r>
      <w:r>
        <w:rPr>
          <w:rFonts w:ascii="Arial" w:hAnsi="Arial" w:cs="Arial"/>
          <w:sz w:val="20"/>
        </w:rPr>
        <w:t>and medical research sector decreased in 2014 from the previous year while commercialisation staff employed in PFRAs</w:t>
      </w:r>
      <w:r>
        <w:rPr>
          <w:rStyle w:val="FootnoteReference"/>
          <w:rFonts w:ascii="Arial" w:hAnsi="Arial" w:cs="Arial"/>
          <w:sz w:val="20"/>
        </w:rPr>
        <w:footnoteReference w:id="2"/>
      </w:r>
      <w:r>
        <w:rPr>
          <w:rFonts w:ascii="Arial" w:hAnsi="Arial" w:cs="Arial"/>
          <w:sz w:val="20"/>
        </w:rPr>
        <w:t xml:space="preserve"> increased by 9.4%.</w:t>
      </w:r>
    </w:p>
    <w:p w14:paraId="5A4DEDB4" w14:textId="77777777" w:rsidR="00A22053" w:rsidRPr="00A93922" w:rsidRDefault="00A22053" w:rsidP="00D05CB9">
      <w:pPr>
        <w:pStyle w:val="Heading3"/>
        <w:rPr>
          <w:sz w:val="20"/>
          <w:szCs w:val="20"/>
        </w:rPr>
      </w:pPr>
      <w:r w:rsidRPr="00A93922">
        <w:rPr>
          <w:sz w:val="20"/>
          <w:szCs w:val="20"/>
        </w:rPr>
        <w:t xml:space="preserve">Table 4: Commercialisation staff (FTE) employed </w:t>
      </w:r>
    </w:p>
    <w:tbl>
      <w:tblPr>
        <w:tblW w:w="6564" w:type="dxa"/>
        <w:tblInd w:w="108" w:type="dxa"/>
        <w:tblLook w:val="04A0" w:firstRow="1" w:lastRow="0" w:firstColumn="1" w:lastColumn="0" w:noHBand="0" w:noVBand="1"/>
      </w:tblPr>
      <w:tblGrid>
        <w:gridCol w:w="1056"/>
        <w:gridCol w:w="1836"/>
        <w:gridCol w:w="1836"/>
        <w:gridCol w:w="1836"/>
      </w:tblGrid>
      <w:tr w:rsidR="00A22053" w:rsidRPr="009A0230" w14:paraId="253FE3A2" w14:textId="77777777" w:rsidTr="0057682D">
        <w:trPr>
          <w:trHeight w:val="51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14:paraId="7AA4E8EE" w14:textId="77777777" w:rsidR="00A22053" w:rsidRPr="009A0230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388EACC" w14:textId="77777777" w:rsidR="00A22053" w:rsidRPr="009A023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6A46302" w14:textId="77777777" w:rsidR="00A22053" w:rsidRPr="009A023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B7727D4" w14:textId="77777777" w:rsidR="00A22053" w:rsidRPr="009A023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2014</w:t>
            </w:r>
          </w:p>
        </w:tc>
      </w:tr>
      <w:tr w:rsidR="00A22053" w:rsidRPr="009A0230" w14:paraId="4F8B67EF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7BD2" w14:textId="77777777" w:rsidR="00A22053" w:rsidRPr="009A0230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PFRAs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E315" w14:textId="77777777" w:rsidR="00A22053" w:rsidRPr="009A023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176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7485" w14:textId="77777777" w:rsidR="00A22053" w:rsidRPr="009A023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171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EEA1" w14:textId="77777777" w:rsidR="00A22053" w:rsidRPr="009A023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187</w:t>
            </w:r>
          </w:p>
        </w:tc>
      </w:tr>
      <w:tr w:rsidR="00A22053" w:rsidRPr="009A0230" w14:paraId="684B5D3F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F26AC" w14:textId="77777777" w:rsidR="00A22053" w:rsidRPr="009A0230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UNIs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B6F12" w14:textId="77777777" w:rsidR="00A22053" w:rsidRPr="009A023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323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0F687" w14:textId="77777777" w:rsidR="00A22053" w:rsidRPr="009A023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466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E95F2" w14:textId="77777777" w:rsidR="00A22053" w:rsidRPr="009A023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315</w:t>
            </w:r>
          </w:p>
        </w:tc>
      </w:tr>
      <w:tr w:rsidR="00A22053" w:rsidRPr="009A0230" w14:paraId="6FDD2899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52F27" w14:textId="77777777" w:rsidR="00A22053" w:rsidRPr="009A0230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MRIs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EA8E9" w14:textId="77777777" w:rsidR="00A22053" w:rsidRPr="009A023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2BFE6" w14:textId="77777777" w:rsidR="00A22053" w:rsidRPr="009A023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40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89872" w14:textId="77777777" w:rsidR="00A22053" w:rsidRPr="009A023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31</w:t>
            </w:r>
          </w:p>
        </w:tc>
      </w:tr>
      <w:tr w:rsidR="00A22053" w:rsidRPr="009A0230" w14:paraId="1C4BBC93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B77F6" w14:textId="77777777" w:rsidR="00A22053" w:rsidRPr="009A0230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Total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5CDF1" w14:textId="77777777" w:rsidR="00A22053" w:rsidRPr="009A023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537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A6B84" w14:textId="77777777" w:rsidR="00A22053" w:rsidRPr="009A023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677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BA669" w14:textId="77777777" w:rsidR="00A22053" w:rsidRPr="009A0230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9A023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533</w:t>
            </w:r>
          </w:p>
        </w:tc>
      </w:tr>
    </w:tbl>
    <w:p w14:paraId="208E103F" w14:textId="77777777" w:rsidR="00A22053" w:rsidRDefault="00A22053" w:rsidP="00A22053">
      <w:pPr>
        <w:rPr>
          <w:rFonts w:ascii="Arial" w:hAnsi="Arial" w:cs="Arial"/>
        </w:rPr>
      </w:pPr>
    </w:p>
    <w:p w14:paraId="05120740" w14:textId="77777777" w:rsidR="00A22053" w:rsidRDefault="00A22053" w:rsidP="00D05CB9">
      <w:pPr>
        <w:pStyle w:val="Heading3"/>
        <w:rPr>
          <w:sz w:val="20"/>
          <w:szCs w:val="20"/>
        </w:rPr>
      </w:pPr>
      <w:r w:rsidRPr="00A93922">
        <w:rPr>
          <w:sz w:val="20"/>
          <w:szCs w:val="20"/>
        </w:rPr>
        <w:lastRenderedPageBreak/>
        <w:t>Figure 4: Research commercialisation staff (FTE) employed by sector</w:t>
      </w:r>
    </w:p>
    <w:p w14:paraId="123C7C6A" w14:textId="77777777" w:rsidR="00A93922" w:rsidRPr="00A93922" w:rsidRDefault="00A93922" w:rsidP="00A93922"/>
    <w:p w14:paraId="42094F57" w14:textId="33D8F587" w:rsidR="00A22053" w:rsidRPr="00FA3157" w:rsidRDefault="00A22053" w:rsidP="00A22053">
      <w:pPr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2C6AB2B6" wp14:editId="1456C7C9">
            <wp:extent cx="4460682" cy="2775005"/>
            <wp:effectExtent l="0" t="0" r="1651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A359C83" w14:textId="4888F752" w:rsidR="00A22053" w:rsidRPr="00756951" w:rsidRDefault="00A22053" w:rsidP="00D05CB9">
      <w:pPr>
        <w:pStyle w:val="Heading2"/>
        <w:numPr>
          <w:ilvl w:val="0"/>
          <w:numId w:val="18"/>
        </w:numPr>
      </w:pPr>
      <w:r w:rsidRPr="00756951">
        <w:t xml:space="preserve">Commercialisation </w:t>
      </w:r>
      <w:r>
        <w:t>O</w:t>
      </w:r>
      <w:r w:rsidRPr="00756951">
        <w:t>utcomes</w:t>
      </w:r>
    </w:p>
    <w:p w14:paraId="75C23A9C" w14:textId="77777777" w:rsidR="00A22053" w:rsidRDefault="00A22053" w:rsidP="00A22053">
      <w:pPr>
        <w:spacing w:after="360"/>
        <w:rPr>
          <w:rFonts w:ascii="Arial" w:hAnsi="Arial" w:cs="Arial"/>
        </w:rPr>
      </w:pPr>
      <w:r w:rsidRPr="00756951">
        <w:rPr>
          <w:rFonts w:ascii="Arial" w:hAnsi="Arial" w:cs="Arial"/>
        </w:rPr>
        <w:t>Research commercialisation is a process of converting scien</w:t>
      </w:r>
      <w:r>
        <w:rPr>
          <w:rFonts w:ascii="Arial" w:hAnsi="Arial" w:cs="Arial"/>
        </w:rPr>
        <w:t xml:space="preserve">tific knowledge </w:t>
      </w:r>
      <w:r w:rsidRPr="00756951">
        <w:rPr>
          <w:rFonts w:ascii="Arial" w:hAnsi="Arial" w:cs="Arial"/>
        </w:rPr>
        <w:t xml:space="preserve">or invention into a marketable product or industrial process. It </w:t>
      </w:r>
      <w:r>
        <w:rPr>
          <w:rFonts w:ascii="Arial" w:hAnsi="Arial" w:cs="Arial"/>
        </w:rPr>
        <w:t>ensures</w:t>
      </w:r>
      <w:r w:rsidRPr="00756951">
        <w:rPr>
          <w:rFonts w:ascii="Arial" w:hAnsi="Arial" w:cs="Arial"/>
        </w:rPr>
        <w:t xml:space="preserve"> that investment in research brings positive return by way of technological advances.</w:t>
      </w:r>
    </w:p>
    <w:p w14:paraId="374F579A" w14:textId="77777777" w:rsidR="00A22053" w:rsidRDefault="00A22053" w:rsidP="00724B0D">
      <w:pPr>
        <w:pStyle w:val="Heading3"/>
        <w:spacing w:before="0" w:line="240" w:lineRule="auto"/>
      </w:pPr>
      <w:r w:rsidRPr="00756951">
        <w:t>5.1</w:t>
      </w:r>
      <w:r>
        <w:tab/>
      </w:r>
      <w:r w:rsidRPr="00756951">
        <w:t>Licences, Options and Agreements (LOAs)</w:t>
      </w:r>
    </w:p>
    <w:p w14:paraId="79E07C31" w14:textId="77777777" w:rsidR="00A22053" w:rsidRPr="00C413A0" w:rsidRDefault="00A22053" w:rsidP="00724B0D">
      <w:pPr>
        <w:pStyle w:val="NormalWeb"/>
        <w:spacing w:before="0" w:beforeAutospacing="0" w:after="0" w:afterAutospacing="0" w:line="240" w:lineRule="auto"/>
        <w:rPr>
          <w:rFonts w:ascii="Arial" w:eastAsiaTheme="minorHAnsi" w:hAnsi="Arial" w:cs="Arial"/>
          <w:sz w:val="20"/>
          <w:szCs w:val="22"/>
          <w:lang w:eastAsia="en-US"/>
        </w:rPr>
      </w:pPr>
      <w:r w:rsidRPr="00C413A0">
        <w:rPr>
          <w:rFonts w:ascii="Arial" w:eastAsiaTheme="minorHAnsi" w:hAnsi="Arial" w:cs="Arial"/>
          <w:sz w:val="20"/>
          <w:szCs w:val="22"/>
          <w:lang w:eastAsia="en-US"/>
        </w:rPr>
        <w:t>A licen</w:t>
      </w:r>
      <w:r>
        <w:rPr>
          <w:rFonts w:ascii="Arial" w:eastAsiaTheme="minorHAnsi" w:hAnsi="Arial" w:cs="Arial"/>
          <w:sz w:val="20"/>
          <w:szCs w:val="22"/>
          <w:lang w:eastAsia="en-US"/>
        </w:rPr>
        <w:t>c</w:t>
      </w:r>
      <w:r w:rsidRPr="00C413A0">
        <w:rPr>
          <w:rFonts w:ascii="Arial" w:eastAsiaTheme="minorHAnsi" w:hAnsi="Arial" w:cs="Arial"/>
          <w:sz w:val="20"/>
          <w:szCs w:val="22"/>
          <w:lang w:eastAsia="en-US"/>
        </w:rPr>
        <w:t>e agreement formalises the transfer of technology between two parties, where the owner of the technology grants righ</w:t>
      </w:r>
      <w:r>
        <w:rPr>
          <w:rFonts w:ascii="Arial" w:eastAsiaTheme="minorHAnsi" w:hAnsi="Arial" w:cs="Arial"/>
          <w:sz w:val="20"/>
          <w:szCs w:val="22"/>
          <w:lang w:eastAsia="en-US"/>
        </w:rPr>
        <w:t>ts to the other party</w:t>
      </w:r>
      <w:r w:rsidRPr="00C413A0">
        <w:rPr>
          <w:rFonts w:ascii="Arial" w:eastAsiaTheme="minorHAnsi" w:hAnsi="Arial" w:cs="Arial"/>
          <w:sz w:val="20"/>
          <w:szCs w:val="22"/>
          <w:lang w:eastAsia="en-US"/>
        </w:rPr>
        <w:t>. An option agreement grants the potential licensee a time period during which it may evaluate the technology and negotiate the terms of a licen</w:t>
      </w:r>
      <w:r>
        <w:rPr>
          <w:rFonts w:ascii="Arial" w:eastAsiaTheme="minorHAnsi" w:hAnsi="Arial" w:cs="Arial"/>
          <w:sz w:val="20"/>
          <w:szCs w:val="22"/>
          <w:lang w:eastAsia="en-US"/>
        </w:rPr>
        <w:t>c</w:t>
      </w:r>
      <w:r w:rsidRPr="00C413A0">
        <w:rPr>
          <w:rFonts w:ascii="Arial" w:eastAsiaTheme="minorHAnsi" w:hAnsi="Arial" w:cs="Arial"/>
          <w:sz w:val="20"/>
          <w:szCs w:val="22"/>
          <w:lang w:eastAsia="en-US"/>
        </w:rPr>
        <w:t>e agreement. An assignment agreement conveys all right, title and interest in the licen</w:t>
      </w:r>
      <w:r>
        <w:rPr>
          <w:rFonts w:ascii="Arial" w:eastAsiaTheme="minorHAnsi" w:hAnsi="Arial" w:cs="Arial"/>
          <w:sz w:val="20"/>
          <w:szCs w:val="22"/>
          <w:lang w:eastAsia="en-US"/>
        </w:rPr>
        <w:t>c</w:t>
      </w:r>
      <w:r w:rsidRPr="00C413A0">
        <w:rPr>
          <w:rFonts w:ascii="Arial" w:eastAsiaTheme="minorHAnsi" w:hAnsi="Arial" w:cs="Arial"/>
          <w:sz w:val="20"/>
          <w:szCs w:val="22"/>
          <w:lang w:eastAsia="en-US"/>
        </w:rPr>
        <w:t>ed subject matter to the named assignee.</w:t>
      </w:r>
    </w:p>
    <w:p w14:paraId="34096E6B" w14:textId="77777777" w:rsidR="00A22053" w:rsidRDefault="00A22053" w:rsidP="00D05CB9">
      <w:pPr>
        <w:pStyle w:val="Heading3"/>
      </w:pPr>
      <w:r>
        <w:t>5.1.1</w:t>
      </w:r>
      <w:r>
        <w:tab/>
        <w:t xml:space="preserve">Executed LOAs </w:t>
      </w:r>
    </w:p>
    <w:p w14:paraId="68DDDA0F" w14:textId="77777777" w:rsidR="00A22053" w:rsidRPr="00756951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 w:rsidRPr="0075695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 2014 r</w:t>
      </w:r>
      <w:r w:rsidRPr="00756951">
        <w:rPr>
          <w:rFonts w:ascii="Arial" w:hAnsi="Arial" w:cs="Arial"/>
          <w:sz w:val="20"/>
        </w:rPr>
        <w:t>esearch organisations e</w:t>
      </w:r>
      <w:r>
        <w:rPr>
          <w:rFonts w:ascii="Arial" w:hAnsi="Arial" w:cs="Arial"/>
          <w:sz w:val="20"/>
        </w:rPr>
        <w:t xml:space="preserve">xecuted </w:t>
      </w:r>
      <w:r w:rsidRPr="006741B9">
        <w:rPr>
          <w:rFonts w:ascii="Arial" w:hAnsi="Arial" w:cs="Arial"/>
          <w:sz w:val="20"/>
        </w:rPr>
        <w:t>732 LOAs, a 16.0</w:t>
      </w:r>
      <w:r>
        <w:rPr>
          <w:rFonts w:ascii="Arial" w:hAnsi="Arial" w:cs="Arial"/>
          <w:sz w:val="20"/>
        </w:rPr>
        <w:t>%</w:t>
      </w:r>
      <w:r w:rsidRPr="00756951">
        <w:rPr>
          <w:rFonts w:ascii="Arial" w:hAnsi="Arial" w:cs="Arial"/>
          <w:sz w:val="20"/>
        </w:rPr>
        <w:t xml:space="preserve"> increase </w:t>
      </w:r>
      <w:r>
        <w:rPr>
          <w:rFonts w:ascii="Arial" w:hAnsi="Arial" w:cs="Arial"/>
          <w:sz w:val="20"/>
        </w:rPr>
        <w:t>from the previous</w:t>
      </w:r>
      <w:r w:rsidRPr="00756951">
        <w:rPr>
          <w:rFonts w:ascii="Arial" w:hAnsi="Arial" w:cs="Arial"/>
          <w:sz w:val="20"/>
        </w:rPr>
        <w:t xml:space="preserve"> year.</w:t>
      </w:r>
    </w:p>
    <w:p w14:paraId="22034D77" w14:textId="77777777" w:rsidR="00A22053" w:rsidRPr="00756951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 w:rsidRPr="00756951">
        <w:rPr>
          <w:rFonts w:ascii="Arial" w:hAnsi="Arial" w:cs="Arial"/>
          <w:sz w:val="20"/>
        </w:rPr>
        <w:t xml:space="preserve">Universities </w:t>
      </w:r>
      <w:r>
        <w:rPr>
          <w:rFonts w:ascii="Arial" w:hAnsi="Arial" w:cs="Arial"/>
          <w:sz w:val="20"/>
        </w:rPr>
        <w:t>reported</w:t>
      </w:r>
      <w:r w:rsidRPr="007569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43.2% growth </w:t>
      </w:r>
      <w:r w:rsidRPr="00756951">
        <w:rPr>
          <w:rFonts w:ascii="Arial" w:hAnsi="Arial" w:cs="Arial"/>
          <w:sz w:val="20"/>
        </w:rPr>
        <w:t>in the</w:t>
      </w:r>
      <w:r>
        <w:rPr>
          <w:rFonts w:ascii="Arial" w:hAnsi="Arial" w:cs="Arial"/>
          <w:sz w:val="20"/>
        </w:rPr>
        <w:t xml:space="preserve"> number of LOAs executed while MRIs grew by 18.4% from previous year. In contrast, PFRAs showed a 56.8% decline from 2013.</w:t>
      </w:r>
    </w:p>
    <w:p w14:paraId="73BF83CD" w14:textId="77777777" w:rsidR="00A22053" w:rsidRPr="007F1FE4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 w:rsidRPr="00756951">
        <w:rPr>
          <w:rFonts w:ascii="Arial" w:hAnsi="Arial" w:cs="Arial"/>
          <w:sz w:val="20"/>
        </w:rPr>
        <w:t xml:space="preserve">Universities </w:t>
      </w:r>
      <w:r>
        <w:rPr>
          <w:rFonts w:ascii="Arial" w:hAnsi="Arial" w:cs="Arial"/>
          <w:sz w:val="20"/>
        </w:rPr>
        <w:t>accounted for 84.3%</w:t>
      </w:r>
      <w:r w:rsidRPr="00756951">
        <w:rPr>
          <w:rFonts w:ascii="Arial" w:hAnsi="Arial" w:cs="Arial"/>
          <w:sz w:val="20"/>
        </w:rPr>
        <w:t xml:space="preserve"> of </w:t>
      </w:r>
      <w:r>
        <w:rPr>
          <w:rFonts w:ascii="Arial" w:hAnsi="Arial" w:cs="Arial"/>
          <w:sz w:val="20"/>
        </w:rPr>
        <w:t xml:space="preserve">all LOAs executed by </w:t>
      </w:r>
      <w:r w:rsidRPr="00756951">
        <w:rPr>
          <w:rFonts w:ascii="Arial" w:hAnsi="Arial" w:cs="Arial"/>
          <w:sz w:val="20"/>
        </w:rPr>
        <w:t>research organisation</w:t>
      </w:r>
      <w:r>
        <w:rPr>
          <w:rFonts w:ascii="Arial" w:hAnsi="Arial" w:cs="Arial"/>
          <w:sz w:val="20"/>
        </w:rPr>
        <w:t>s</w:t>
      </w:r>
      <w:r w:rsidRPr="00756951">
        <w:rPr>
          <w:rFonts w:ascii="Arial" w:hAnsi="Arial" w:cs="Arial"/>
          <w:sz w:val="20"/>
        </w:rPr>
        <w:t xml:space="preserve"> in 2014.</w:t>
      </w:r>
    </w:p>
    <w:p w14:paraId="18AF7CC5" w14:textId="1F525022" w:rsidR="009D79B3" w:rsidRPr="009D79B3" w:rsidRDefault="00A22053" w:rsidP="009D79B3">
      <w:pPr>
        <w:pStyle w:val="Heading3"/>
        <w:rPr>
          <w:sz w:val="20"/>
          <w:szCs w:val="20"/>
        </w:rPr>
      </w:pPr>
      <w:r w:rsidRPr="00A93922">
        <w:rPr>
          <w:sz w:val="20"/>
          <w:szCs w:val="20"/>
        </w:rPr>
        <w:t>Table 5.1.1: Number of LOAs executed</w:t>
      </w:r>
    </w:p>
    <w:tbl>
      <w:tblPr>
        <w:tblW w:w="6564" w:type="dxa"/>
        <w:tblInd w:w="108" w:type="dxa"/>
        <w:tblLook w:val="04A0" w:firstRow="1" w:lastRow="0" w:firstColumn="1" w:lastColumn="0" w:noHBand="0" w:noVBand="1"/>
      </w:tblPr>
      <w:tblGrid>
        <w:gridCol w:w="1056"/>
        <w:gridCol w:w="1836"/>
        <w:gridCol w:w="1836"/>
        <w:gridCol w:w="1836"/>
      </w:tblGrid>
      <w:tr w:rsidR="00A22053" w:rsidRPr="00E754A8" w14:paraId="283AA732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8B299EC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14:paraId="76C7F1CF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14:paraId="6F9494CC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14:paraId="321D4707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2014</w:t>
            </w:r>
          </w:p>
        </w:tc>
      </w:tr>
      <w:tr w:rsidR="00A22053" w:rsidRPr="00E754A8" w14:paraId="2087E338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DFDC" w14:textId="77777777" w:rsidR="00A22053" w:rsidRPr="00E754A8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PFRAs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EBB0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A704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162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0378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70</w:t>
            </w:r>
          </w:p>
        </w:tc>
      </w:tr>
      <w:tr w:rsidR="00A22053" w:rsidRPr="00E754A8" w14:paraId="66233646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49FE8" w14:textId="77777777" w:rsidR="00A22053" w:rsidRPr="00E754A8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UNIs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74279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319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E08D4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431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583EE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617</w:t>
            </w:r>
          </w:p>
        </w:tc>
      </w:tr>
      <w:tr w:rsidR="00A22053" w:rsidRPr="00E754A8" w14:paraId="0D534781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FC16" w14:textId="77777777" w:rsidR="00A22053" w:rsidRPr="00E754A8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MRIs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BDF8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47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B52E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5045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45</w:t>
            </w:r>
          </w:p>
        </w:tc>
      </w:tr>
      <w:tr w:rsidR="00A22053" w:rsidRPr="00E754A8" w14:paraId="32D2B1D6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AE193" w14:textId="77777777" w:rsidR="00A22053" w:rsidRPr="00E754A8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Totals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CA9B5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491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74E68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631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7DAD4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732</w:t>
            </w:r>
          </w:p>
        </w:tc>
      </w:tr>
    </w:tbl>
    <w:p w14:paraId="57FD28C5" w14:textId="77777777" w:rsidR="00A22053" w:rsidRPr="00756951" w:rsidRDefault="00A22053" w:rsidP="00A22053">
      <w:pPr>
        <w:rPr>
          <w:rFonts w:ascii="Arial" w:hAnsi="Arial" w:cs="Arial"/>
        </w:rPr>
      </w:pPr>
    </w:p>
    <w:p w14:paraId="6EB76B76" w14:textId="77777777" w:rsidR="00522B1C" w:rsidRDefault="00522B1C" w:rsidP="00D05CB9">
      <w:pPr>
        <w:pStyle w:val="Heading3"/>
        <w:rPr>
          <w:sz w:val="20"/>
          <w:szCs w:val="20"/>
        </w:rPr>
      </w:pPr>
    </w:p>
    <w:p w14:paraId="2611F917" w14:textId="77777777" w:rsidR="00A22053" w:rsidRDefault="00A22053" w:rsidP="00D05CB9">
      <w:pPr>
        <w:pStyle w:val="Heading3"/>
        <w:rPr>
          <w:sz w:val="20"/>
          <w:szCs w:val="20"/>
        </w:rPr>
      </w:pPr>
      <w:r w:rsidRPr="00A93922">
        <w:rPr>
          <w:sz w:val="20"/>
          <w:szCs w:val="20"/>
        </w:rPr>
        <w:t>Figure 5.1.1: Number of LOAs executed by sector</w:t>
      </w:r>
    </w:p>
    <w:p w14:paraId="25501955" w14:textId="77777777" w:rsidR="009D79B3" w:rsidRPr="009D79B3" w:rsidRDefault="009D79B3" w:rsidP="009D79B3"/>
    <w:p w14:paraId="1A8DB3EF" w14:textId="77777777" w:rsidR="00A22053" w:rsidRDefault="00A22053" w:rsidP="00A22053">
      <w:pPr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603B316D" wp14:editId="59E40068">
            <wp:extent cx="4484536" cy="2775005"/>
            <wp:effectExtent l="0" t="0" r="11430" b="254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93CA3BA" w14:textId="77777777" w:rsidR="00A22053" w:rsidRDefault="00A22053" w:rsidP="00A22053">
      <w:pPr>
        <w:rPr>
          <w:rFonts w:ascii="Arial" w:hAnsi="Arial" w:cs="Arial"/>
          <w:b/>
        </w:rPr>
      </w:pPr>
    </w:p>
    <w:p w14:paraId="3661F07C" w14:textId="77777777" w:rsidR="00A22053" w:rsidRDefault="00A22053" w:rsidP="00D05CB9">
      <w:pPr>
        <w:pStyle w:val="Heading3"/>
      </w:pPr>
      <w:r>
        <w:t>5.1.2</w:t>
      </w:r>
      <w:r>
        <w:tab/>
        <w:t xml:space="preserve">Active LOAs </w:t>
      </w:r>
    </w:p>
    <w:p w14:paraId="66539DAF" w14:textId="77777777" w:rsidR="00A22053" w:rsidRPr="00C413A0" w:rsidRDefault="00A22053" w:rsidP="00A22053">
      <w:pPr>
        <w:rPr>
          <w:rFonts w:ascii="Arial" w:hAnsi="Arial" w:cs="Arial"/>
        </w:rPr>
      </w:pPr>
      <w:r w:rsidRPr="00C413A0">
        <w:rPr>
          <w:rFonts w:ascii="Arial" w:hAnsi="Arial" w:cs="Arial"/>
        </w:rPr>
        <w:t>Active LOAs are 'legally enforceable' licences and options that earned income in 2014, or which are contracted to provide income in future years and for which there is a reasonable expectation that income will be paid.</w:t>
      </w:r>
    </w:p>
    <w:p w14:paraId="30D53E35" w14:textId="77777777" w:rsidR="00A22053" w:rsidRPr="00756951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2014, research organisations reported 2,236 active LOAs, </w:t>
      </w:r>
      <w:r w:rsidRPr="0075695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n</w:t>
      </w:r>
      <w:r w:rsidRPr="007569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8.9%</w:t>
      </w:r>
      <w:r w:rsidRPr="007569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decrease</w:t>
      </w:r>
      <w:r w:rsidRPr="007569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from the previous</w:t>
      </w:r>
      <w:r w:rsidRPr="00756951">
        <w:rPr>
          <w:rFonts w:ascii="Arial" w:hAnsi="Arial" w:cs="Arial"/>
          <w:sz w:val="20"/>
        </w:rPr>
        <w:t xml:space="preserve"> year.</w:t>
      </w:r>
    </w:p>
    <w:p w14:paraId="7FC045DA" w14:textId="77777777" w:rsidR="00A22053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 w:rsidRPr="0093795E">
        <w:rPr>
          <w:rFonts w:ascii="Arial" w:hAnsi="Arial" w:cs="Arial"/>
          <w:sz w:val="20"/>
        </w:rPr>
        <w:t xml:space="preserve">Active LOAs reported by universities declined </w:t>
      </w:r>
      <w:r>
        <w:rPr>
          <w:rFonts w:ascii="Arial" w:hAnsi="Arial" w:cs="Arial"/>
          <w:sz w:val="20"/>
        </w:rPr>
        <w:t xml:space="preserve">slightly </w:t>
      </w:r>
      <w:r w:rsidRPr="0093795E">
        <w:rPr>
          <w:rFonts w:ascii="Arial" w:hAnsi="Arial" w:cs="Arial"/>
          <w:sz w:val="20"/>
        </w:rPr>
        <w:t xml:space="preserve">by </w:t>
      </w:r>
      <w:r>
        <w:rPr>
          <w:rFonts w:ascii="Arial" w:hAnsi="Arial" w:cs="Arial"/>
          <w:sz w:val="20"/>
        </w:rPr>
        <w:t>0.1</w:t>
      </w:r>
      <w:r w:rsidRPr="0093795E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%</w:t>
      </w:r>
      <w:r w:rsidRPr="0093795E">
        <w:rPr>
          <w:rFonts w:ascii="Arial" w:hAnsi="Arial" w:cs="Arial"/>
          <w:sz w:val="20"/>
        </w:rPr>
        <w:t xml:space="preserve"> and PFRAs showed a </w:t>
      </w:r>
      <w:r>
        <w:rPr>
          <w:rFonts w:ascii="Arial" w:hAnsi="Arial" w:cs="Arial"/>
          <w:sz w:val="20"/>
        </w:rPr>
        <w:t xml:space="preserve">larger </w:t>
      </w:r>
      <w:r w:rsidRPr="0093795E">
        <w:rPr>
          <w:rFonts w:ascii="Arial" w:hAnsi="Arial" w:cs="Arial"/>
          <w:sz w:val="20"/>
        </w:rPr>
        <w:t>decline of 37.5</w:t>
      </w:r>
      <w:r>
        <w:rPr>
          <w:rFonts w:ascii="Arial" w:hAnsi="Arial" w:cs="Arial"/>
          <w:sz w:val="20"/>
        </w:rPr>
        <w:t>%</w:t>
      </w:r>
      <w:r w:rsidRPr="0093795E">
        <w:rPr>
          <w:rFonts w:ascii="Arial" w:hAnsi="Arial" w:cs="Arial"/>
          <w:sz w:val="20"/>
        </w:rPr>
        <w:t xml:space="preserve"> from the previous year. Alternatively MRIs reported a 26.1</w:t>
      </w:r>
      <w:r>
        <w:rPr>
          <w:rFonts w:ascii="Arial" w:hAnsi="Arial" w:cs="Arial"/>
          <w:sz w:val="20"/>
        </w:rPr>
        <w:t>%</w:t>
      </w:r>
      <w:r w:rsidRPr="0093795E">
        <w:rPr>
          <w:rFonts w:ascii="Arial" w:hAnsi="Arial" w:cs="Arial"/>
          <w:sz w:val="20"/>
        </w:rPr>
        <w:t xml:space="preserve"> increase in the number of active LOAs. </w:t>
      </w:r>
    </w:p>
    <w:p w14:paraId="0E44AACB" w14:textId="77777777" w:rsidR="00A22053" w:rsidRPr="0093795E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 w:rsidRPr="0093795E">
        <w:rPr>
          <w:rFonts w:ascii="Arial" w:hAnsi="Arial" w:cs="Arial"/>
          <w:sz w:val="20"/>
        </w:rPr>
        <w:t>Universities accounted for 72.0</w:t>
      </w:r>
      <w:r>
        <w:rPr>
          <w:rFonts w:ascii="Arial" w:hAnsi="Arial" w:cs="Arial"/>
          <w:sz w:val="20"/>
        </w:rPr>
        <w:t>%</w:t>
      </w:r>
      <w:r w:rsidRPr="0093795E">
        <w:rPr>
          <w:rFonts w:ascii="Arial" w:hAnsi="Arial" w:cs="Arial"/>
          <w:sz w:val="20"/>
        </w:rPr>
        <w:t xml:space="preserve"> of active LOAs in 2014.</w:t>
      </w:r>
    </w:p>
    <w:p w14:paraId="1C5A92A8" w14:textId="286E334A" w:rsidR="00A22053" w:rsidRPr="0093795E" w:rsidRDefault="00A22053" w:rsidP="00C87253">
      <w:pPr>
        <w:pStyle w:val="ListParagraph"/>
        <w:spacing w:before="240"/>
        <w:ind w:left="714"/>
        <w:rPr>
          <w:rFonts w:ascii="Arial" w:hAnsi="Arial" w:cs="Arial"/>
          <w:sz w:val="20"/>
        </w:rPr>
      </w:pPr>
    </w:p>
    <w:p w14:paraId="59B8F9F1" w14:textId="77777777" w:rsidR="00A22053" w:rsidRDefault="00A22053" w:rsidP="00D05CB9">
      <w:pPr>
        <w:pStyle w:val="Heading3"/>
        <w:rPr>
          <w:sz w:val="20"/>
          <w:szCs w:val="20"/>
        </w:rPr>
      </w:pPr>
      <w:r w:rsidRPr="00A93922">
        <w:rPr>
          <w:sz w:val="20"/>
          <w:szCs w:val="20"/>
        </w:rPr>
        <w:t>Table 5.1.2: Number of active LOAs</w:t>
      </w:r>
    </w:p>
    <w:p w14:paraId="671E6AC5" w14:textId="77777777" w:rsidR="00724B0D" w:rsidRPr="00724B0D" w:rsidRDefault="00724B0D" w:rsidP="00724B0D"/>
    <w:tbl>
      <w:tblPr>
        <w:tblW w:w="6564" w:type="dxa"/>
        <w:tblInd w:w="108" w:type="dxa"/>
        <w:tblLook w:val="04A0" w:firstRow="1" w:lastRow="0" w:firstColumn="1" w:lastColumn="0" w:noHBand="0" w:noVBand="1"/>
      </w:tblPr>
      <w:tblGrid>
        <w:gridCol w:w="1056"/>
        <w:gridCol w:w="1836"/>
        <w:gridCol w:w="1836"/>
        <w:gridCol w:w="1836"/>
      </w:tblGrid>
      <w:tr w:rsidR="00A22053" w:rsidRPr="00E754A8" w14:paraId="626A5E15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8597442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0ACDDC6D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</w:t>
            </w:r>
            <w:r w:rsidRPr="00E754A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168DE9E9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</w:t>
            </w:r>
            <w:r w:rsidRPr="00E754A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D535ED8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2014</w:t>
            </w:r>
          </w:p>
        </w:tc>
      </w:tr>
      <w:tr w:rsidR="00A22053" w:rsidRPr="00E754A8" w14:paraId="66967F6C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2EC3" w14:textId="77777777" w:rsidR="00A22053" w:rsidRPr="00E754A8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PFRAs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AE3B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682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DA89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686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9017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429</w:t>
            </w:r>
          </w:p>
        </w:tc>
      </w:tr>
      <w:tr w:rsidR="00A22053" w:rsidRPr="00E754A8" w14:paraId="3416EB39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32D7F" w14:textId="77777777" w:rsidR="00A22053" w:rsidRPr="00E754A8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UNIs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5441E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1134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30AB7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1611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EE3D3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1609</w:t>
            </w:r>
          </w:p>
        </w:tc>
      </w:tr>
      <w:tr w:rsidR="00A22053" w:rsidRPr="00E754A8" w14:paraId="15574EFD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ADD0" w14:textId="77777777" w:rsidR="00A22053" w:rsidRPr="00E754A8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MRIs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0909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146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7D81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157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9288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198</w:t>
            </w:r>
          </w:p>
        </w:tc>
      </w:tr>
      <w:tr w:rsidR="00A22053" w:rsidRPr="00E754A8" w14:paraId="09C14E2B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E02BF" w14:textId="77777777" w:rsidR="00A22053" w:rsidRPr="00E754A8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Totals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C341F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1962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88831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2454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D8E1A" w14:textId="77777777" w:rsidR="00A22053" w:rsidRPr="00E754A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E754A8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2236</w:t>
            </w:r>
          </w:p>
        </w:tc>
      </w:tr>
    </w:tbl>
    <w:p w14:paraId="57E08F7A" w14:textId="77777777" w:rsidR="00A22053" w:rsidRDefault="00A22053" w:rsidP="00A22053"/>
    <w:p w14:paraId="07A6712C" w14:textId="77777777" w:rsidR="00E30F4C" w:rsidRDefault="00E30F4C" w:rsidP="00A22053"/>
    <w:p w14:paraId="175058EA" w14:textId="77777777" w:rsidR="00E30F4C" w:rsidRDefault="00E30F4C" w:rsidP="00A22053"/>
    <w:p w14:paraId="7B68AB00" w14:textId="77777777" w:rsidR="00FC49E6" w:rsidRDefault="00FC49E6" w:rsidP="00A22053"/>
    <w:p w14:paraId="1D0FE4D3" w14:textId="2CA46361" w:rsidR="00EC3D6B" w:rsidRDefault="00522B1C" w:rsidP="00A22053">
      <w:r>
        <w:lastRenderedPageBreak/>
        <w:t>Figure 5.1.2:  Number of active LOAs</w:t>
      </w:r>
    </w:p>
    <w:p w14:paraId="00761F5E" w14:textId="60FF5A20" w:rsidR="00522B1C" w:rsidRDefault="00E30F4C" w:rsidP="00DF1E5F">
      <w:r>
        <w:rPr>
          <w:noProof/>
          <w:lang w:eastAsia="en-AU"/>
        </w:rPr>
        <w:drawing>
          <wp:inline distT="0" distB="0" distL="0" distR="0" wp14:anchorId="64BD2857" wp14:editId="50429E20">
            <wp:extent cx="4777740" cy="2575560"/>
            <wp:effectExtent l="0" t="0" r="2286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5B55955" w14:textId="796221F0" w:rsidR="00724B0D" w:rsidRDefault="00951FD3" w:rsidP="00DF1E5F">
      <w:pPr>
        <w:pStyle w:val="Heading3"/>
      </w:pPr>
      <w:r>
        <w:t>5.1.3 Income yielded from active LOAs</w:t>
      </w:r>
    </w:p>
    <w:p w14:paraId="1F92BB9E" w14:textId="77777777" w:rsidR="00951FD3" w:rsidRDefault="00951FD3" w:rsidP="00951FD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Active LOAs generated $136.4 million income in 2014, a 7.5 % growth from the previous year.</w:t>
      </w:r>
    </w:p>
    <w:p w14:paraId="5930E220" w14:textId="5B346980" w:rsidR="00724B0D" w:rsidRPr="00DF1E5F" w:rsidRDefault="00951FD3" w:rsidP="00DF1E5F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  <w:sz w:val="20"/>
        </w:rPr>
        <w:t>Of the total income from active LOAs, the university-sector received $61.1 million and PFRAs and MRIs received $46.1million and $29.2 million respectively</w:t>
      </w:r>
    </w:p>
    <w:p w14:paraId="40E459A0" w14:textId="51FAD82B" w:rsidR="00951FD3" w:rsidRPr="00DF1E5F" w:rsidRDefault="00951FD3" w:rsidP="00DF1E5F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Table 5.1.3: Income yielded from active LOAs</w:t>
      </w:r>
      <w:r w:rsidR="00DF1E5F">
        <w:rPr>
          <w:sz w:val="20"/>
          <w:szCs w:val="20"/>
        </w:rPr>
        <w:t xml:space="preserve"> </w:t>
      </w:r>
      <w:r w:rsidR="00DF1E5F" w:rsidRPr="00A93922">
        <w:rPr>
          <w:sz w:val="20"/>
          <w:szCs w:val="20"/>
        </w:rPr>
        <w:t>($ Million)</w:t>
      </w:r>
    </w:p>
    <w:tbl>
      <w:tblPr>
        <w:tblW w:w="6564" w:type="dxa"/>
        <w:tblInd w:w="108" w:type="dxa"/>
        <w:tblLook w:val="04A0" w:firstRow="1" w:lastRow="0" w:firstColumn="1" w:lastColumn="0" w:noHBand="0" w:noVBand="1"/>
      </w:tblPr>
      <w:tblGrid>
        <w:gridCol w:w="1056"/>
        <w:gridCol w:w="1836"/>
        <w:gridCol w:w="1836"/>
        <w:gridCol w:w="1836"/>
      </w:tblGrid>
      <w:tr w:rsidR="00E5755A" w:rsidRPr="00E5755A" w14:paraId="611AE78A" w14:textId="77777777" w:rsidTr="00E5755A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119ECE22" w14:textId="77777777" w:rsidR="00E5755A" w:rsidRPr="00E5755A" w:rsidRDefault="00E5755A" w:rsidP="00E5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1456970A" w14:textId="77777777" w:rsidR="00E5755A" w:rsidRPr="00E5755A" w:rsidRDefault="00E5755A" w:rsidP="00E5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8ED264F" w14:textId="77777777" w:rsidR="00E5755A" w:rsidRPr="00E5755A" w:rsidRDefault="00E5755A" w:rsidP="00E5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1CE39013" w14:textId="77777777" w:rsidR="00E5755A" w:rsidRPr="00E5755A" w:rsidRDefault="00E5755A" w:rsidP="00E5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2014</w:t>
            </w:r>
          </w:p>
        </w:tc>
      </w:tr>
      <w:tr w:rsidR="00E5755A" w:rsidRPr="00E5755A" w14:paraId="0B8427DE" w14:textId="77777777" w:rsidTr="00E5755A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93A4" w14:textId="77777777" w:rsidR="00E5755A" w:rsidRPr="00E5755A" w:rsidRDefault="00E5755A" w:rsidP="00E57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PFRAs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D3BE" w14:textId="77777777" w:rsidR="00E5755A" w:rsidRPr="00E5755A" w:rsidRDefault="00E5755A" w:rsidP="00E5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294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FFB5" w14:textId="77777777" w:rsidR="00E5755A" w:rsidRPr="00E5755A" w:rsidRDefault="00E5755A" w:rsidP="00E5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45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9ADE" w14:textId="77777777" w:rsidR="00E5755A" w:rsidRPr="00E5755A" w:rsidRDefault="00E5755A" w:rsidP="00E5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46</w:t>
            </w:r>
          </w:p>
        </w:tc>
      </w:tr>
      <w:tr w:rsidR="00E5755A" w:rsidRPr="00E5755A" w14:paraId="31528F8A" w14:textId="77777777" w:rsidTr="00E5755A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A34BB" w14:textId="77777777" w:rsidR="00E5755A" w:rsidRPr="00E5755A" w:rsidRDefault="00E5755A" w:rsidP="00E57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UNIs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5D5E9" w14:textId="77777777" w:rsidR="00E5755A" w:rsidRPr="00E5755A" w:rsidRDefault="00E5755A" w:rsidP="00E5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36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BF54E" w14:textId="77777777" w:rsidR="00E5755A" w:rsidRPr="00E5755A" w:rsidRDefault="00E5755A" w:rsidP="00E5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74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E8AE0" w14:textId="77777777" w:rsidR="00E5755A" w:rsidRPr="00E5755A" w:rsidRDefault="00E5755A" w:rsidP="00E5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61</w:t>
            </w:r>
          </w:p>
        </w:tc>
      </w:tr>
      <w:tr w:rsidR="00E5755A" w:rsidRPr="00E5755A" w14:paraId="5D412F05" w14:textId="77777777" w:rsidTr="00E5755A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64A5" w14:textId="77777777" w:rsidR="00E5755A" w:rsidRPr="00E5755A" w:rsidRDefault="00E5755A" w:rsidP="00E57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MRIs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DAAB" w14:textId="77777777" w:rsidR="00E5755A" w:rsidRPr="00E5755A" w:rsidRDefault="00E5755A" w:rsidP="00E5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ABF6" w14:textId="77777777" w:rsidR="00E5755A" w:rsidRPr="00E5755A" w:rsidRDefault="00E5755A" w:rsidP="00E5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CE0A" w14:textId="77777777" w:rsidR="00E5755A" w:rsidRPr="00E5755A" w:rsidRDefault="00E5755A" w:rsidP="00E5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29</w:t>
            </w:r>
          </w:p>
        </w:tc>
      </w:tr>
      <w:tr w:rsidR="00E5755A" w:rsidRPr="00E5755A" w14:paraId="5C6A3296" w14:textId="77777777" w:rsidTr="00E5755A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5C768" w14:textId="77777777" w:rsidR="00E5755A" w:rsidRPr="00E5755A" w:rsidRDefault="00E5755A" w:rsidP="00E57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Totals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FAC88" w14:textId="77777777" w:rsidR="00E5755A" w:rsidRPr="00E5755A" w:rsidRDefault="00E5755A" w:rsidP="00E5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358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ACFBF" w14:textId="77777777" w:rsidR="00E5755A" w:rsidRPr="00E5755A" w:rsidRDefault="00E5755A" w:rsidP="00E5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129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0B345" w14:textId="77777777" w:rsidR="00E5755A" w:rsidRPr="00E5755A" w:rsidRDefault="00E5755A" w:rsidP="00E575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E5755A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136</w:t>
            </w:r>
          </w:p>
        </w:tc>
      </w:tr>
    </w:tbl>
    <w:p w14:paraId="14F2E7DA" w14:textId="6584A46A" w:rsidR="00724B0D" w:rsidRPr="00DF1E5F" w:rsidRDefault="00A22053" w:rsidP="00DF1E5F">
      <w:pPr>
        <w:pStyle w:val="Heading3"/>
        <w:rPr>
          <w:sz w:val="20"/>
          <w:szCs w:val="20"/>
        </w:rPr>
      </w:pPr>
      <w:r w:rsidRPr="00A93922">
        <w:rPr>
          <w:sz w:val="20"/>
          <w:szCs w:val="20"/>
        </w:rPr>
        <w:t>Figure 5.1.</w:t>
      </w:r>
      <w:r w:rsidR="00951FD3">
        <w:rPr>
          <w:sz w:val="20"/>
          <w:szCs w:val="20"/>
        </w:rPr>
        <w:t>3</w:t>
      </w:r>
      <w:r w:rsidRPr="00A93922">
        <w:rPr>
          <w:sz w:val="20"/>
          <w:szCs w:val="20"/>
        </w:rPr>
        <w:t>: Income yielded from active LOAs by sector</w:t>
      </w:r>
    </w:p>
    <w:p w14:paraId="0F6E2AC4" w14:textId="0C738F9C" w:rsidR="00A22053" w:rsidRDefault="00A22053" w:rsidP="00A22053">
      <w:r>
        <w:rPr>
          <w:noProof/>
          <w:lang w:eastAsia="en-AU"/>
        </w:rPr>
        <w:drawing>
          <wp:inline distT="0" distB="0" distL="0" distR="0" wp14:anchorId="1AF07F82" wp14:editId="5EB416C5">
            <wp:extent cx="4468633" cy="2957885"/>
            <wp:effectExtent l="0" t="0" r="27305" b="1397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2A4B17B" w14:textId="77777777" w:rsidR="00A22053" w:rsidRDefault="00A22053" w:rsidP="00D05CB9">
      <w:pPr>
        <w:pStyle w:val="Heading3"/>
      </w:pPr>
      <w:r>
        <w:lastRenderedPageBreak/>
        <w:t>5.2</w:t>
      </w:r>
      <w:r w:rsidRPr="00756951">
        <w:tab/>
      </w:r>
      <w:r>
        <w:t>Start-up companies</w:t>
      </w:r>
      <w:r>
        <w:rPr>
          <w:rStyle w:val="FootnoteReference"/>
          <w:rFonts w:ascii="Arial" w:hAnsi="Arial" w:cs="Arial"/>
        </w:rPr>
        <w:footnoteReference w:id="3"/>
      </w:r>
    </w:p>
    <w:p w14:paraId="03395DB5" w14:textId="77777777" w:rsidR="00A22053" w:rsidRDefault="00A22053" w:rsidP="00A22053">
      <w:pPr>
        <w:rPr>
          <w:rFonts w:ascii="Arial" w:hAnsi="Arial" w:cs="Arial"/>
        </w:rPr>
      </w:pPr>
      <w:r w:rsidRPr="008B3FD0">
        <w:rPr>
          <w:rFonts w:ascii="Arial" w:hAnsi="Arial" w:cs="Arial"/>
        </w:rPr>
        <w:t xml:space="preserve">Start-up company </w:t>
      </w:r>
      <w:r>
        <w:rPr>
          <w:rFonts w:ascii="Arial" w:hAnsi="Arial" w:cs="Arial"/>
        </w:rPr>
        <w:t xml:space="preserve">formation is an indication of research commercialisation as start-up companies are partially or entirely dependent on upon the licensing or assignment of an institution’s technology for initiation. </w:t>
      </w:r>
    </w:p>
    <w:p w14:paraId="4ACC87B4" w14:textId="77777777" w:rsidR="00A22053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2014, ten new start-up companies were reported including five by universities, three by MRIs and two by PFRAs.</w:t>
      </w:r>
    </w:p>
    <w:p w14:paraId="52ECBA72" w14:textId="311EBF63" w:rsidR="00A22053" w:rsidRPr="00A93922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 w:rsidRPr="009F244E">
        <w:rPr>
          <w:rFonts w:ascii="Arial" w:hAnsi="Arial" w:cs="Arial"/>
          <w:sz w:val="20"/>
        </w:rPr>
        <w:t xml:space="preserve">The number of start-up companies reported </w:t>
      </w:r>
      <w:r>
        <w:rPr>
          <w:rFonts w:ascii="Arial" w:hAnsi="Arial" w:cs="Arial"/>
          <w:sz w:val="20"/>
        </w:rPr>
        <w:t>in 2014 is</w:t>
      </w:r>
      <w:r w:rsidRPr="009F244E">
        <w:rPr>
          <w:rFonts w:ascii="Arial" w:hAnsi="Arial" w:cs="Arial"/>
          <w:sz w:val="20"/>
        </w:rPr>
        <w:t xml:space="preserve"> substantially lower compared to previous year</w:t>
      </w:r>
      <w:r>
        <w:rPr>
          <w:rFonts w:ascii="Arial" w:hAnsi="Arial" w:cs="Arial"/>
          <w:sz w:val="20"/>
        </w:rPr>
        <w:t>s reporting;</w:t>
      </w:r>
      <w:r w:rsidRPr="009F244E">
        <w:rPr>
          <w:rFonts w:ascii="Arial" w:hAnsi="Arial" w:cs="Arial"/>
          <w:sz w:val="20"/>
        </w:rPr>
        <w:t xml:space="preserve"> 26 in 2013 and 22 in 2012.</w:t>
      </w:r>
    </w:p>
    <w:p w14:paraId="5EB99508" w14:textId="0EC97C3E" w:rsidR="00A22053" w:rsidRPr="00724B0D" w:rsidRDefault="00A22053" w:rsidP="00724B0D">
      <w:pPr>
        <w:pStyle w:val="Heading3"/>
        <w:spacing w:after="120" w:line="360" w:lineRule="auto"/>
        <w:rPr>
          <w:sz w:val="20"/>
          <w:szCs w:val="20"/>
        </w:rPr>
      </w:pPr>
      <w:r w:rsidRPr="00A93922">
        <w:rPr>
          <w:sz w:val="20"/>
          <w:szCs w:val="20"/>
        </w:rPr>
        <w:t>Table 5.2: Number of start-up companies</w:t>
      </w:r>
      <w:r w:rsidRPr="00A93922">
        <w:rPr>
          <w:rFonts w:ascii="Arial" w:eastAsia="Times New Roman" w:hAnsi="Arial" w:cs="Arial"/>
          <w:b w:val="0"/>
          <w:bCs w:val="0"/>
          <w:color w:val="000000"/>
          <w:sz w:val="20"/>
          <w:szCs w:val="20"/>
          <w:lang w:eastAsia="en-AU"/>
        </w:rPr>
        <w:t xml:space="preserve"> </w:t>
      </w:r>
    </w:p>
    <w:tbl>
      <w:tblPr>
        <w:tblW w:w="6564" w:type="dxa"/>
        <w:tblInd w:w="108" w:type="dxa"/>
        <w:tblLook w:val="04A0" w:firstRow="1" w:lastRow="0" w:firstColumn="1" w:lastColumn="0" w:noHBand="0" w:noVBand="1"/>
      </w:tblPr>
      <w:tblGrid>
        <w:gridCol w:w="1056"/>
        <w:gridCol w:w="1836"/>
        <w:gridCol w:w="1836"/>
        <w:gridCol w:w="1836"/>
      </w:tblGrid>
      <w:tr w:rsidR="00A22053" w:rsidRPr="00B40BB4" w14:paraId="4EA7597B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10974A25" w14:textId="77777777" w:rsidR="00A22053" w:rsidRPr="00B40BB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1704390C" w14:textId="77777777" w:rsidR="00A22053" w:rsidRPr="00B40BB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180D3F67" w14:textId="77777777" w:rsidR="00A22053" w:rsidRPr="00B40BB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4F46152E" w14:textId="77777777" w:rsidR="00A22053" w:rsidRPr="00B40BB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2014</w:t>
            </w:r>
          </w:p>
        </w:tc>
      </w:tr>
      <w:tr w:rsidR="00A22053" w:rsidRPr="00B40BB4" w14:paraId="6EF5CB1E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A060" w14:textId="77777777" w:rsidR="00A22053" w:rsidRPr="00B40BB4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PFR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A</w:t>
            </w:r>
            <w:r w:rsidRPr="00B40BB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2A70" w14:textId="77777777" w:rsidR="00A22053" w:rsidRPr="00B40BB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E0ED" w14:textId="77777777" w:rsidR="00A22053" w:rsidRPr="00B40BB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E6ED" w14:textId="77777777" w:rsidR="00A22053" w:rsidRPr="00B40BB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</w:t>
            </w:r>
          </w:p>
        </w:tc>
      </w:tr>
      <w:tr w:rsidR="00A22053" w:rsidRPr="00B40BB4" w14:paraId="1E75292C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E2081" w14:textId="77777777" w:rsidR="00A22053" w:rsidRPr="00B40BB4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UNIs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1D034" w14:textId="77777777" w:rsidR="00A22053" w:rsidRPr="00B40BB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D1E7A" w14:textId="77777777" w:rsidR="00A22053" w:rsidRPr="00B40BB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70204" w14:textId="77777777" w:rsidR="00A22053" w:rsidRPr="00B40BB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5</w:t>
            </w:r>
          </w:p>
        </w:tc>
      </w:tr>
      <w:tr w:rsidR="00A22053" w:rsidRPr="00B40BB4" w14:paraId="631B9795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4F09" w14:textId="77777777" w:rsidR="00A22053" w:rsidRPr="00B40BB4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MRIs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BBC6" w14:textId="77777777" w:rsidR="00A22053" w:rsidRPr="00B40BB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7AEA" w14:textId="77777777" w:rsidR="00A22053" w:rsidRPr="00B40BB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30A3" w14:textId="77777777" w:rsidR="00A22053" w:rsidRPr="00B40BB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</w:t>
            </w:r>
          </w:p>
        </w:tc>
      </w:tr>
      <w:tr w:rsidR="00A22053" w:rsidRPr="00B40BB4" w14:paraId="2A30F043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1C13" w14:textId="77777777" w:rsidR="00A22053" w:rsidRPr="00B40BB4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8E2CB" w14:textId="77777777" w:rsidR="00A22053" w:rsidRPr="00B40BB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129B7" w14:textId="77777777" w:rsidR="00A22053" w:rsidRPr="00B40BB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26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A0C27" w14:textId="77777777" w:rsidR="00A22053" w:rsidRPr="00B40BB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B40BB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10</w:t>
            </w:r>
          </w:p>
        </w:tc>
      </w:tr>
    </w:tbl>
    <w:p w14:paraId="327E07BE" w14:textId="77777777" w:rsidR="00A22053" w:rsidRDefault="00A22053" w:rsidP="00A22053"/>
    <w:p w14:paraId="27FBCFDA" w14:textId="77777777" w:rsidR="00A22053" w:rsidRDefault="00A22053" w:rsidP="00D05CB9">
      <w:pPr>
        <w:pStyle w:val="Heading3"/>
      </w:pPr>
      <w:r>
        <w:t>5.3</w:t>
      </w:r>
      <w:r w:rsidRPr="00756951">
        <w:tab/>
      </w:r>
      <w:r w:rsidRPr="007D5343">
        <w:t>Value of research commercialisation equity holding</w:t>
      </w:r>
      <w:r>
        <w:t>s</w:t>
      </w:r>
    </w:p>
    <w:p w14:paraId="0261B125" w14:textId="77777777" w:rsidR="00A22053" w:rsidRPr="00267942" w:rsidRDefault="00A22053" w:rsidP="00A22053">
      <w:pPr>
        <w:rPr>
          <w:rFonts w:ascii="Arial" w:hAnsi="Arial" w:cs="Arial"/>
        </w:rPr>
      </w:pPr>
      <w:r w:rsidRPr="00267942">
        <w:rPr>
          <w:rFonts w:ascii="Arial" w:hAnsi="Arial" w:cs="Arial"/>
        </w:rPr>
        <w:t xml:space="preserve">The value of equity holdings refers to </w:t>
      </w:r>
      <w:r w:rsidRPr="00D97E01">
        <w:rPr>
          <w:rFonts w:ascii="Arial" w:hAnsi="Arial" w:cs="Arial"/>
        </w:rPr>
        <w:t>equity that is related to the licensing/intellectual property assignment activity of the institution</w:t>
      </w:r>
      <w:r>
        <w:rPr>
          <w:rFonts w:ascii="Arial" w:hAnsi="Arial" w:cs="Arial"/>
        </w:rPr>
        <w:t>.</w:t>
      </w:r>
    </w:p>
    <w:p w14:paraId="78D58ED6" w14:textId="77777777" w:rsidR="00A22053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2014, there was a 30.6% reduction in the value of equity holdings by research organisations compared to 2013.</w:t>
      </w:r>
      <w:r w:rsidRPr="00B5348D">
        <w:rPr>
          <w:rFonts w:ascii="Arial" w:hAnsi="Arial" w:cs="Arial"/>
          <w:sz w:val="20"/>
        </w:rPr>
        <w:t xml:space="preserve"> However, the 2014 equity holdings figures are broadly similar to 2012 data.</w:t>
      </w:r>
    </w:p>
    <w:p w14:paraId="33D5A301" w14:textId="77777777" w:rsidR="00A22053" w:rsidRPr="00FA3157" w:rsidRDefault="00A22053" w:rsidP="00A22053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B5348D">
        <w:rPr>
          <w:rFonts w:ascii="Arial" w:hAnsi="Arial" w:cs="Arial"/>
          <w:sz w:val="20"/>
        </w:rPr>
        <w:t xml:space="preserve">The university sector holds </w:t>
      </w:r>
      <w:r>
        <w:rPr>
          <w:rFonts w:ascii="Arial" w:hAnsi="Arial" w:cs="Arial"/>
          <w:sz w:val="20"/>
        </w:rPr>
        <w:t>$</w:t>
      </w:r>
      <w:r w:rsidRPr="00B5348D">
        <w:rPr>
          <w:rFonts w:ascii="Arial" w:hAnsi="Arial" w:cs="Arial"/>
          <w:sz w:val="20"/>
        </w:rPr>
        <w:t>68 million</w:t>
      </w:r>
      <w:r>
        <w:rPr>
          <w:rFonts w:ascii="Arial" w:hAnsi="Arial" w:cs="Arial"/>
          <w:sz w:val="20"/>
        </w:rPr>
        <w:t>, 66.67%,</w:t>
      </w:r>
      <w:r w:rsidRPr="00B5348D">
        <w:rPr>
          <w:rFonts w:ascii="Arial" w:hAnsi="Arial" w:cs="Arial"/>
          <w:sz w:val="20"/>
        </w:rPr>
        <w:t xml:space="preserve"> of the total resea</w:t>
      </w:r>
      <w:r>
        <w:rPr>
          <w:rFonts w:ascii="Arial" w:hAnsi="Arial" w:cs="Arial"/>
          <w:sz w:val="20"/>
        </w:rPr>
        <w:t>rch commercialisation equity ($</w:t>
      </w:r>
      <w:r w:rsidRPr="00B5348D">
        <w:rPr>
          <w:rFonts w:ascii="Arial" w:hAnsi="Arial" w:cs="Arial"/>
          <w:sz w:val="20"/>
        </w:rPr>
        <w:t xml:space="preserve">102 million) held by surveyed organisations in 2014. </w:t>
      </w:r>
    </w:p>
    <w:p w14:paraId="25DB2020" w14:textId="77777777" w:rsidR="00A22053" w:rsidRPr="00A93922" w:rsidRDefault="00A22053" w:rsidP="00724B0D">
      <w:pPr>
        <w:pStyle w:val="Heading3"/>
        <w:spacing w:after="120" w:line="360" w:lineRule="auto"/>
        <w:rPr>
          <w:sz w:val="20"/>
          <w:szCs w:val="20"/>
        </w:rPr>
      </w:pPr>
      <w:r w:rsidRPr="00A93922">
        <w:rPr>
          <w:sz w:val="20"/>
          <w:szCs w:val="20"/>
        </w:rPr>
        <w:t>Table 5.3: Value of research commercialisation equity holdings ($ Million)</w:t>
      </w:r>
    </w:p>
    <w:tbl>
      <w:tblPr>
        <w:tblW w:w="6564" w:type="dxa"/>
        <w:tblInd w:w="108" w:type="dxa"/>
        <w:tblLook w:val="04A0" w:firstRow="1" w:lastRow="0" w:firstColumn="1" w:lastColumn="0" w:noHBand="0" w:noVBand="1"/>
      </w:tblPr>
      <w:tblGrid>
        <w:gridCol w:w="1056"/>
        <w:gridCol w:w="1836"/>
        <w:gridCol w:w="1836"/>
        <w:gridCol w:w="1836"/>
      </w:tblGrid>
      <w:tr w:rsidR="00A22053" w:rsidRPr="00267942" w14:paraId="0427C0F7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626C3F65" w14:textId="77777777" w:rsidR="00A22053" w:rsidRPr="0026794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6DC8E260" w14:textId="77777777" w:rsidR="00A22053" w:rsidRPr="0093795E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n-AU"/>
              </w:rPr>
            </w:pPr>
            <w:r w:rsidRPr="0093795E">
              <w:rPr>
                <w:rFonts w:ascii="Arial" w:eastAsia="Times New Roman" w:hAnsi="Arial" w:cs="Arial"/>
                <w:b/>
                <w:color w:val="000000"/>
                <w:szCs w:val="20"/>
                <w:lang w:eastAsia="en-AU"/>
              </w:rPr>
              <w:t>2012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4EA1712A" w14:textId="77777777" w:rsidR="00A22053" w:rsidRPr="0026794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27F2E81" w14:textId="77777777" w:rsidR="00A22053" w:rsidRPr="0026794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2014</w:t>
            </w:r>
          </w:p>
        </w:tc>
      </w:tr>
      <w:tr w:rsidR="00A22053" w:rsidRPr="00267942" w14:paraId="420C3546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7CC1" w14:textId="77777777" w:rsidR="00A22053" w:rsidRPr="00267942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PFROs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B45B" w14:textId="77777777" w:rsidR="00A22053" w:rsidRPr="0026794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E265" w14:textId="77777777" w:rsidR="00A22053" w:rsidRPr="0026794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26A5" w14:textId="77777777" w:rsidR="00A22053" w:rsidRPr="0026794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20</w:t>
            </w:r>
          </w:p>
        </w:tc>
      </w:tr>
      <w:tr w:rsidR="00A22053" w:rsidRPr="00267942" w14:paraId="5B4A1CBC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49425" w14:textId="77777777" w:rsidR="00A22053" w:rsidRPr="00267942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UNIs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447DA" w14:textId="77777777" w:rsidR="00A22053" w:rsidRPr="0026794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66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54C11" w14:textId="77777777" w:rsidR="00A22053" w:rsidRPr="0026794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3E1CD" w14:textId="77777777" w:rsidR="00A22053" w:rsidRPr="0026794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68</w:t>
            </w:r>
          </w:p>
        </w:tc>
      </w:tr>
      <w:tr w:rsidR="00A22053" w:rsidRPr="00267942" w14:paraId="4623B838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3908" w14:textId="77777777" w:rsidR="00A22053" w:rsidRPr="00267942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MRIs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AE7D" w14:textId="77777777" w:rsidR="00A22053" w:rsidRPr="0026794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CF4C" w14:textId="77777777" w:rsidR="00A22053" w:rsidRPr="0026794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60F1" w14:textId="77777777" w:rsidR="00A22053" w:rsidRPr="0026794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14</w:t>
            </w:r>
          </w:p>
        </w:tc>
      </w:tr>
      <w:tr w:rsidR="00A22053" w:rsidRPr="00267942" w14:paraId="42831381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F1ECC" w14:textId="77777777" w:rsidR="00A22053" w:rsidRPr="00267942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D6BDF" w14:textId="77777777" w:rsidR="00A22053" w:rsidRPr="0026794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101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03C35" w14:textId="77777777" w:rsidR="00A22053" w:rsidRPr="0026794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269D7" w14:textId="77777777" w:rsidR="00A22053" w:rsidRPr="0026794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267942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102</w:t>
            </w:r>
          </w:p>
        </w:tc>
      </w:tr>
    </w:tbl>
    <w:p w14:paraId="399010C2" w14:textId="77777777" w:rsidR="00A22053" w:rsidRDefault="00A22053" w:rsidP="00A22053"/>
    <w:p w14:paraId="66DFB499" w14:textId="77777777" w:rsidR="00A22053" w:rsidRPr="00A93922" w:rsidRDefault="00A22053" w:rsidP="00724B0D">
      <w:pPr>
        <w:pStyle w:val="Heading3"/>
        <w:spacing w:after="120" w:line="360" w:lineRule="auto"/>
        <w:rPr>
          <w:sz w:val="20"/>
          <w:szCs w:val="20"/>
        </w:rPr>
      </w:pPr>
      <w:r w:rsidRPr="00A93922">
        <w:rPr>
          <w:sz w:val="20"/>
          <w:szCs w:val="20"/>
        </w:rPr>
        <w:lastRenderedPageBreak/>
        <w:t>Figure 5.3: Value of research commercialisation equity holdings by sector</w:t>
      </w:r>
    </w:p>
    <w:p w14:paraId="2F202E6B" w14:textId="77777777" w:rsidR="00A22053" w:rsidRDefault="00A22053" w:rsidP="00A22053">
      <w:r>
        <w:rPr>
          <w:noProof/>
          <w:lang w:eastAsia="en-AU"/>
        </w:rPr>
        <w:drawing>
          <wp:inline distT="0" distB="0" distL="0" distR="0" wp14:anchorId="33F54489" wp14:editId="63530CB1">
            <wp:extent cx="4500438" cy="2615979"/>
            <wp:effectExtent l="0" t="0" r="14605" b="1333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0A19ABD" w14:textId="77777777" w:rsidR="00A22053" w:rsidRDefault="00A22053" w:rsidP="00A22053"/>
    <w:p w14:paraId="52B9EC4C" w14:textId="69301738" w:rsidR="00A22053" w:rsidRDefault="00A22053" w:rsidP="00724B0D">
      <w:pPr>
        <w:pStyle w:val="Heading3"/>
        <w:numPr>
          <w:ilvl w:val="1"/>
          <w:numId w:val="18"/>
        </w:numPr>
      </w:pPr>
      <w:r w:rsidRPr="00B16BA1">
        <w:t>Number of</w:t>
      </w:r>
      <w:r>
        <w:t xml:space="preserve"> Research </w:t>
      </w:r>
      <w:r w:rsidRPr="00B16BA1">
        <w:t>Contracts</w:t>
      </w:r>
      <w:r>
        <w:t>, C</w:t>
      </w:r>
      <w:r w:rsidRPr="00B16BA1">
        <w:t>onsultanc</w:t>
      </w:r>
      <w:r>
        <w:t>ies and Collaborations</w:t>
      </w:r>
    </w:p>
    <w:p w14:paraId="41AAFCD2" w14:textId="77777777" w:rsidR="00A22053" w:rsidRDefault="00A22053" w:rsidP="00A22053">
      <w:pPr>
        <w:rPr>
          <w:rFonts w:ascii="Arial" w:hAnsi="Arial" w:cs="Arial"/>
        </w:rPr>
      </w:pPr>
      <w:r w:rsidRPr="00306107">
        <w:rPr>
          <w:rFonts w:ascii="Arial" w:hAnsi="Arial" w:cs="Arial"/>
        </w:rPr>
        <w:t>The number of research contracts</w:t>
      </w:r>
      <w:r>
        <w:rPr>
          <w:rFonts w:ascii="Arial" w:hAnsi="Arial" w:cs="Arial"/>
        </w:rPr>
        <w:t>,</w:t>
      </w:r>
      <w:r w:rsidRPr="00306107">
        <w:rPr>
          <w:rFonts w:ascii="Arial" w:hAnsi="Arial" w:cs="Arial"/>
        </w:rPr>
        <w:t xml:space="preserve"> consultancies </w:t>
      </w:r>
      <w:r>
        <w:rPr>
          <w:rFonts w:ascii="Arial" w:hAnsi="Arial" w:cs="Arial"/>
        </w:rPr>
        <w:t xml:space="preserve">and collaborations </w:t>
      </w:r>
      <w:r w:rsidRPr="00306107">
        <w:rPr>
          <w:rFonts w:ascii="Arial" w:hAnsi="Arial" w:cs="Arial"/>
        </w:rPr>
        <w:t xml:space="preserve">provide useful insights on </w:t>
      </w:r>
      <w:r>
        <w:rPr>
          <w:rFonts w:ascii="Arial" w:hAnsi="Arial" w:cs="Arial"/>
        </w:rPr>
        <w:t xml:space="preserve">levels of engagement between research organisations and end users particularly industry partners at an early stage in the commercialisation pipeline. </w:t>
      </w:r>
    </w:p>
    <w:p w14:paraId="57B1E818" w14:textId="77777777" w:rsidR="00A22053" w:rsidRPr="00CF3F57" w:rsidRDefault="00A22053" w:rsidP="00A22053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CF3F57">
        <w:rPr>
          <w:rFonts w:ascii="Arial" w:hAnsi="Arial" w:cs="Arial"/>
          <w:sz w:val="20"/>
        </w:rPr>
        <w:t xml:space="preserve">In 2014, surveyed research organisations entered into </w:t>
      </w:r>
      <w:r>
        <w:rPr>
          <w:rFonts w:ascii="Arial" w:hAnsi="Arial" w:cs="Arial"/>
          <w:sz w:val="20"/>
        </w:rPr>
        <w:t xml:space="preserve">15,463 </w:t>
      </w:r>
      <w:r w:rsidRPr="00CF3F57">
        <w:rPr>
          <w:rFonts w:ascii="Arial" w:hAnsi="Arial" w:cs="Arial"/>
          <w:sz w:val="20"/>
        </w:rPr>
        <w:t>research contracts, consultancies and collaborations</w:t>
      </w:r>
      <w:r>
        <w:rPr>
          <w:rFonts w:ascii="Arial" w:hAnsi="Arial" w:cs="Arial"/>
          <w:sz w:val="20"/>
        </w:rPr>
        <w:t xml:space="preserve"> representing</w:t>
      </w:r>
      <w:r w:rsidRPr="00CF3F57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 xml:space="preserve">26.5 </w:t>
      </w:r>
      <w:r w:rsidRPr="00CF3F57">
        <w:rPr>
          <w:rFonts w:ascii="Arial" w:hAnsi="Arial" w:cs="Arial"/>
          <w:sz w:val="20"/>
        </w:rPr>
        <w:t xml:space="preserve">increase from the previous year. </w:t>
      </w:r>
    </w:p>
    <w:p w14:paraId="5F21B875" w14:textId="77777777" w:rsidR="00A22053" w:rsidRPr="00212476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 w:rsidRPr="008E38AC">
        <w:rPr>
          <w:rFonts w:ascii="Arial" w:hAnsi="Arial" w:cs="Arial"/>
          <w:sz w:val="20"/>
        </w:rPr>
        <w:t>In 2014, MRIs</w:t>
      </w:r>
      <w:r>
        <w:rPr>
          <w:rStyle w:val="FootnoteReference"/>
          <w:rFonts w:ascii="Arial" w:hAnsi="Arial" w:cs="Arial"/>
          <w:sz w:val="20"/>
        </w:rPr>
        <w:footnoteReference w:id="4"/>
      </w:r>
      <w:r w:rsidRPr="008E38AC">
        <w:rPr>
          <w:rFonts w:ascii="Arial" w:hAnsi="Arial" w:cs="Arial"/>
          <w:sz w:val="20"/>
        </w:rPr>
        <w:t xml:space="preserve"> and PFRAs</w:t>
      </w:r>
      <w:r>
        <w:rPr>
          <w:rStyle w:val="FootnoteReference"/>
          <w:rFonts w:ascii="Arial" w:hAnsi="Arial" w:cs="Arial"/>
          <w:sz w:val="20"/>
        </w:rPr>
        <w:footnoteReference w:id="5"/>
      </w:r>
      <w:r w:rsidRPr="008E38AC">
        <w:rPr>
          <w:rFonts w:ascii="Arial" w:hAnsi="Arial" w:cs="Arial"/>
          <w:sz w:val="20"/>
        </w:rPr>
        <w:t xml:space="preserve"> reported substantial growth in the number of research contracts, consultancies </w:t>
      </w:r>
      <w:r w:rsidRPr="007607AF">
        <w:rPr>
          <w:rFonts w:ascii="Arial" w:hAnsi="Arial" w:cs="Arial"/>
          <w:sz w:val="20"/>
        </w:rPr>
        <w:t xml:space="preserve">and collaborations. </w:t>
      </w:r>
      <w:r w:rsidRPr="008E38AC">
        <w:rPr>
          <w:rFonts w:ascii="Arial" w:hAnsi="Arial" w:cs="Arial"/>
          <w:sz w:val="20"/>
        </w:rPr>
        <w:t xml:space="preserve">Universities held 11,966 research contracts, consultancies and collaborations, </w:t>
      </w:r>
      <w:r>
        <w:rPr>
          <w:rFonts w:ascii="Arial" w:hAnsi="Arial" w:cs="Arial"/>
          <w:sz w:val="20"/>
        </w:rPr>
        <w:t>77.4 %</w:t>
      </w:r>
      <w:r w:rsidRPr="008E38AC">
        <w:rPr>
          <w:rFonts w:ascii="Arial" w:hAnsi="Arial" w:cs="Arial"/>
          <w:sz w:val="20"/>
        </w:rPr>
        <w:t xml:space="preserve"> of the total in 2014.</w:t>
      </w:r>
    </w:p>
    <w:p w14:paraId="2BAE553E" w14:textId="77777777" w:rsidR="00A22053" w:rsidRPr="00A93922" w:rsidRDefault="00A22053" w:rsidP="00724B0D">
      <w:pPr>
        <w:pStyle w:val="Heading3"/>
        <w:spacing w:after="120" w:line="360" w:lineRule="auto"/>
        <w:rPr>
          <w:sz w:val="20"/>
          <w:szCs w:val="20"/>
        </w:rPr>
      </w:pPr>
      <w:r w:rsidRPr="00A93922">
        <w:rPr>
          <w:sz w:val="20"/>
          <w:szCs w:val="20"/>
        </w:rPr>
        <w:t xml:space="preserve">Table 5.4: Number of contracts, consultancies and collaborations </w:t>
      </w:r>
    </w:p>
    <w:tbl>
      <w:tblPr>
        <w:tblW w:w="6564" w:type="dxa"/>
        <w:tblInd w:w="108" w:type="dxa"/>
        <w:tblLook w:val="04A0" w:firstRow="1" w:lastRow="0" w:firstColumn="1" w:lastColumn="0" w:noHBand="0" w:noVBand="1"/>
      </w:tblPr>
      <w:tblGrid>
        <w:gridCol w:w="1056"/>
        <w:gridCol w:w="1836"/>
        <w:gridCol w:w="1836"/>
        <w:gridCol w:w="1836"/>
      </w:tblGrid>
      <w:tr w:rsidR="00A22053" w:rsidRPr="00133504" w14:paraId="47B86BE3" w14:textId="77777777" w:rsidTr="0057682D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5A090536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719D2B8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24B5981D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65995E02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2014</w:t>
            </w:r>
          </w:p>
        </w:tc>
      </w:tr>
      <w:tr w:rsidR="00A22053" w:rsidRPr="00133504" w14:paraId="2DBC9224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B24B" w14:textId="77777777" w:rsidR="00A22053" w:rsidRPr="00133504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PFRAs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9E05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1,994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F731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1,965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D052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2,299</w:t>
            </w:r>
          </w:p>
        </w:tc>
      </w:tr>
      <w:tr w:rsidR="00A22053" w:rsidRPr="00133504" w14:paraId="49B9F028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F29F9" w14:textId="77777777" w:rsidR="00A22053" w:rsidRPr="00133504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UNIs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A0675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8,915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6778B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10,046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4DC73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11,966 </w:t>
            </w:r>
          </w:p>
        </w:tc>
      </w:tr>
      <w:tr w:rsidR="00A22053" w:rsidRPr="00133504" w14:paraId="0A1376F4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1A33" w14:textId="77777777" w:rsidR="00A22053" w:rsidRPr="00133504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MRIs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1767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237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B471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217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2DC9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1,198 </w:t>
            </w:r>
          </w:p>
        </w:tc>
      </w:tr>
      <w:tr w:rsidR="00A22053" w:rsidRPr="00133504" w14:paraId="5E9FAC5D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71694" w14:textId="77777777" w:rsidR="00A22053" w:rsidRPr="00133504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9FE7D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11,146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4C944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12,228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A16F6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15,463</w:t>
            </w:r>
          </w:p>
        </w:tc>
      </w:tr>
    </w:tbl>
    <w:p w14:paraId="2EA45330" w14:textId="77777777" w:rsidR="00A22053" w:rsidRDefault="00A22053" w:rsidP="00A22053"/>
    <w:p w14:paraId="71182563" w14:textId="77777777" w:rsidR="00A22053" w:rsidRPr="00A93922" w:rsidRDefault="00A22053" w:rsidP="00724B0D">
      <w:pPr>
        <w:pStyle w:val="Heading3"/>
        <w:spacing w:after="120" w:line="360" w:lineRule="auto"/>
        <w:rPr>
          <w:sz w:val="20"/>
          <w:szCs w:val="20"/>
        </w:rPr>
      </w:pPr>
      <w:r w:rsidRPr="00A93922">
        <w:rPr>
          <w:sz w:val="20"/>
          <w:szCs w:val="20"/>
        </w:rPr>
        <w:lastRenderedPageBreak/>
        <w:t>Figure 5.4: Number of contracts, consultancies and collaborations by sector</w:t>
      </w:r>
    </w:p>
    <w:p w14:paraId="465F35B5" w14:textId="77777777" w:rsidR="00A22053" w:rsidRPr="0093795E" w:rsidRDefault="00A22053" w:rsidP="00A22053">
      <w:pPr>
        <w:rPr>
          <w:rFonts w:ascii="Arial" w:hAnsi="Arial" w:cs="Arial"/>
          <w:b/>
        </w:rPr>
      </w:pPr>
      <w:r>
        <w:rPr>
          <w:noProof/>
          <w:lang w:eastAsia="en-AU"/>
        </w:rPr>
        <w:drawing>
          <wp:inline distT="0" distB="0" distL="0" distR="0" wp14:anchorId="041AC2BD" wp14:editId="11AD775F">
            <wp:extent cx="4810125" cy="3224213"/>
            <wp:effectExtent l="0" t="0" r="9525" b="1460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02CCC1E" w14:textId="77777777" w:rsidR="00A22053" w:rsidRDefault="00A22053" w:rsidP="00A93922">
      <w:pPr>
        <w:rPr>
          <w:rFonts w:ascii="Arial" w:hAnsi="Arial" w:cs="Arial"/>
          <w:b/>
        </w:rPr>
      </w:pPr>
    </w:p>
    <w:p w14:paraId="519F3832" w14:textId="77777777" w:rsidR="00A22053" w:rsidRDefault="00A22053" w:rsidP="00D05CB9">
      <w:pPr>
        <w:pStyle w:val="Heading3"/>
      </w:pPr>
      <w:r w:rsidRPr="006124DA">
        <w:t>5.</w:t>
      </w:r>
      <w:r>
        <w:t>5</w:t>
      </w:r>
      <w:r>
        <w:tab/>
        <w:t xml:space="preserve">Value </w:t>
      </w:r>
      <w:r w:rsidRPr="00B16BA1">
        <w:t>of</w:t>
      </w:r>
      <w:r>
        <w:t xml:space="preserve"> Research </w:t>
      </w:r>
      <w:r w:rsidRPr="00B16BA1">
        <w:t>Contracts</w:t>
      </w:r>
      <w:r>
        <w:t>, C</w:t>
      </w:r>
      <w:r w:rsidRPr="00B16BA1">
        <w:t>onsultanc</w:t>
      </w:r>
      <w:r>
        <w:t>ies and Collaborations</w:t>
      </w:r>
    </w:p>
    <w:p w14:paraId="643BB0D4" w14:textId="77777777" w:rsidR="00A22053" w:rsidRDefault="00A22053" w:rsidP="00A22053">
      <w:pPr>
        <w:rPr>
          <w:rFonts w:ascii="Arial" w:hAnsi="Arial" w:cs="Arial"/>
        </w:rPr>
      </w:pPr>
      <w:r w:rsidRPr="00306107">
        <w:rPr>
          <w:rFonts w:ascii="Arial" w:hAnsi="Arial" w:cs="Arial"/>
        </w:rPr>
        <w:t>The value of research contracts</w:t>
      </w:r>
      <w:r>
        <w:rPr>
          <w:rFonts w:ascii="Arial" w:hAnsi="Arial" w:cs="Arial"/>
        </w:rPr>
        <w:t>,</w:t>
      </w:r>
      <w:r w:rsidRPr="00306107">
        <w:rPr>
          <w:rFonts w:ascii="Arial" w:hAnsi="Arial" w:cs="Arial"/>
        </w:rPr>
        <w:t xml:space="preserve"> consultancies</w:t>
      </w:r>
      <w:r>
        <w:rPr>
          <w:rFonts w:ascii="Arial" w:hAnsi="Arial" w:cs="Arial"/>
        </w:rPr>
        <w:t xml:space="preserve"> and collaborations shows the income generated by research organisations from end users particularly industry partners.</w:t>
      </w:r>
    </w:p>
    <w:p w14:paraId="60FB94FF" w14:textId="1293193C" w:rsidR="00A22053" w:rsidRPr="00A739DC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EB5B3D">
        <w:rPr>
          <w:rFonts w:ascii="Arial" w:hAnsi="Arial" w:cs="Arial"/>
          <w:sz w:val="20"/>
        </w:rPr>
        <w:t xml:space="preserve">he total value of the research contracts, consultancies and collaborations </w:t>
      </w:r>
      <w:r>
        <w:rPr>
          <w:rFonts w:ascii="Arial" w:hAnsi="Arial" w:cs="Arial"/>
          <w:sz w:val="20"/>
        </w:rPr>
        <w:t>increased</w:t>
      </w:r>
      <w:r w:rsidR="00C26BCC">
        <w:rPr>
          <w:rFonts w:ascii="Arial" w:hAnsi="Arial" w:cs="Arial"/>
          <w:sz w:val="20"/>
        </w:rPr>
        <w:t xml:space="preserve"> from $1,598 million in 2013 to</w:t>
      </w:r>
      <w:r w:rsidRPr="00EB5B3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$1,808 million in 2014, a 13% increase. </w:t>
      </w:r>
    </w:p>
    <w:p w14:paraId="2E8FEEA1" w14:textId="77777777" w:rsidR="00A22053" w:rsidRPr="00212476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2014, there was an 86.4% increase in income arising from research contracts, consultancies and collaborations for MRIs, from $39 million in 2013 to $72 million in 2014. </w:t>
      </w:r>
    </w:p>
    <w:p w14:paraId="62C250DB" w14:textId="780CB93B" w:rsidR="00D05CB9" w:rsidRDefault="00A22053" w:rsidP="00724B0D">
      <w:pPr>
        <w:pStyle w:val="Heading3"/>
        <w:spacing w:after="120"/>
      </w:pPr>
      <w:r w:rsidRPr="00A53486">
        <w:rPr>
          <w:rFonts w:ascii="Arial" w:hAnsi="Arial" w:cs="Arial"/>
          <w:sz w:val="20"/>
        </w:rPr>
        <w:t>Table 5.</w:t>
      </w:r>
      <w:r>
        <w:rPr>
          <w:rFonts w:ascii="Arial" w:hAnsi="Arial" w:cs="Arial"/>
          <w:sz w:val="20"/>
        </w:rPr>
        <w:t>5</w:t>
      </w:r>
      <w:r w:rsidRPr="00A53486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Value</w:t>
      </w:r>
      <w:r w:rsidRPr="00A53486">
        <w:rPr>
          <w:rFonts w:ascii="Arial" w:hAnsi="Arial" w:cs="Arial"/>
          <w:sz w:val="20"/>
        </w:rPr>
        <w:t xml:space="preserve"> of contracts</w:t>
      </w:r>
      <w:r>
        <w:rPr>
          <w:rFonts w:ascii="Arial" w:hAnsi="Arial" w:cs="Arial"/>
          <w:sz w:val="20"/>
        </w:rPr>
        <w:t>,</w:t>
      </w:r>
      <w:r w:rsidRPr="00A53486">
        <w:rPr>
          <w:rFonts w:ascii="Arial" w:hAnsi="Arial" w:cs="Arial"/>
          <w:sz w:val="20"/>
        </w:rPr>
        <w:t xml:space="preserve"> consultanc</w:t>
      </w:r>
      <w:r>
        <w:rPr>
          <w:rFonts w:ascii="Arial" w:hAnsi="Arial" w:cs="Arial"/>
          <w:sz w:val="20"/>
        </w:rPr>
        <w:t>ies and collaborations ($ Millions)</w:t>
      </w:r>
    </w:p>
    <w:tbl>
      <w:tblPr>
        <w:tblW w:w="6564" w:type="dxa"/>
        <w:tblInd w:w="108" w:type="dxa"/>
        <w:tblLook w:val="04A0" w:firstRow="1" w:lastRow="0" w:firstColumn="1" w:lastColumn="0" w:noHBand="0" w:noVBand="1"/>
      </w:tblPr>
      <w:tblGrid>
        <w:gridCol w:w="1056"/>
        <w:gridCol w:w="1836"/>
        <w:gridCol w:w="1836"/>
        <w:gridCol w:w="1836"/>
      </w:tblGrid>
      <w:tr w:rsidR="00A22053" w:rsidRPr="00133504" w14:paraId="29ACFF94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49308BF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47C37814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30E2784D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B2DDE10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2014</w:t>
            </w:r>
          </w:p>
        </w:tc>
      </w:tr>
      <w:tr w:rsidR="00A22053" w:rsidRPr="00133504" w14:paraId="4A6C799B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9CAA" w14:textId="77777777" w:rsidR="00A22053" w:rsidRPr="00133504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PFRAs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2609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417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FFE9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391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62E9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384</w:t>
            </w:r>
          </w:p>
        </w:tc>
      </w:tr>
      <w:tr w:rsidR="00A22053" w:rsidRPr="00133504" w14:paraId="6DF519EE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21DE7" w14:textId="77777777" w:rsidR="00A22053" w:rsidRPr="00133504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UNIs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204A8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951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95D6C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1,1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68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1E183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1,352 </w:t>
            </w:r>
          </w:p>
        </w:tc>
      </w:tr>
      <w:tr w:rsidR="00A22053" w:rsidRPr="00133504" w14:paraId="5E945603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BA44" w14:textId="77777777" w:rsidR="00A22053" w:rsidRPr="00133504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MRIs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B7D1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40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A32A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8516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 xml:space="preserve">72 </w:t>
            </w:r>
          </w:p>
        </w:tc>
      </w:tr>
      <w:tr w:rsidR="00A22053" w:rsidRPr="00133504" w14:paraId="5D285510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493B1" w14:textId="77777777" w:rsidR="00A22053" w:rsidRPr="00133504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13350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2EF00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1,408</w:t>
            </w:r>
            <w:r w:rsidRPr="0013350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7BD05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1,598</w:t>
            </w:r>
            <w:r w:rsidRPr="00133504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B69D7" w14:textId="77777777" w:rsidR="00A22053" w:rsidRPr="00133504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1,808</w:t>
            </w:r>
          </w:p>
        </w:tc>
      </w:tr>
    </w:tbl>
    <w:p w14:paraId="6F543FAB" w14:textId="77777777" w:rsidR="00A22053" w:rsidRPr="00A93922" w:rsidRDefault="00A22053" w:rsidP="00A22053">
      <w:pPr>
        <w:rPr>
          <w:szCs w:val="20"/>
        </w:rPr>
      </w:pPr>
    </w:p>
    <w:p w14:paraId="0E1B82CD" w14:textId="77777777" w:rsidR="00A22053" w:rsidRPr="00A93922" w:rsidRDefault="00A22053" w:rsidP="00724B0D">
      <w:pPr>
        <w:pStyle w:val="Heading3"/>
        <w:spacing w:after="120"/>
        <w:rPr>
          <w:sz w:val="20"/>
          <w:szCs w:val="20"/>
        </w:rPr>
      </w:pPr>
      <w:r w:rsidRPr="00A93922">
        <w:rPr>
          <w:sz w:val="20"/>
          <w:szCs w:val="20"/>
        </w:rPr>
        <w:lastRenderedPageBreak/>
        <w:t>Figure 5.5: Value of contracts, consultancies and collaborations by sector</w:t>
      </w:r>
    </w:p>
    <w:p w14:paraId="4F630ACE" w14:textId="69D580E8" w:rsidR="00A22053" w:rsidRDefault="00A22053" w:rsidP="00A22053">
      <w:pPr>
        <w:rPr>
          <w:rFonts w:ascii="Arial" w:hAnsi="Arial" w:cs="Arial"/>
          <w:b/>
        </w:rPr>
      </w:pPr>
      <w:r>
        <w:rPr>
          <w:noProof/>
          <w:lang w:eastAsia="en-AU"/>
        </w:rPr>
        <w:drawing>
          <wp:inline distT="0" distB="0" distL="0" distR="0" wp14:anchorId="46C93F85" wp14:editId="31969A26">
            <wp:extent cx="4810125" cy="3252788"/>
            <wp:effectExtent l="0" t="0" r="9525" b="2413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5A272CE" w14:textId="00EA2F82" w:rsidR="00A22053" w:rsidRDefault="00A22053" w:rsidP="00D05CB9">
      <w:pPr>
        <w:pStyle w:val="Heading2"/>
        <w:numPr>
          <w:ilvl w:val="0"/>
          <w:numId w:val="18"/>
        </w:numPr>
      </w:pPr>
      <w:r>
        <w:t xml:space="preserve">Industry </w:t>
      </w:r>
      <w:r w:rsidRPr="005560DE">
        <w:t xml:space="preserve">Skills </w:t>
      </w:r>
      <w:r>
        <w:t>Training</w:t>
      </w:r>
    </w:p>
    <w:p w14:paraId="641B06E0" w14:textId="77777777" w:rsidR="00A22053" w:rsidRDefault="00A22053" w:rsidP="00A22053">
      <w:pPr>
        <w:pStyle w:val="ListParagraph"/>
        <w:spacing w:after="360"/>
        <w:ind w:left="360"/>
        <w:rPr>
          <w:rFonts w:ascii="Tahoma" w:hAnsi="Tahoma" w:cs="Tahoma"/>
          <w:color w:val="666666"/>
          <w:sz w:val="18"/>
          <w:szCs w:val="18"/>
          <w:lang w:val="en"/>
        </w:rPr>
      </w:pPr>
    </w:p>
    <w:p w14:paraId="7BE3A87F" w14:textId="77777777" w:rsidR="00A22053" w:rsidRPr="00DA0678" w:rsidRDefault="00A22053" w:rsidP="00724B0D">
      <w:pPr>
        <w:pStyle w:val="ListParagraph"/>
        <w:spacing w:after="360"/>
        <w:ind w:left="0"/>
        <w:rPr>
          <w:rFonts w:ascii="Arial" w:hAnsi="Arial" w:cs="Arial"/>
          <w:sz w:val="20"/>
        </w:rPr>
      </w:pPr>
      <w:r w:rsidRPr="00DA0678">
        <w:rPr>
          <w:rFonts w:ascii="Arial" w:hAnsi="Arial" w:cs="Arial"/>
          <w:sz w:val="20"/>
        </w:rPr>
        <w:t xml:space="preserve">Industry skills prepare researchers and research students for </w:t>
      </w:r>
      <w:r>
        <w:rPr>
          <w:rFonts w:ascii="Arial" w:hAnsi="Arial" w:cs="Arial"/>
          <w:sz w:val="20"/>
        </w:rPr>
        <w:t>collaborating with industry from within research organisations as well as preparing them for jobs in</w:t>
      </w:r>
      <w:r w:rsidRPr="00DA0678">
        <w:rPr>
          <w:rFonts w:ascii="Arial" w:hAnsi="Arial" w:cs="Arial"/>
          <w:sz w:val="20"/>
        </w:rPr>
        <w:t xml:space="preserve"> industry after they </w:t>
      </w:r>
      <w:r>
        <w:rPr>
          <w:rFonts w:ascii="Arial" w:hAnsi="Arial" w:cs="Arial"/>
          <w:sz w:val="20"/>
        </w:rPr>
        <w:t>graduate</w:t>
      </w:r>
      <w:r w:rsidRPr="00DA0678">
        <w:rPr>
          <w:rFonts w:ascii="Arial" w:hAnsi="Arial" w:cs="Arial"/>
          <w:sz w:val="20"/>
        </w:rPr>
        <w:t>.</w:t>
      </w:r>
    </w:p>
    <w:p w14:paraId="67C40A45" w14:textId="77777777" w:rsidR="00A22053" w:rsidRPr="005560DE" w:rsidRDefault="00A22053" w:rsidP="00A22053">
      <w:pPr>
        <w:pStyle w:val="ListParagraph"/>
        <w:spacing w:after="360"/>
        <w:ind w:left="360"/>
        <w:rPr>
          <w:rFonts w:ascii="Arial" w:hAnsi="Arial" w:cs="Arial"/>
          <w:b/>
        </w:rPr>
      </w:pPr>
    </w:p>
    <w:p w14:paraId="66CAD5C0" w14:textId="77777777" w:rsidR="00A22053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 w:rsidRPr="000A1FCA">
        <w:rPr>
          <w:rFonts w:ascii="Arial" w:hAnsi="Arial" w:cs="Arial"/>
          <w:sz w:val="20"/>
        </w:rPr>
        <w:t>In 2014, 4</w:t>
      </w:r>
      <w:r>
        <w:rPr>
          <w:rFonts w:ascii="Arial" w:hAnsi="Arial" w:cs="Arial"/>
          <w:sz w:val="20"/>
        </w:rPr>
        <w:t>4</w:t>
      </w:r>
      <w:r w:rsidRPr="000A1FCA">
        <w:rPr>
          <w:rFonts w:ascii="Arial" w:hAnsi="Arial" w:cs="Arial"/>
          <w:sz w:val="20"/>
        </w:rPr>
        <w:t xml:space="preserve"> organisations reported </w:t>
      </w:r>
      <w:r>
        <w:rPr>
          <w:rFonts w:ascii="Arial" w:hAnsi="Arial" w:cs="Arial"/>
          <w:sz w:val="20"/>
        </w:rPr>
        <w:t xml:space="preserve">research </w:t>
      </w:r>
      <w:r w:rsidRPr="000A1FCA">
        <w:rPr>
          <w:rFonts w:ascii="Arial" w:hAnsi="Arial" w:cs="Arial"/>
          <w:sz w:val="20"/>
        </w:rPr>
        <w:t>training</w:t>
      </w:r>
      <w:r>
        <w:rPr>
          <w:rFonts w:ascii="Arial" w:hAnsi="Arial" w:cs="Arial"/>
          <w:sz w:val="20"/>
        </w:rPr>
        <w:t xml:space="preserve"> provision</w:t>
      </w:r>
      <w:r w:rsidRPr="000A1FCA">
        <w:rPr>
          <w:rFonts w:ascii="Arial" w:hAnsi="Arial" w:cs="Arial"/>
          <w:sz w:val="20"/>
        </w:rPr>
        <w:t xml:space="preserve"> in industry skills for researchers and research students. The university sector remains the leading sector </w:t>
      </w:r>
      <w:r>
        <w:rPr>
          <w:rFonts w:ascii="Arial" w:hAnsi="Arial" w:cs="Arial"/>
          <w:sz w:val="20"/>
        </w:rPr>
        <w:t>offering</w:t>
      </w:r>
      <w:r w:rsidRPr="000A1FCA">
        <w:rPr>
          <w:rFonts w:ascii="Arial" w:hAnsi="Arial" w:cs="Arial"/>
          <w:sz w:val="20"/>
        </w:rPr>
        <w:t xml:space="preserve"> training in industry skills, with 3</w:t>
      </w:r>
      <w:r>
        <w:rPr>
          <w:rFonts w:ascii="Arial" w:hAnsi="Arial" w:cs="Arial"/>
          <w:sz w:val="20"/>
        </w:rPr>
        <w:t>2</w:t>
      </w:r>
      <w:r w:rsidRPr="000A1FCA">
        <w:rPr>
          <w:rFonts w:ascii="Arial" w:hAnsi="Arial" w:cs="Arial"/>
          <w:sz w:val="20"/>
        </w:rPr>
        <w:t xml:space="preserve"> out of the 37 </w:t>
      </w:r>
      <w:r>
        <w:rPr>
          <w:rFonts w:ascii="Arial" w:hAnsi="Arial" w:cs="Arial"/>
          <w:sz w:val="20"/>
        </w:rPr>
        <w:t xml:space="preserve">participant universities </w:t>
      </w:r>
      <w:r w:rsidRPr="000A1FCA">
        <w:rPr>
          <w:rFonts w:ascii="Arial" w:hAnsi="Arial" w:cs="Arial"/>
          <w:sz w:val="20"/>
        </w:rPr>
        <w:t>offering such training</w:t>
      </w:r>
      <w:r>
        <w:rPr>
          <w:rFonts w:ascii="Arial" w:hAnsi="Arial" w:cs="Arial"/>
          <w:sz w:val="20"/>
        </w:rPr>
        <w:t xml:space="preserve"> in 2014</w:t>
      </w:r>
      <w:r w:rsidRPr="000A1FCA">
        <w:rPr>
          <w:rFonts w:ascii="Arial" w:hAnsi="Arial" w:cs="Arial"/>
          <w:sz w:val="20"/>
        </w:rPr>
        <w:t>.</w:t>
      </w:r>
    </w:p>
    <w:p w14:paraId="0E771B0B" w14:textId="77777777" w:rsidR="00A22053" w:rsidRPr="000A1FCA" w:rsidRDefault="00A22053" w:rsidP="00A22053">
      <w:pPr>
        <w:pStyle w:val="ListParagraph"/>
        <w:numPr>
          <w:ilvl w:val="0"/>
          <w:numId w:val="13"/>
        </w:numPr>
        <w:spacing w:before="240"/>
        <w:ind w:left="714" w:hanging="357"/>
        <w:rPr>
          <w:rFonts w:ascii="Arial" w:hAnsi="Arial" w:cs="Arial"/>
          <w:sz w:val="20"/>
        </w:rPr>
      </w:pPr>
      <w:r w:rsidRPr="000A1FCA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n 2014, i</w:t>
      </w:r>
      <w:r w:rsidRPr="000A1FCA">
        <w:rPr>
          <w:rFonts w:ascii="Arial" w:hAnsi="Arial" w:cs="Arial"/>
          <w:sz w:val="20"/>
        </w:rPr>
        <w:t>ndustry</w:t>
      </w:r>
      <w:r>
        <w:rPr>
          <w:rFonts w:ascii="Arial" w:hAnsi="Arial" w:cs="Arial"/>
          <w:sz w:val="20"/>
        </w:rPr>
        <w:t>-skills research training was delivered to 4,879 participants</w:t>
      </w:r>
      <w:r w:rsidRPr="000A1FCA">
        <w:rPr>
          <w:rFonts w:ascii="Arial" w:hAnsi="Arial" w:cs="Arial"/>
          <w:sz w:val="20"/>
        </w:rPr>
        <w:t xml:space="preserve">. The university sector has the largest participation </w:t>
      </w:r>
      <w:r>
        <w:rPr>
          <w:rFonts w:ascii="Arial" w:hAnsi="Arial" w:cs="Arial"/>
          <w:sz w:val="20"/>
        </w:rPr>
        <w:t>with</w:t>
      </w:r>
      <w:r w:rsidRPr="000A1FCA">
        <w:rPr>
          <w:rFonts w:ascii="Arial" w:hAnsi="Arial" w:cs="Arial"/>
          <w:sz w:val="20"/>
        </w:rPr>
        <w:t xml:space="preserve"> 4,465 participants followed by PFRAs and MRIs with 297 and 117 participants respectively.</w:t>
      </w:r>
    </w:p>
    <w:p w14:paraId="0A5524E1" w14:textId="77777777" w:rsidR="00A22053" w:rsidRDefault="00A22053" w:rsidP="00A22053">
      <w:pPr>
        <w:pStyle w:val="ListParagraph"/>
        <w:spacing w:before="240"/>
      </w:pPr>
    </w:p>
    <w:p w14:paraId="7F7481D5" w14:textId="77777777" w:rsidR="00A22053" w:rsidRPr="00A93922" w:rsidRDefault="00A22053" w:rsidP="00724B0D">
      <w:pPr>
        <w:pStyle w:val="Heading3"/>
        <w:spacing w:after="120" w:line="360" w:lineRule="auto"/>
        <w:rPr>
          <w:sz w:val="20"/>
          <w:szCs w:val="20"/>
        </w:rPr>
      </w:pPr>
      <w:r w:rsidRPr="00A93922">
        <w:rPr>
          <w:sz w:val="20"/>
          <w:szCs w:val="20"/>
        </w:rPr>
        <w:t>Table 6: Number of organisations providing industry skills training</w:t>
      </w:r>
    </w:p>
    <w:tbl>
      <w:tblPr>
        <w:tblW w:w="6564" w:type="dxa"/>
        <w:tblInd w:w="108" w:type="dxa"/>
        <w:tblLook w:val="04A0" w:firstRow="1" w:lastRow="0" w:firstColumn="1" w:lastColumn="0" w:noHBand="0" w:noVBand="1"/>
      </w:tblPr>
      <w:tblGrid>
        <w:gridCol w:w="1056"/>
        <w:gridCol w:w="1836"/>
        <w:gridCol w:w="1836"/>
        <w:gridCol w:w="1836"/>
      </w:tblGrid>
      <w:tr w:rsidR="00A22053" w:rsidRPr="00244DE2" w14:paraId="414B94DA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33A5CE21" w14:textId="77777777" w:rsidR="00A22053" w:rsidRPr="00244DE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44DE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7AE1844D" w14:textId="77777777" w:rsidR="00A22053" w:rsidRPr="00244DE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244DE2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389D86A5" w14:textId="77777777" w:rsidR="00A22053" w:rsidRPr="00244DE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244DE2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14:paraId="0E432769" w14:textId="77777777" w:rsidR="00A22053" w:rsidRPr="00244DE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</w:pPr>
            <w:r w:rsidRPr="00244DE2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n-AU"/>
              </w:rPr>
              <w:t>2014</w:t>
            </w:r>
          </w:p>
        </w:tc>
      </w:tr>
      <w:tr w:rsidR="00A22053" w:rsidRPr="00244DE2" w14:paraId="0636BE69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4165" w14:textId="77777777" w:rsidR="00A22053" w:rsidRPr="00244DE2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44DE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PFR</w:t>
            </w:r>
            <w:r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A</w:t>
            </w:r>
            <w:r w:rsidRPr="00244DE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7D22" w14:textId="77777777" w:rsidR="00A22053" w:rsidRPr="00244DE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44DE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5918" w14:textId="77777777" w:rsidR="00A22053" w:rsidRPr="00244DE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44DE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BC17" w14:textId="77777777" w:rsidR="00A22053" w:rsidRPr="00244DE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44DE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5</w:t>
            </w:r>
          </w:p>
        </w:tc>
      </w:tr>
      <w:tr w:rsidR="00A22053" w:rsidRPr="00244DE2" w14:paraId="03A74779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385E0" w14:textId="77777777" w:rsidR="00A22053" w:rsidRPr="00244DE2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44DE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UNIs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3EA5F" w14:textId="77777777" w:rsidR="00A22053" w:rsidRPr="00244DE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44DE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29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30C0F" w14:textId="77777777" w:rsidR="00A22053" w:rsidRPr="00244DE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44DE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29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29B94" w14:textId="77777777" w:rsidR="00A22053" w:rsidRPr="00244DE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32</w:t>
            </w:r>
          </w:p>
        </w:tc>
      </w:tr>
      <w:tr w:rsidR="00A22053" w:rsidRPr="00244DE2" w14:paraId="3A8A2B66" w14:textId="77777777" w:rsidTr="0057682D">
        <w:trPr>
          <w:trHeight w:val="3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A41B" w14:textId="77777777" w:rsidR="00A22053" w:rsidRPr="00244DE2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44DE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MRIs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6DA8" w14:textId="77777777" w:rsidR="00A22053" w:rsidRPr="00244DE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44DE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BBAC" w14:textId="77777777" w:rsidR="00A22053" w:rsidRPr="00244DE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44DE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6FB4" w14:textId="77777777" w:rsidR="00A22053" w:rsidRPr="00244DE2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</w:pPr>
            <w:r w:rsidRPr="00244DE2">
              <w:rPr>
                <w:rFonts w:ascii="Arial" w:eastAsia="Times New Roman" w:hAnsi="Arial" w:cs="Arial"/>
                <w:color w:val="000000"/>
                <w:szCs w:val="20"/>
                <w:lang w:eastAsia="en-AU"/>
              </w:rPr>
              <w:t>7</w:t>
            </w:r>
          </w:p>
        </w:tc>
      </w:tr>
      <w:tr w:rsidR="00A22053" w:rsidRPr="00244DE2" w14:paraId="7DFEB62B" w14:textId="77777777" w:rsidTr="0057682D">
        <w:trPr>
          <w:trHeight w:val="390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FCE2E" w14:textId="77777777" w:rsidR="00A22053" w:rsidRPr="00DA0678" w:rsidRDefault="00A22053" w:rsidP="005768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n-AU"/>
              </w:rPr>
            </w:pPr>
            <w:r w:rsidRPr="00DA0678">
              <w:rPr>
                <w:rFonts w:ascii="Arial" w:eastAsia="Times New Roman" w:hAnsi="Arial" w:cs="Arial"/>
                <w:b/>
                <w:color w:val="000000"/>
                <w:szCs w:val="20"/>
                <w:lang w:eastAsia="en-AU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5AAA8" w14:textId="77777777" w:rsidR="00A22053" w:rsidRPr="00DA067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n-AU"/>
              </w:rPr>
            </w:pPr>
            <w:r w:rsidRPr="00DA0678">
              <w:rPr>
                <w:rFonts w:ascii="Arial" w:eastAsia="Times New Roman" w:hAnsi="Arial" w:cs="Arial"/>
                <w:b/>
                <w:color w:val="000000"/>
                <w:szCs w:val="20"/>
                <w:lang w:eastAsia="en-AU"/>
              </w:rPr>
              <w:t>44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0B0BF" w14:textId="77777777" w:rsidR="00A22053" w:rsidRPr="00DA067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n-AU"/>
              </w:rPr>
            </w:pPr>
            <w:r w:rsidRPr="00DA0678">
              <w:rPr>
                <w:rFonts w:ascii="Arial" w:eastAsia="Times New Roman" w:hAnsi="Arial" w:cs="Arial"/>
                <w:b/>
                <w:color w:val="000000"/>
                <w:szCs w:val="20"/>
                <w:lang w:eastAsia="en-AU"/>
              </w:rPr>
              <w:t>44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94E54" w14:textId="77777777" w:rsidR="00A22053" w:rsidRPr="00DA0678" w:rsidRDefault="00A22053" w:rsidP="005768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n-AU"/>
              </w:rPr>
              <w:t>44</w:t>
            </w:r>
          </w:p>
        </w:tc>
      </w:tr>
    </w:tbl>
    <w:p w14:paraId="2F9F7EAB" w14:textId="77777777" w:rsidR="00A22053" w:rsidRDefault="00A22053" w:rsidP="00A22053">
      <w:pPr>
        <w:rPr>
          <w:b/>
        </w:rPr>
      </w:pPr>
    </w:p>
    <w:p w14:paraId="14CB20F1" w14:textId="77777777" w:rsidR="00A22053" w:rsidRPr="00A93922" w:rsidRDefault="00A22053" w:rsidP="00724B0D">
      <w:pPr>
        <w:pStyle w:val="Heading3"/>
        <w:spacing w:after="120"/>
        <w:rPr>
          <w:sz w:val="20"/>
          <w:szCs w:val="20"/>
        </w:rPr>
      </w:pPr>
      <w:r w:rsidRPr="00A93922">
        <w:rPr>
          <w:sz w:val="20"/>
          <w:szCs w:val="20"/>
        </w:rPr>
        <w:lastRenderedPageBreak/>
        <w:t>Figure 6: Number of organisations providing industry skills training by sector</w:t>
      </w:r>
    </w:p>
    <w:p w14:paraId="4FBB8794" w14:textId="77777777" w:rsidR="00A22053" w:rsidRDefault="00A22053" w:rsidP="00A22053">
      <w:r>
        <w:rPr>
          <w:noProof/>
          <w:lang w:eastAsia="en-AU"/>
        </w:rPr>
        <w:drawing>
          <wp:inline distT="0" distB="0" distL="0" distR="0" wp14:anchorId="79A46C8F" wp14:editId="33E5921A">
            <wp:extent cx="4484536" cy="2743200"/>
            <wp:effectExtent l="0" t="0" r="11430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C47D12F" w14:textId="4862F545" w:rsidR="006D398E" w:rsidRDefault="006D398E" w:rsidP="00A22053">
      <w:pPr>
        <w:pStyle w:val="Heading2"/>
      </w:pPr>
    </w:p>
    <w:sectPr w:rsidR="006D398E" w:rsidSect="0031658C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C7D7" w14:textId="77777777" w:rsidR="00155B9B" w:rsidRDefault="00155B9B" w:rsidP="00B526AB">
      <w:pPr>
        <w:spacing w:after="0" w:line="240" w:lineRule="auto"/>
      </w:pPr>
      <w:r>
        <w:separator/>
      </w:r>
    </w:p>
  </w:endnote>
  <w:endnote w:type="continuationSeparator" w:id="0">
    <w:p w14:paraId="72E42DB9" w14:textId="77777777" w:rsidR="00155B9B" w:rsidRDefault="00155B9B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45A4E" w14:textId="77777777" w:rsidR="00155B9B" w:rsidRDefault="00155B9B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95A39" w14:textId="77777777" w:rsidR="00155B9B" w:rsidRDefault="00155B9B" w:rsidP="003165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E0083" w14:textId="77777777" w:rsidR="00A93922" w:rsidRDefault="00A93922" w:rsidP="00A93922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5E568" w14:textId="77777777" w:rsidR="00155B9B" w:rsidRDefault="00155B9B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515C">
      <w:rPr>
        <w:rStyle w:val="PageNumber"/>
        <w:noProof/>
      </w:rPr>
      <w:t>13</w:t>
    </w:r>
    <w:r>
      <w:rPr>
        <w:rStyle w:val="PageNumber"/>
      </w:rPr>
      <w:fldChar w:fldCharType="end"/>
    </w:r>
  </w:p>
  <w:p w14:paraId="57BE8425" w14:textId="704698FF" w:rsidR="00155B9B" w:rsidRDefault="00A93922" w:rsidP="0031658C">
    <w:pPr>
      <w:pStyle w:val="Footer"/>
      <w:ind w:right="360"/>
    </w:pPr>
    <w:r>
      <w:t>NSRC 2012-14 Data Summary</w:t>
    </w:r>
    <w:r w:rsidR="00155B9B">
      <w:tab/>
      <w:t>industry.gov.au</w:t>
    </w:r>
    <w:r>
      <w:t>/nsrc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5B949" w14:textId="77777777" w:rsidR="00155B9B" w:rsidRDefault="00155B9B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121BD5" w14:textId="77777777" w:rsidR="00155B9B" w:rsidRDefault="00155B9B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25FD0" w14:textId="77777777" w:rsidR="00155B9B" w:rsidRDefault="00155B9B" w:rsidP="00B526AB">
      <w:pPr>
        <w:spacing w:after="0" w:line="240" w:lineRule="auto"/>
      </w:pPr>
      <w:r>
        <w:separator/>
      </w:r>
    </w:p>
  </w:footnote>
  <w:footnote w:type="continuationSeparator" w:id="0">
    <w:p w14:paraId="4D76CF8A" w14:textId="77777777" w:rsidR="00155B9B" w:rsidRDefault="00155B9B" w:rsidP="00B526AB">
      <w:pPr>
        <w:spacing w:after="0" w:line="240" w:lineRule="auto"/>
      </w:pPr>
      <w:r>
        <w:continuationSeparator/>
      </w:r>
    </w:p>
  </w:footnote>
  <w:footnote w:id="1">
    <w:p w14:paraId="1C256BF5" w14:textId="77777777" w:rsidR="00155B9B" w:rsidRPr="006255AE" w:rsidRDefault="00155B9B" w:rsidP="006255AE">
      <w:pPr>
        <w:pStyle w:val="FootnoteText"/>
      </w:pPr>
      <w:r w:rsidRPr="005651EF">
        <w:rPr>
          <w:rStyle w:val="FootnoteReference"/>
          <w:sz w:val="18"/>
        </w:rPr>
        <w:footnoteRef/>
      </w:r>
      <w:r w:rsidRPr="005651EF">
        <w:rPr>
          <w:sz w:val="18"/>
        </w:rPr>
        <w:t xml:space="preserve"> </w:t>
      </w:r>
      <w:r w:rsidRPr="006255AE">
        <w:t>Numbers reported may not tally due to rounding. All dollar values are adjusted for inflation.</w:t>
      </w:r>
    </w:p>
  </w:footnote>
  <w:footnote w:id="2">
    <w:p w14:paraId="0922B55B" w14:textId="77777777" w:rsidR="00A22053" w:rsidRDefault="00A22053" w:rsidP="00A220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4889">
        <w:rPr>
          <w:rFonts w:ascii="Arial" w:hAnsi="Arial" w:cs="Arial"/>
          <w:szCs w:val="16"/>
        </w:rPr>
        <w:t>In 2014, two additional PFRAs participated in the NSRC.</w:t>
      </w:r>
    </w:p>
  </w:footnote>
  <w:footnote w:id="3">
    <w:p w14:paraId="13942998" w14:textId="77777777" w:rsidR="00A22053" w:rsidRPr="00DC233B" w:rsidRDefault="00A22053" w:rsidP="00A22053">
      <w:pPr>
        <w:pStyle w:val="FootnoteText"/>
        <w:rPr>
          <w:rFonts w:ascii="Arial" w:hAnsi="Arial" w:cs="Arial"/>
        </w:rPr>
      </w:pPr>
      <w:r w:rsidRPr="00DC233B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  In 2014, data on start-up company activity </w:t>
      </w:r>
      <w:r w:rsidRPr="00DC233B">
        <w:rPr>
          <w:rFonts w:ascii="Arial" w:hAnsi="Arial" w:cs="Arial"/>
        </w:rPr>
        <w:t xml:space="preserve">was collected </w:t>
      </w:r>
      <w:r>
        <w:rPr>
          <w:rFonts w:ascii="Arial" w:hAnsi="Arial" w:cs="Arial"/>
        </w:rPr>
        <w:t xml:space="preserve">through an administrative process instead of the NSRC survey. The collection method </w:t>
      </w:r>
      <w:r w:rsidRPr="00DC233B">
        <w:rPr>
          <w:rFonts w:ascii="Arial" w:hAnsi="Arial" w:cs="Arial"/>
        </w:rPr>
        <w:t xml:space="preserve">may have </w:t>
      </w:r>
      <w:r>
        <w:rPr>
          <w:rFonts w:ascii="Arial" w:hAnsi="Arial" w:cs="Arial"/>
        </w:rPr>
        <w:t>impacted 2014 data</w:t>
      </w:r>
      <w:r w:rsidRPr="00DC233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From 2015, start-up company data will be collected through the NSRC instrument.</w:t>
      </w:r>
    </w:p>
  </w:footnote>
  <w:footnote w:id="4">
    <w:p w14:paraId="360C7546" w14:textId="77777777" w:rsidR="00A22053" w:rsidRPr="00804889" w:rsidRDefault="00A22053" w:rsidP="00A22053">
      <w:p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04889">
        <w:rPr>
          <w:rStyle w:val="FootnoteReference"/>
        </w:rPr>
        <w:footnoteRef/>
      </w:r>
      <w:r w:rsidRPr="00804889">
        <w:rPr>
          <w:sz w:val="16"/>
          <w:szCs w:val="16"/>
        </w:rPr>
        <w:t xml:space="preserve"> </w:t>
      </w:r>
      <w:r w:rsidRPr="00804889">
        <w:rPr>
          <w:rFonts w:ascii="Arial" w:hAnsi="Arial" w:cs="Arial"/>
          <w:sz w:val="16"/>
          <w:szCs w:val="16"/>
        </w:rPr>
        <w:t xml:space="preserve">The MRI increase </w:t>
      </w:r>
      <w:r>
        <w:rPr>
          <w:rFonts w:ascii="Arial" w:hAnsi="Arial" w:cs="Arial"/>
          <w:sz w:val="16"/>
          <w:szCs w:val="16"/>
        </w:rPr>
        <w:t>may be</w:t>
      </w:r>
      <w:r w:rsidRPr="00804889">
        <w:rPr>
          <w:rFonts w:ascii="Arial" w:hAnsi="Arial" w:cs="Arial"/>
          <w:sz w:val="16"/>
          <w:szCs w:val="16"/>
        </w:rPr>
        <w:t xml:space="preserve"> due to the introduction of a separate reporting field for research collaborations in the 2014 </w:t>
      </w:r>
      <w:r>
        <w:rPr>
          <w:rFonts w:ascii="Arial" w:hAnsi="Arial" w:cs="Arial"/>
          <w:sz w:val="16"/>
          <w:szCs w:val="16"/>
        </w:rPr>
        <w:t>NSRC</w:t>
      </w:r>
      <w:r w:rsidRPr="00804889">
        <w:rPr>
          <w:rFonts w:ascii="Arial" w:hAnsi="Arial" w:cs="Arial"/>
          <w:sz w:val="16"/>
          <w:szCs w:val="16"/>
        </w:rPr>
        <w:t xml:space="preserve">. Previously, research contracts and collaborations were </w:t>
      </w:r>
      <w:r>
        <w:rPr>
          <w:rFonts w:ascii="Arial" w:hAnsi="Arial" w:cs="Arial"/>
          <w:sz w:val="16"/>
          <w:szCs w:val="16"/>
        </w:rPr>
        <w:t xml:space="preserve">a </w:t>
      </w:r>
      <w:r w:rsidRPr="00804889">
        <w:rPr>
          <w:rFonts w:ascii="Arial" w:hAnsi="Arial" w:cs="Arial"/>
          <w:sz w:val="16"/>
          <w:szCs w:val="16"/>
        </w:rPr>
        <w:t xml:space="preserve">combined </w:t>
      </w:r>
      <w:r>
        <w:rPr>
          <w:rFonts w:ascii="Arial" w:hAnsi="Arial" w:cs="Arial"/>
          <w:sz w:val="16"/>
          <w:szCs w:val="16"/>
        </w:rPr>
        <w:t xml:space="preserve">metric </w:t>
      </w:r>
      <w:r w:rsidRPr="00804889">
        <w:rPr>
          <w:rFonts w:ascii="Arial" w:hAnsi="Arial" w:cs="Arial"/>
          <w:sz w:val="16"/>
          <w:szCs w:val="16"/>
        </w:rPr>
        <w:t>and this resulted in under reporting by MRIs.</w:t>
      </w:r>
    </w:p>
  </w:footnote>
  <w:footnote w:id="5">
    <w:p w14:paraId="16FBDC18" w14:textId="77777777" w:rsidR="00A22053" w:rsidRPr="00804889" w:rsidRDefault="00A22053" w:rsidP="00A22053">
      <w:pPr>
        <w:pStyle w:val="FootnoteText"/>
        <w:rPr>
          <w:rFonts w:ascii="Arial" w:hAnsi="Arial" w:cs="Arial"/>
          <w:szCs w:val="16"/>
        </w:rPr>
      </w:pPr>
      <w:r w:rsidRPr="00804889">
        <w:rPr>
          <w:rStyle w:val="FootnoteReference"/>
          <w:rFonts w:ascii="Arial" w:hAnsi="Arial" w:cs="Arial"/>
        </w:rPr>
        <w:footnoteRef/>
      </w:r>
      <w:r w:rsidRPr="00804889">
        <w:rPr>
          <w:rFonts w:ascii="Arial" w:hAnsi="Arial" w:cs="Arial"/>
          <w:szCs w:val="16"/>
        </w:rPr>
        <w:t xml:space="preserve"> In 2014, two additional PFRAs participated in the NSRC.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CBDC9" w14:textId="77777777" w:rsidR="00155B9B" w:rsidRDefault="00155B9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6222572" wp14:editId="47037D07">
          <wp:simplePos x="0" y="0"/>
          <wp:positionH relativeFrom="column">
            <wp:posOffset>-417830</wp:posOffset>
          </wp:positionH>
          <wp:positionV relativeFrom="paragraph">
            <wp:posOffset>82550</wp:posOffset>
          </wp:positionV>
          <wp:extent cx="2448560" cy="727710"/>
          <wp:effectExtent l="0" t="0" r="0" b="8890"/>
          <wp:wrapTopAndBottom/>
          <wp:docPr id="4" name="Picture 4" descr="Australian Government | Department of Industry, Innovation and Science logo&#10;" title="Australian Government | Department of Industry, Innovation and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IS-header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560" cy="727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</w:t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BE03D9F" wp14:editId="14A8F2ED">
          <wp:simplePos x="0" y="0"/>
          <wp:positionH relativeFrom="column">
            <wp:posOffset>-784860</wp:posOffset>
          </wp:positionH>
          <wp:positionV relativeFrom="paragraph">
            <wp:posOffset>-199390</wp:posOffset>
          </wp:positionV>
          <wp:extent cx="7271385" cy="102857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al_Word_update_slide_master_no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1385" cy="10285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0E35D" w14:textId="6EF69633" w:rsidR="00155B9B" w:rsidRPr="007B6E7A" w:rsidRDefault="00155B9B" w:rsidP="007B6E7A">
    <w:pPr>
      <w:pStyle w:val="Header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1DE43" w14:textId="77777777" w:rsidR="00155B9B" w:rsidRDefault="00155B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502" w:hanging="360"/>
      </w:pPr>
      <w:rPr>
        <w:rFonts w:ascii="Symbol" w:hAnsi="Symbol" w:hint="default"/>
        <w:color w:val="005677" w:themeColor="accent1"/>
      </w:rPr>
    </w:lvl>
  </w:abstractNum>
  <w:abstractNum w:abstractNumId="10" w15:restartNumberingAfterBreak="0">
    <w:nsid w:val="1BFC3ED9"/>
    <w:multiLevelType w:val="multilevel"/>
    <w:tmpl w:val="E46216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513FDC"/>
    <w:multiLevelType w:val="hybridMultilevel"/>
    <w:tmpl w:val="B3381A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F75C9D"/>
    <w:multiLevelType w:val="multilevel"/>
    <w:tmpl w:val="9EB632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FC5C8E"/>
    <w:multiLevelType w:val="hybridMultilevel"/>
    <w:tmpl w:val="FAA29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F4751"/>
    <w:multiLevelType w:val="hybridMultilevel"/>
    <w:tmpl w:val="172EC67E"/>
    <w:lvl w:ilvl="0" w:tplc="6FF4531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624CCB"/>
    <w:multiLevelType w:val="hybridMultilevel"/>
    <w:tmpl w:val="62FCB154"/>
    <w:lvl w:ilvl="0" w:tplc="D8F81C7E">
      <w:start w:val="2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678388A"/>
    <w:multiLevelType w:val="hybridMultilevel"/>
    <w:tmpl w:val="A2622D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FF663C"/>
    <w:multiLevelType w:val="hybridMultilevel"/>
    <w:tmpl w:val="B10CA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13"/>
  </w:num>
  <w:num w:numId="14">
    <w:abstractNumId w:val="12"/>
  </w:num>
  <w:num w:numId="15">
    <w:abstractNumId w:val="15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Style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A8"/>
    <w:rsid w:val="000A7109"/>
    <w:rsid w:val="000C2213"/>
    <w:rsid w:val="00155B9B"/>
    <w:rsid w:val="00163B54"/>
    <w:rsid w:val="001A25AE"/>
    <w:rsid w:val="001A2DC6"/>
    <w:rsid w:val="001B3DA8"/>
    <w:rsid w:val="002300AC"/>
    <w:rsid w:val="00244596"/>
    <w:rsid w:val="00263E00"/>
    <w:rsid w:val="002831AD"/>
    <w:rsid w:val="002916ED"/>
    <w:rsid w:val="002B57BF"/>
    <w:rsid w:val="002D3954"/>
    <w:rsid w:val="002E14EA"/>
    <w:rsid w:val="002E201E"/>
    <w:rsid w:val="002F65AF"/>
    <w:rsid w:val="00304F04"/>
    <w:rsid w:val="0031658C"/>
    <w:rsid w:val="00333C59"/>
    <w:rsid w:val="00356902"/>
    <w:rsid w:val="003630F9"/>
    <w:rsid w:val="00370B37"/>
    <w:rsid w:val="0038442D"/>
    <w:rsid w:val="00402E42"/>
    <w:rsid w:val="00407ECA"/>
    <w:rsid w:val="004111E9"/>
    <w:rsid w:val="00416ED8"/>
    <w:rsid w:val="00436B60"/>
    <w:rsid w:val="00452BA6"/>
    <w:rsid w:val="00522B1C"/>
    <w:rsid w:val="005642F2"/>
    <w:rsid w:val="00585806"/>
    <w:rsid w:val="005C1C7F"/>
    <w:rsid w:val="005D0228"/>
    <w:rsid w:val="005F1934"/>
    <w:rsid w:val="00602C92"/>
    <w:rsid w:val="006129E1"/>
    <w:rsid w:val="00616067"/>
    <w:rsid w:val="006255AE"/>
    <w:rsid w:val="006820A5"/>
    <w:rsid w:val="006C2852"/>
    <w:rsid w:val="006D398E"/>
    <w:rsid w:val="00706764"/>
    <w:rsid w:val="00723B30"/>
    <w:rsid w:val="00724B0D"/>
    <w:rsid w:val="00795087"/>
    <w:rsid w:val="007B6E7A"/>
    <w:rsid w:val="00811D43"/>
    <w:rsid w:val="00822068"/>
    <w:rsid w:val="00827022"/>
    <w:rsid w:val="00850038"/>
    <w:rsid w:val="00857192"/>
    <w:rsid w:val="008602BC"/>
    <w:rsid w:val="0088639D"/>
    <w:rsid w:val="00915145"/>
    <w:rsid w:val="00951FD3"/>
    <w:rsid w:val="00956813"/>
    <w:rsid w:val="00975726"/>
    <w:rsid w:val="00991FDD"/>
    <w:rsid w:val="00997B12"/>
    <w:rsid w:val="009A0EF0"/>
    <w:rsid w:val="009D79B3"/>
    <w:rsid w:val="009D7BB6"/>
    <w:rsid w:val="009F0F4D"/>
    <w:rsid w:val="009F1EFD"/>
    <w:rsid w:val="00A22053"/>
    <w:rsid w:val="00A4515C"/>
    <w:rsid w:val="00A45D77"/>
    <w:rsid w:val="00A51E16"/>
    <w:rsid w:val="00A83162"/>
    <w:rsid w:val="00A85BA1"/>
    <w:rsid w:val="00A93922"/>
    <w:rsid w:val="00AA2AE2"/>
    <w:rsid w:val="00AC7DD6"/>
    <w:rsid w:val="00B37916"/>
    <w:rsid w:val="00B526AB"/>
    <w:rsid w:val="00C14C8F"/>
    <w:rsid w:val="00C26BCC"/>
    <w:rsid w:val="00C87253"/>
    <w:rsid w:val="00CB2680"/>
    <w:rsid w:val="00CB5D3D"/>
    <w:rsid w:val="00CC7875"/>
    <w:rsid w:val="00D05CB9"/>
    <w:rsid w:val="00D46D83"/>
    <w:rsid w:val="00D87BC8"/>
    <w:rsid w:val="00DF1E5F"/>
    <w:rsid w:val="00E029B2"/>
    <w:rsid w:val="00E035A6"/>
    <w:rsid w:val="00E30F4C"/>
    <w:rsid w:val="00E5755A"/>
    <w:rsid w:val="00E72774"/>
    <w:rsid w:val="00EB6736"/>
    <w:rsid w:val="00EC3D6B"/>
    <w:rsid w:val="00ED17D8"/>
    <w:rsid w:val="00F11C75"/>
    <w:rsid w:val="00F25F29"/>
    <w:rsid w:val="00FC49E6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D3D6320"/>
  <w15:docId w15:val="{A45D7685-80F7-48B9-9AC7-11ABE17B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AB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67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6067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5087"/>
    <w:pPr>
      <w:spacing w:before="8500" w:after="480" w:line="240" w:lineRule="auto"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5087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857192"/>
    <w:pPr>
      <w:spacing w:after="0" w:line="240" w:lineRule="auto"/>
      <w:jc w:val="right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</w:tblPr>
    <w:tcPr>
      <w:shd w:val="clear" w:color="auto" w:fill="auto"/>
      <w:vAlign w:val="center"/>
    </w:tcPr>
    <w:tblStylePr w:type="firstRow">
      <w:pPr>
        <w:wordWrap/>
        <w:jc w:val="righ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pPr>
        <w:wordWrap/>
        <w:jc w:val="left"/>
      </w:pPr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616067"/>
    <w:pPr>
      <w:numPr>
        <w:numId w:val="1"/>
      </w:numPr>
      <w:spacing w:after="240"/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7BB6"/>
    <w:pPr>
      <w:pBdr>
        <w:top w:val="single" w:sz="4" w:space="1" w:color="1B9590" w:themeColor="accent3"/>
        <w:bottom w:val="single" w:sz="4" w:space="1" w:color="1B9590" w:themeColor="accent3"/>
      </w:pBdr>
      <w:spacing w:before="240" w:after="240"/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D7BB6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E035A6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before="240"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ListParagraph">
    <w:name w:val="List Paragraph"/>
    <w:basedOn w:val="Normal"/>
    <w:uiPriority w:val="34"/>
    <w:qFormat/>
    <w:rsid w:val="006255AE"/>
    <w:pPr>
      <w:spacing w:after="200"/>
      <w:ind w:left="720"/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6D398E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header">
    <w:name w:val="table header"/>
    <w:basedOn w:val="Normal"/>
    <w:qFormat/>
    <w:rsid w:val="00997B12"/>
    <w:pPr>
      <w:spacing w:after="0" w:line="240" w:lineRule="auto"/>
      <w:jc w:val="center"/>
    </w:pPr>
    <w:rPr>
      <w:rFonts w:ascii="Arial" w:eastAsia="Times New Roman" w:hAnsi="Arial" w:cs="Arial"/>
      <w:b/>
      <w:color w:val="FFFFFF" w:themeColor="background1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chart" Target="charts/chart5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chart" Target="charts/chart8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chart" Target="charts/chart11.xm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hart" Target="charts/chart6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prod.protected.ind\user\User05\GGanewatta\My%20Documents\My%20Documents\Research%20Commercialisation%20Policy\Feb%202016\Adjusted%20for%20UQ%20Data-Analysis%20for%20Data%20Card-25%20Feb%202016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issaR\AppData\Local\Microsoft\Windows\Temporary%20Internet%20Files\Content.Outlook\NY187MMU\Charts%20and%20Tables%20for%20Data%20Card-01%20March%202016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issaR\AppData\Local\Microsoft\Windows\Temporary%20Internet%20Files\Content.Outlook\NY187MMU\Charts%20and%20Tables%20for%20Data%20Card-01%20March%202016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\\prod.protected.ind\user\User05\GGanewatta\My%20Documents\My%20Documents\Research%20Commercialisation%20Policy\Feb%202016\Adjusted%20for%20UQ%20Data-Analysis%20for%20Data%20Card-25%20Feb%202016.xlsx" TargetMode="External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prod.protected.ind\user\User05\GGanewatta\My%20Documents\My%20Documents\Research%20Commercialisation%20Policy\Feb%202016\Copy-2000-2014%20Unit%20Record%20Data%20(For%20aggregation%20purposes)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prod.protected.ind\group\S&amp;R\ROP%20Branch\Business%20Collaboration%20Section\1.%20NSRC\1.%20NSRC%202015\1.%20NSRC%202014%20survey%20data\2.%20Data\Data%20Card%20Summary\Finalised-Adjusted%20for%20UQ%20Data-Analysis%20for%20Data%20Card-08%20Mar%202016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prod.protected.ind\user\User05\GGanewatta\My%20Documents\My%20Documents\Research%20Commercialisation%20Policy\Feb%202016\Copy-2000-2014%20Unit%20Record%20Data%20(For%20aggregation%20purposes)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\\prod.protected.ind\user\User05\GGanewatta\My%20Documents\My%20Documents\Research%20Commercialisation%20Policy\Feb%202016\Adjusted%20for%20UQ%20Data-Analysis%20for%20Data%20Card-25%20Feb%202016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\\prod.protected.ind\user\User05\GGanewatta\My%20Documents\My%20Documents\Research%20Commercialisation%20Policy\Feb%202016\Adjusted%20for%20UQ%20Data-Analysis%20for%20Data%20Card-25%20Feb%202016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RissaR\AppData\Local\Microsoft\Windows\Temporary%20Internet%20Files\Content.Outlook\NY187MMU\Finalised-Adjusted%20for%20UQ%20Data-Analysis%20for%20Data%20Card-08%20Mar%202016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\\prod.protected.ind\user\User05\GGanewatta\My%20Documents\My%20Documents\Research%20Commercialisation%20Policy\Feb%202016\Adjusted%20for%20UQ%20Data-Analysis%20for%20Data%20Card-25%20Feb%202016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\\prod.protected.ind\user\User05\GGanewatta\My%20Documents\My%20Documents\Research%20Commercialisation%20Policy\Feb%202016\Analysis%20for%20Data%20Card-22%20Feb%202016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9258998085654791"/>
          <c:y val="0"/>
          <c:w val="0.38568949585962059"/>
          <c:h val="0.94583544526813668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0696496348264445"/>
                  <c:y val="0.18353287343894933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0371772029338553E-2"/>
                  <c:y val="-0.14276552780300053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331008247098055"/>
                  <c:y val="-6.7387927901652933E-2"/>
                </c:manualLayout>
              </c:layout>
              <c:spPr/>
              <c:txPr>
                <a:bodyPr/>
                <a:lstStyle/>
                <a:p>
                  <a:pPr>
                    <a:defRPr sz="900"/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'NSRC Survey'!$P$20:$R$20</c:f>
              <c:strCache>
                <c:ptCount val="3"/>
                <c:pt idx="0">
                  <c:v>MRIs</c:v>
                </c:pt>
                <c:pt idx="1">
                  <c:v>PFROs</c:v>
                </c:pt>
                <c:pt idx="2">
                  <c:v>Universities</c:v>
                </c:pt>
              </c:strCache>
            </c:strRef>
          </c:cat>
          <c:val>
            <c:numRef>
              <c:f>'NSRC Survey'!$P$23:$R$23</c:f>
              <c:numCache>
                <c:formatCode>General</c:formatCode>
                <c:ptCount val="3"/>
                <c:pt idx="0">
                  <c:v>19</c:v>
                </c:pt>
                <c:pt idx="1">
                  <c:v>7</c:v>
                </c:pt>
                <c:pt idx="2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8295241124348014"/>
          <c:y val="0.26954622388429145"/>
          <c:w val="0.19861474097862031"/>
          <c:h val="0.4609383257848928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22021257243835"/>
          <c:y val="4.3732222405901841E-2"/>
          <c:w val="0.81801741118993787"/>
          <c:h val="0.783231752989024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'Summary 2-2'!$A$208</c:f>
              <c:strCache>
                <c:ptCount val="1"/>
                <c:pt idx="0">
                  <c:v>PFRAs</c:v>
                </c:pt>
              </c:strCache>
            </c:strRef>
          </c:tx>
          <c:invertIfNegative val="0"/>
          <c:cat>
            <c:numRef>
              <c:f>'Summary 2-2'!$B$207:$D$207</c:f>
              <c:numCache>
                <c:formatCode>0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2-2'!$B$208:$D$208</c:f>
              <c:numCache>
                <c:formatCode>_-* #,##0_-;\-* #,##0_-;_-* "-"??_-;_-@_-</c:formatCode>
                <c:ptCount val="3"/>
                <c:pt idx="0">
                  <c:v>1994</c:v>
                </c:pt>
                <c:pt idx="1">
                  <c:v>1965</c:v>
                </c:pt>
                <c:pt idx="2">
                  <c:v>2299</c:v>
                </c:pt>
              </c:numCache>
            </c:numRef>
          </c:val>
        </c:ser>
        <c:ser>
          <c:idx val="1"/>
          <c:order val="1"/>
          <c:tx>
            <c:strRef>
              <c:f>'Summary 2-2'!$A$209</c:f>
              <c:strCache>
                <c:ptCount val="1"/>
                <c:pt idx="0">
                  <c:v>UNIs</c:v>
                </c:pt>
              </c:strCache>
            </c:strRef>
          </c:tx>
          <c:invertIfNegative val="0"/>
          <c:cat>
            <c:numRef>
              <c:f>'Summary 2-2'!$B$207:$D$207</c:f>
              <c:numCache>
                <c:formatCode>0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2-2'!$B$209:$D$209</c:f>
              <c:numCache>
                <c:formatCode>_-* #,##0_-;\-* #,##0_-;_-* "-"??_-;_-@_-</c:formatCode>
                <c:ptCount val="3"/>
                <c:pt idx="0">
                  <c:v>8915</c:v>
                </c:pt>
                <c:pt idx="1">
                  <c:v>10046</c:v>
                </c:pt>
                <c:pt idx="2">
                  <c:v>11966</c:v>
                </c:pt>
              </c:numCache>
            </c:numRef>
          </c:val>
        </c:ser>
        <c:ser>
          <c:idx val="2"/>
          <c:order val="2"/>
          <c:tx>
            <c:strRef>
              <c:f>'Summary 2-2'!$A$210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'Summary 2-2'!$B$207:$D$207</c:f>
              <c:numCache>
                <c:formatCode>0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2-2'!$B$210:$D$210</c:f>
              <c:numCache>
                <c:formatCode>_-* #,##0_-;\-* #,##0_-;_-* "-"??_-;_-@_-</c:formatCode>
                <c:ptCount val="3"/>
                <c:pt idx="0">
                  <c:v>237</c:v>
                </c:pt>
                <c:pt idx="1">
                  <c:v>217</c:v>
                </c:pt>
                <c:pt idx="2">
                  <c:v>1198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283152"/>
        <c:axId val="278282368"/>
      </c:barChart>
      <c:catAx>
        <c:axId val="27828315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278282368"/>
        <c:crosses val="autoZero"/>
        <c:auto val="1"/>
        <c:lblAlgn val="ctr"/>
        <c:lblOffset val="100"/>
        <c:noMultiLvlLbl val="0"/>
      </c:catAx>
      <c:valAx>
        <c:axId val="27828236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 baseline="0">
                    <a:latin typeface="Arial" panose="020B0604020202020204" pitchFamily="34" charset="0"/>
                    <a:cs typeface="Arial" panose="020B0604020202020204" pitchFamily="34" charset="0"/>
                  </a:rPr>
                  <a:t>Number</a:t>
                </a:r>
                <a:endParaRPr lang="en-US" sz="9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_-* #,##0_-;\-* #,##0_-;_-* &quot;-&quot;??_-;_-@_-" sourceLinked="1"/>
        <c:majorTickMark val="out"/>
        <c:minorTickMark val="none"/>
        <c:tickLblPos val="nextTo"/>
        <c:crossAx val="27828315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22021257243835"/>
          <c:y val="4.3732222405901841E-2"/>
          <c:w val="0.81801741118993787"/>
          <c:h val="0.783231752989024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'Summary 2-2'!$H$218</c:f>
              <c:strCache>
                <c:ptCount val="1"/>
                <c:pt idx="0">
                  <c:v>PFRAs</c:v>
                </c:pt>
              </c:strCache>
            </c:strRef>
          </c:tx>
          <c:invertIfNegative val="0"/>
          <c:cat>
            <c:numRef>
              <c:f>'Summary 2-2'!$I$217:$K$217</c:f>
              <c:numCache>
                <c:formatCode>0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2-2'!$I$218:$K$218</c:f>
              <c:numCache>
                <c:formatCode>0</c:formatCode>
                <c:ptCount val="3"/>
                <c:pt idx="0">
                  <c:v>417.16715991902828</c:v>
                </c:pt>
                <c:pt idx="1">
                  <c:v>390.90786511156188</c:v>
                </c:pt>
                <c:pt idx="2">
                  <c:v>384</c:v>
                </c:pt>
              </c:numCache>
            </c:numRef>
          </c:val>
        </c:ser>
        <c:ser>
          <c:idx val="1"/>
          <c:order val="1"/>
          <c:tx>
            <c:strRef>
              <c:f>'Summary 2-2'!$H$219</c:f>
              <c:strCache>
                <c:ptCount val="1"/>
                <c:pt idx="0">
                  <c:v>UNIs</c:v>
                </c:pt>
              </c:strCache>
            </c:strRef>
          </c:tx>
          <c:invertIfNegative val="0"/>
          <c:cat>
            <c:numRef>
              <c:f>'Summary 2-2'!$I$217:$K$217</c:f>
              <c:numCache>
                <c:formatCode>0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2-2'!$I$219:$K$219</c:f>
              <c:numCache>
                <c:formatCode>0</c:formatCode>
                <c:ptCount val="3"/>
                <c:pt idx="0">
                  <c:v>951.18427682186245</c:v>
                </c:pt>
                <c:pt idx="1">
                  <c:v>1168.1945727687626</c:v>
                </c:pt>
                <c:pt idx="2">
                  <c:v>1352</c:v>
                </c:pt>
              </c:numCache>
            </c:numRef>
          </c:val>
        </c:ser>
        <c:ser>
          <c:idx val="2"/>
          <c:order val="2"/>
          <c:tx>
            <c:strRef>
              <c:f>'Summary 2-2'!$H$220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'Summary 2-2'!$I$217:$K$217</c:f>
              <c:numCache>
                <c:formatCode>0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2-2'!$I$220:$K$220</c:f>
              <c:numCache>
                <c:formatCode>0</c:formatCode>
                <c:ptCount val="3"/>
                <c:pt idx="0">
                  <c:v>40.122522975708499</c:v>
                </c:pt>
                <c:pt idx="1">
                  <c:v>39.219598377281947</c:v>
                </c:pt>
                <c:pt idx="2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279232"/>
        <c:axId val="278286288"/>
      </c:barChart>
      <c:catAx>
        <c:axId val="27827923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278286288"/>
        <c:crosses val="autoZero"/>
        <c:auto val="1"/>
        <c:lblAlgn val="ctr"/>
        <c:lblOffset val="100"/>
        <c:noMultiLvlLbl val="0"/>
      </c:catAx>
      <c:valAx>
        <c:axId val="27828628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 baseline="0">
                    <a:latin typeface="Arial" panose="020B0604020202020204" pitchFamily="34" charset="0"/>
                    <a:cs typeface="Arial" panose="020B0604020202020204" pitchFamily="34" charset="0"/>
                  </a:rPr>
                  <a:t>$ Million</a:t>
                </a:r>
                <a:endParaRPr lang="en-US" sz="9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27827923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22021257243835"/>
          <c:y val="4.3732222405901841E-2"/>
          <c:w val="0.81801741118993787"/>
          <c:h val="0.783231752989024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'Summary 2'!$A$209</c:f>
              <c:strCache>
                <c:ptCount val="1"/>
                <c:pt idx="0">
                  <c:v>PFRAs</c:v>
                </c:pt>
              </c:strCache>
            </c:strRef>
          </c:tx>
          <c:invertIfNegative val="0"/>
          <c:cat>
            <c:numRef>
              <c:f>'Summary 2'!$B$208:$D$208</c:f>
              <c:numCache>
                <c:formatCode>0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2'!$B$209:$D$209</c:f>
              <c:numCache>
                <c:formatCode>0</c:formatCode>
                <c:ptCount val="3"/>
                <c:pt idx="0">
                  <c:v>3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'Summary 2'!$A$210</c:f>
              <c:strCache>
                <c:ptCount val="1"/>
                <c:pt idx="0">
                  <c:v>UNIs</c:v>
                </c:pt>
              </c:strCache>
            </c:strRef>
          </c:tx>
          <c:invertIfNegative val="0"/>
          <c:cat>
            <c:numRef>
              <c:f>'Summary 2'!$B$208:$D$208</c:f>
              <c:numCache>
                <c:formatCode>0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2'!$B$210:$D$210</c:f>
              <c:numCache>
                <c:formatCode>0</c:formatCode>
                <c:ptCount val="3"/>
                <c:pt idx="0">
                  <c:v>29</c:v>
                </c:pt>
                <c:pt idx="1">
                  <c:v>29</c:v>
                </c:pt>
                <c:pt idx="2">
                  <c:v>31</c:v>
                </c:pt>
              </c:numCache>
            </c:numRef>
          </c:val>
        </c:ser>
        <c:ser>
          <c:idx val="2"/>
          <c:order val="2"/>
          <c:tx>
            <c:strRef>
              <c:f>'Summary 2'!$A$211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'Summary 2'!$B$208:$D$208</c:f>
              <c:numCache>
                <c:formatCode>0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2'!$B$211:$D$211</c:f>
              <c:numCache>
                <c:formatCode>0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283544"/>
        <c:axId val="278284720"/>
      </c:barChart>
      <c:catAx>
        <c:axId val="27828354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278284720"/>
        <c:crosses val="autoZero"/>
        <c:auto val="1"/>
        <c:lblAlgn val="ctr"/>
        <c:lblOffset val="100"/>
        <c:noMultiLvlLbl val="0"/>
      </c:catAx>
      <c:valAx>
        <c:axId val="27828472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 baseline="0">
                    <a:latin typeface="Arial" panose="020B0604020202020204" pitchFamily="34" charset="0"/>
                    <a:cs typeface="Arial" panose="020B0604020202020204" pitchFamily="34" charset="0"/>
                  </a:rPr>
                  <a:t>Number</a:t>
                </a:r>
                <a:endParaRPr lang="en-US" sz="9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27828354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998926725100522"/>
          <c:y val="6.1946902654867256E-2"/>
          <c:w val="0.81767970410499868"/>
          <c:h val="0.749589924047104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'Summary 2'!$H$8</c:f>
              <c:strCache>
                <c:ptCount val="1"/>
                <c:pt idx="0">
                  <c:v>PFRAs</c:v>
                </c:pt>
              </c:strCache>
            </c:strRef>
          </c:tx>
          <c:invertIfNegative val="0"/>
          <c:cat>
            <c:numRef>
              <c:f>'Summary 2'!$I$7:$K$7</c:f>
              <c:numCache>
                <c:formatCode>0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2'!$I$8:$K$8</c:f>
              <c:numCache>
                <c:formatCode>0</c:formatCode>
                <c:ptCount val="3"/>
                <c:pt idx="0">
                  <c:v>1387.9938967611338</c:v>
                </c:pt>
                <c:pt idx="1">
                  <c:v>1362.9682738336712</c:v>
                </c:pt>
                <c:pt idx="2">
                  <c:v>1465.7574400000001</c:v>
                </c:pt>
              </c:numCache>
            </c:numRef>
          </c:val>
        </c:ser>
        <c:ser>
          <c:idx val="1"/>
          <c:order val="1"/>
          <c:tx>
            <c:strRef>
              <c:f>'Summary 2'!$H$9</c:f>
              <c:strCache>
                <c:ptCount val="1"/>
                <c:pt idx="0">
                  <c:v>UNIs</c:v>
                </c:pt>
              </c:strCache>
            </c:strRef>
          </c:tx>
          <c:invertIfNegative val="0"/>
          <c:cat>
            <c:numRef>
              <c:f>'Summary 2'!$I$7:$K$7</c:f>
              <c:numCache>
                <c:formatCode>0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2'!$I$9:$K$9</c:f>
              <c:numCache>
                <c:formatCode>0</c:formatCode>
                <c:ptCount val="3"/>
                <c:pt idx="0">
                  <c:v>8063.6432829959513</c:v>
                </c:pt>
                <c:pt idx="1">
                  <c:v>7765.4986571399595</c:v>
                </c:pt>
                <c:pt idx="2">
                  <c:v>8185.4211586700003</c:v>
                </c:pt>
              </c:numCache>
            </c:numRef>
          </c:val>
        </c:ser>
        <c:ser>
          <c:idx val="2"/>
          <c:order val="2"/>
          <c:tx>
            <c:strRef>
              <c:f>'Summary 2'!$H$10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'Summary 2'!$I$7:$K$7</c:f>
              <c:numCache>
                <c:formatCode>0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2'!$I$10:$K$10</c:f>
              <c:numCache>
                <c:formatCode>0</c:formatCode>
                <c:ptCount val="3"/>
                <c:pt idx="0">
                  <c:v>503.7743805668016</c:v>
                </c:pt>
                <c:pt idx="1">
                  <c:v>538.02208012170388</c:v>
                </c:pt>
                <c:pt idx="2">
                  <c:v>551.06792146999999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030704"/>
        <c:axId val="278033840"/>
      </c:barChart>
      <c:catAx>
        <c:axId val="27803070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278033840"/>
        <c:crosses val="autoZero"/>
        <c:auto val="1"/>
        <c:lblAlgn val="ctr"/>
        <c:lblOffset val="100"/>
        <c:noMultiLvlLbl val="0"/>
      </c:catAx>
      <c:valAx>
        <c:axId val="27803384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>
                    <a:latin typeface="Arial" panose="020B0604020202020204" pitchFamily="34" charset="0"/>
                    <a:cs typeface="Arial" panose="020B0604020202020204" pitchFamily="34" charset="0"/>
                  </a:rPr>
                  <a:t>$ Million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2780307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05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835212182635587"/>
          <c:y val="7.1304842453026512E-2"/>
          <c:w val="0.82468418180400715"/>
          <c:h val="0.783231752989024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'Summary 2-3'!$H$48</c:f>
              <c:strCache>
                <c:ptCount val="1"/>
                <c:pt idx="0">
                  <c:v>PFRAs</c:v>
                </c:pt>
              </c:strCache>
            </c:strRef>
          </c:tx>
          <c:invertIfNegative val="0"/>
          <c:cat>
            <c:numRef>
              <c:f>'Summary 2-3'!$I$47:$K$47</c:f>
              <c:numCache>
                <c:formatCode>0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2-3'!$I$48:$K$48</c:f>
              <c:numCache>
                <c:formatCode>0</c:formatCode>
                <c:ptCount val="3"/>
                <c:pt idx="0">
                  <c:v>108</c:v>
                </c:pt>
                <c:pt idx="1">
                  <c:v>115</c:v>
                </c:pt>
                <c:pt idx="2">
                  <c:v>96</c:v>
                </c:pt>
              </c:numCache>
            </c:numRef>
          </c:val>
        </c:ser>
        <c:ser>
          <c:idx val="1"/>
          <c:order val="1"/>
          <c:tx>
            <c:strRef>
              <c:f>'Summary 2-3'!$H$49</c:f>
              <c:strCache>
                <c:ptCount val="1"/>
                <c:pt idx="0">
                  <c:v>UNIs</c:v>
                </c:pt>
              </c:strCache>
            </c:strRef>
          </c:tx>
          <c:invertIfNegative val="0"/>
          <c:cat>
            <c:numRef>
              <c:f>'Summary 2-3'!$I$47:$K$47</c:f>
              <c:numCache>
                <c:formatCode>0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2-3'!$I$49:$K$49</c:f>
              <c:numCache>
                <c:formatCode>0</c:formatCode>
                <c:ptCount val="3"/>
                <c:pt idx="0">
                  <c:v>971</c:v>
                </c:pt>
                <c:pt idx="1">
                  <c:v>1044</c:v>
                </c:pt>
                <c:pt idx="2">
                  <c:v>957</c:v>
                </c:pt>
              </c:numCache>
            </c:numRef>
          </c:val>
        </c:ser>
        <c:ser>
          <c:idx val="2"/>
          <c:order val="2"/>
          <c:tx>
            <c:strRef>
              <c:f>'Summary 2-3'!$H$50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'Summary 2-3'!$I$47:$K$47</c:f>
              <c:numCache>
                <c:formatCode>0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2-3'!$I$50:$K$50</c:f>
              <c:numCache>
                <c:formatCode>0</c:formatCode>
                <c:ptCount val="3"/>
                <c:pt idx="0">
                  <c:v>311</c:v>
                </c:pt>
                <c:pt idx="1">
                  <c:v>261</c:v>
                </c:pt>
                <c:pt idx="2">
                  <c:v>150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032272"/>
        <c:axId val="278032664"/>
      </c:barChart>
      <c:catAx>
        <c:axId val="27803227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278032664"/>
        <c:crosses val="autoZero"/>
        <c:auto val="1"/>
        <c:lblAlgn val="ctr"/>
        <c:lblOffset val="100"/>
        <c:noMultiLvlLbl val="0"/>
      </c:catAx>
      <c:valAx>
        <c:axId val="27803266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>
                    <a:latin typeface="Arial" panose="020B0604020202020204" pitchFamily="34" charset="0"/>
                    <a:cs typeface="Arial" panose="020B0604020202020204" pitchFamily="34" charset="0"/>
                  </a:rPr>
                  <a:t>No.</a:t>
                </a:r>
                <a:r>
                  <a:rPr lang="en-US" sz="900" baseline="0">
                    <a:latin typeface="Arial" panose="020B0604020202020204" pitchFamily="34" charset="0"/>
                    <a:cs typeface="Arial" panose="020B0604020202020204" pitchFamily="34" charset="0"/>
                  </a:rPr>
                  <a:t> of invention disclosures</a:t>
                </a:r>
                <a:endParaRPr lang="en-US" sz="9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27803227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129945576005695"/>
          <c:y val="5.1728211392930726E-2"/>
          <c:w val="0.82784002447233729"/>
          <c:h val="0.718274335730268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'Summary 2'!$H$41</c:f>
              <c:strCache>
                <c:ptCount val="1"/>
                <c:pt idx="0">
                  <c:v>PFRAs</c:v>
                </c:pt>
              </c:strCache>
            </c:strRef>
          </c:tx>
          <c:invertIfNegative val="0"/>
          <c:cat>
            <c:numRef>
              <c:f>'Summary 2'!$I$40:$K$40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2'!$I$41:$K$41</c:f>
              <c:numCache>
                <c:formatCode>General</c:formatCode>
                <c:ptCount val="3"/>
                <c:pt idx="0">
                  <c:v>177</c:v>
                </c:pt>
                <c:pt idx="1">
                  <c:v>165</c:v>
                </c:pt>
                <c:pt idx="2">
                  <c:v>184</c:v>
                </c:pt>
              </c:numCache>
            </c:numRef>
          </c:val>
        </c:ser>
        <c:ser>
          <c:idx val="1"/>
          <c:order val="1"/>
          <c:tx>
            <c:strRef>
              <c:f>'Summary 2'!$H$42</c:f>
              <c:strCache>
                <c:ptCount val="1"/>
                <c:pt idx="0">
                  <c:v>UNIs</c:v>
                </c:pt>
              </c:strCache>
            </c:strRef>
          </c:tx>
          <c:invertIfNegative val="0"/>
          <c:cat>
            <c:numRef>
              <c:f>'Summary 2'!$I$40:$K$40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2'!$I$42:$K$42</c:f>
              <c:numCache>
                <c:formatCode>General</c:formatCode>
                <c:ptCount val="3"/>
                <c:pt idx="0">
                  <c:v>373</c:v>
                </c:pt>
                <c:pt idx="1">
                  <c:v>427</c:v>
                </c:pt>
                <c:pt idx="2">
                  <c:v>594</c:v>
                </c:pt>
              </c:numCache>
            </c:numRef>
          </c:val>
        </c:ser>
        <c:ser>
          <c:idx val="2"/>
          <c:order val="2"/>
          <c:tx>
            <c:strRef>
              <c:f>'Summary 2'!$H$43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'Summary 2'!$I$40:$K$40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2'!$I$43:$K$43</c:f>
              <c:numCache>
                <c:formatCode>General</c:formatCode>
                <c:ptCount val="3"/>
                <c:pt idx="0">
                  <c:v>375</c:v>
                </c:pt>
                <c:pt idx="1">
                  <c:v>346</c:v>
                </c:pt>
                <c:pt idx="2">
                  <c:v>434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029528"/>
        <c:axId val="278033448"/>
      </c:barChart>
      <c:catAx>
        <c:axId val="278029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278033448"/>
        <c:crosses val="autoZero"/>
        <c:auto val="1"/>
        <c:lblAlgn val="ctr"/>
        <c:lblOffset val="100"/>
        <c:noMultiLvlLbl val="0"/>
      </c:catAx>
      <c:valAx>
        <c:axId val="27803344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>
                    <a:latin typeface="Arial" panose="020B0604020202020204" pitchFamily="34" charset="0"/>
                    <a:cs typeface="Arial" panose="020B0604020202020204" pitchFamily="34" charset="0"/>
                  </a:rPr>
                  <a:t>Number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802952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413749035926318"/>
          <c:y val="5.2161238830347054E-2"/>
          <c:w val="0.83807032041786855"/>
          <c:h val="0.778320051383305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'Summary 2'!$H$16</c:f>
              <c:strCache>
                <c:ptCount val="1"/>
                <c:pt idx="0">
                  <c:v>PFRAs</c:v>
                </c:pt>
              </c:strCache>
            </c:strRef>
          </c:tx>
          <c:invertIfNegative val="0"/>
          <c:cat>
            <c:numRef>
              <c:f>'Summary 2'!$I$15:$K$15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2'!$I$16:$K$16</c:f>
              <c:numCache>
                <c:formatCode>0</c:formatCode>
                <c:ptCount val="3"/>
                <c:pt idx="0">
                  <c:v>175.68</c:v>
                </c:pt>
                <c:pt idx="1">
                  <c:v>170.69000000000003</c:v>
                </c:pt>
                <c:pt idx="2">
                  <c:v>186.79999999999998</c:v>
                </c:pt>
              </c:numCache>
            </c:numRef>
          </c:val>
        </c:ser>
        <c:ser>
          <c:idx val="1"/>
          <c:order val="1"/>
          <c:tx>
            <c:strRef>
              <c:f>'Summary 2'!$H$17</c:f>
              <c:strCache>
                <c:ptCount val="1"/>
                <c:pt idx="0">
                  <c:v>UNIs</c:v>
                </c:pt>
              </c:strCache>
            </c:strRef>
          </c:tx>
          <c:invertIfNegative val="0"/>
          <c:cat>
            <c:numRef>
              <c:f>'Summary 2'!$I$15:$K$15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2'!$I$17:$K$17</c:f>
              <c:numCache>
                <c:formatCode>0</c:formatCode>
                <c:ptCount val="3"/>
                <c:pt idx="0">
                  <c:v>322.77999999999997</c:v>
                </c:pt>
                <c:pt idx="1">
                  <c:v>466.35</c:v>
                </c:pt>
                <c:pt idx="2">
                  <c:v>314.60999999999996</c:v>
                </c:pt>
              </c:numCache>
            </c:numRef>
          </c:val>
        </c:ser>
        <c:ser>
          <c:idx val="2"/>
          <c:order val="2"/>
          <c:tx>
            <c:strRef>
              <c:f>'Summary 2'!$H$18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'Summary 2'!$I$15:$K$15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2'!$I$18:$K$18</c:f>
              <c:numCache>
                <c:formatCode>0</c:formatCode>
                <c:ptCount val="3"/>
                <c:pt idx="0">
                  <c:v>38.230000000000004</c:v>
                </c:pt>
                <c:pt idx="1">
                  <c:v>39.630000000000003</c:v>
                </c:pt>
                <c:pt idx="2">
                  <c:v>30.540000000000003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031488"/>
        <c:axId val="278031880"/>
      </c:barChart>
      <c:catAx>
        <c:axId val="278031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278031880"/>
        <c:crosses val="autoZero"/>
        <c:auto val="1"/>
        <c:lblAlgn val="ctr"/>
        <c:lblOffset val="100"/>
        <c:noMultiLvlLbl val="0"/>
      </c:catAx>
      <c:valAx>
        <c:axId val="27803188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 baseline="0">
                    <a:latin typeface="Arial" panose="020B0604020202020204" pitchFamily="34" charset="0"/>
                    <a:cs typeface="Arial" panose="020B0604020202020204" pitchFamily="34" charset="0"/>
                  </a:rPr>
                  <a:t>Number 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27803148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09923858527585"/>
          <c:y val="2.4997516439877847E-2"/>
          <c:w val="0.82468418180400715"/>
          <c:h val="0.774574343598285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'Summary 2-3'!$H$77</c:f>
              <c:strCache>
                <c:ptCount val="1"/>
                <c:pt idx="0">
                  <c:v>PFRAs</c:v>
                </c:pt>
              </c:strCache>
            </c:strRef>
          </c:tx>
          <c:invertIfNegative val="0"/>
          <c:cat>
            <c:numRef>
              <c:f>'Summary 2-3'!$I$76:$K$76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2-3'!$I$77:$K$77</c:f>
              <c:numCache>
                <c:formatCode>General</c:formatCode>
                <c:ptCount val="3"/>
                <c:pt idx="0">
                  <c:v>125</c:v>
                </c:pt>
                <c:pt idx="1">
                  <c:v>162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'Summary 2-3'!$H$78</c:f>
              <c:strCache>
                <c:ptCount val="1"/>
                <c:pt idx="0">
                  <c:v>UNIs</c:v>
                </c:pt>
              </c:strCache>
            </c:strRef>
          </c:tx>
          <c:invertIfNegative val="0"/>
          <c:cat>
            <c:numRef>
              <c:f>'Summary 2-3'!$I$76:$K$76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2-3'!$I$78:$K$78</c:f>
              <c:numCache>
                <c:formatCode>General</c:formatCode>
                <c:ptCount val="3"/>
                <c:pt idx="0">
                  <c:v>319</c:v>
                </c:pt>
                <c:pt idx="1">
                  <c:v>431</c:v>
                </c:pt>
                <c:pt idx="2">
                  <c:v>617</c:v>
                </c:pt>
              </c:numCache>
            </c:numRef>
          </c:val>
        </c:ser>
        <c:ser>
          <c:idx val="2"/>
          <c:order val="2"/>
          <c:tx>
            <c:strRef>
              <c:f>'Summary 2-3'!$H$79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'Summary 2-3'!$I$76:$K$76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2-3'!$I$79:$K$79</c:f>
              <c:numCache>
                <c:formatCode>General</c:formatCode>
                <c:ptCount val="3"/>
                <c:pt idx="0">
                  <c:v>47</c:v>
                </c:pt>
                <c:pt idx="1">
                  <c:v>38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026784"/>
        <c:axId val="278027176"/>
      </c:barChart>
      <c:catAx>
        <c:axId val="27802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278027176"/>
        <c:crosses val="autoZero"/>
        <c:auto val="1"/>
        <c:lblAlgn val="ctr"/>
        <c:lblOffset val="100"/>
        <c:noMultiLvlLbl val="0"/>
      </c:catAx>
      <c:valAx>
        <c:axId val="2780271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>
                    <a:latin typeface="Arial" panose="020B0604020202020204" pitchFamily="34" charset="0"/>
                    <a:cs typeface="Arial" panose="020B0604020202020204" pitchFamily="34" charset="0"/>
                  </a:rPr>
                  <a:t>Number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802678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2-3'!$H$97</c:f>
              <c:strCache>
                <c:ptCount val="1"/>
                <c:pt idx="0">
                  <c:v>PFRAs</c:v>
                </c:pt>
              </c:strCache>
            </c:strRef>
          </c:tx>
          <c:invertIfNegative val="0"/>
          <c:cat>
            <c:numRef>
              <c:f>'Summary 2-3'!$I$96:$K$96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2-3'!$I$97:$K$97</c:f>
              <c:numCache>
                <c:formatCode>0</c:formatCode>
                <c:ptCount val="3"/>
                <c:pt idx="0">
                  <c:v>682</c:v>
                </c:pt>
                <c:pt idx="1">
                  <c:v>686</c:v>
                </c:pt>
                <c:pt idx="2">
                  <c:v>429</c:v>
                </c:pt>
              </c:numCache>
            </c:numRef>
          </c:val>
        </c:ser>
        <c:ser>
          <c:idx val="1"/>
          <c:order val="1"/>
          <c:tx>
            <c:strRef>
              <c:f>'Summary 2-3'!$H$98</c:f>
              <c:strCache>
                <c:ptCount val="1"/>
                <c:pt idx="0">
                  <c:v>UNIs</c:v>
                </c:pt>
              </c:strCache>
            </c:strRef>
          </c:tx>
          <c:invertIfNegative val="0"/>
          <c:cat>
            <c:numRef>
              <c:f>'Summary 2-3'!$I$96:$K$96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2-3'!$I$98:$K$98</c:f>
              <c:numCache>
                <c:formatCode>0</c:formatCode>
                <c:ptCount val="3"/>
                <c:pt idx="0">
                  <c:v>1133.56</c:v>
                </c:pt>
                <c:pt idx="1">
                  <c:v>1610.6599999999999</c:v>
                </c:pt>
                <c:pt idx="2">
                  <c:v>1609</c:v>
                </c:pt>
              </c:numCache>
            </c:numRef>
          </c:val>
        </c:ser>
        <c:ser>
          <c:idx val="2"/>
          <c:order val="2"/>
          <c:tx>
            <c:strRef>
              <c:f>'Summary 2-3'!$H$99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'Summary 2-3'!$I$96:$K$96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2-3'!$I$99:$K$99</c:f>
              <c:numCache>
                <c:formatCode>0</c:formatCode>
                <c:ptCount val="3"/>
                <c:pt idx="0">
                  <c:v>145.5</c:v>
                </c:pt>
                <c:pt idx="1">
                  <c:v>157</c:v>
                </c:pt>
                <c:pt idx="2">
                  <c:v>197.5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028744"/>
        <c:axId val="278027960"/>
      </c:barChart>
      <c:catAx>
        <c:axId val="278028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278027960"/>
        <c:crosses val="autoZero"/>
        <c:auto val="1"/>
        <c:lblAlgn val="ctr"/>
        <c:lblOffset val="100"/>
        <c:noMultiLvlLbl val="0"/>
      </c:catAx>
      <c:valAx>
        <c:axId val="2780279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>
                    <a:latin typeface="Arial" panose="020B0604020202020204" pitchFamily="34" charset="0"/>
                    <a:cs typeface="Arial" panose="020B0604020202020204" pitchFamily="34" charset="0"/>
                  </a:rPr>
                  <a:t>No.</a:t>
                </a:r>
                <a:r>
                  <a:rPr lang="en-US" sz="900" baseline="0">
                    <a:latin typeface="Arial" panose="020B0604020202020204" pitchFamily="34" charset="0"/>
                    <a:cs typeface="Arial" panose="020B0604020202020204" pitchFamily="34" charset="0"/>
                  </a:rPr>
                  <a:t> of active LOAs</a:t>
                </a:r>
                <a:endParaRPr lang="en-US" sz="9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27802874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'Summary 2'!$H$90</c:f>
              <c:strCache>
                <c:ptCount val="1"/>
                <c:pt idx="0">
                  <c:v>PFRAs</c:v>
                </c:pt>
              </c:strCache>
            </c:strRef>
          </c:tx>
          <c:invertIfNegative val="0"/>
          <c:cat>
            <c:numRef>
              <c:f>'Summary 2'!$I$89:$K$89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2'!$I$90:$K$90</c:f>
              <c:numCache>
                <c:formatCode>0.0</c:formatCode>
                <c:ptCount val="3"/>
                <c:pt idx="0">
                  <c:v>294.02114676113359</c:v>
                </c:pt>
                <c:pt idx="1">
                  <c:v>45.483868154158209</c:v>
                </c:pt>
                <c:pt idx="2">
                  <c:v>46.082534000000003</c:v>
                </c:pt>
              </c:numCache>
            </c:numRef>
          </c:val>
        </c:ser>
        <c:ser>
          <c:idx val="1"/>
          <c:order val="1"/>
          <c:tx>
            <c:strRef>
              <c:f>'Summary 2'!$H$91</c:f>
              <c:strCache>
                <c:ptCount val="1"/>
                <c:pt idx="0">
                  <c:v>UNIs</c:v>
                </c:pt>
              </c:strCache>
            </c:strRef>
          </c:tx>
          <c:invertIfNegative val="0"/>
          <c:cat>
            <c:numRef>
              <c:f>'Summary 2'!$I$89:$K$89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2'!$I$91:$K$91</c:f>
              <c:numCache>
                <c:formatCode>0.0</c:formatCode>
                <c:ptCount val="3"/>
                <c:pt idx="0">
                  <c:v>35.834650627530365</c:v>
                </c:pt>
                <c:pt idx="1">
                  <c:v>74.123807281947251</c:v>
                </c:pt>
                <c:pt idx="2">
                  <c:v>61.103708519999998</c:v>
                </c:pt>
              </c:numCache>
            </c:numRef>
          </c:val>
        </c:ser>
        <c:ser>
          <c:idx val="2"/>
          <c:order val="2"/>
          <c:tx>
            <c:strRef>
              <c:f>'Summary 2'!$H$92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'Summary 2'!$I$89:$K$89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2'!$I$92:$K$92</c:f>
              <c:numCache>
                <c:formatCode>0.0</c:formatCode>
                <c:ptCount val="3"/>
                <c:pt idx="0">
                  <c:v>28.542422682186238</c:v>
                </c:pt>
                <c:pt idx="1">
                  <c:v>9.1011624847870198</c:v>
                </c:pt>
                <c:pt idx="2">
                  <c:v>29.228844049999999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029920"/>
        <c:axId val="278029136"/>
      </c:barChart>
      <c:catAx>
        <c:axId val="278029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278029136"/>
        <c:crosses val="autoZero"/>
        <c:auto val="1"/>
        <c:lblAlgn val="ctr"/>
        <c:lblOffset val="100"/>
        <c:noMultiLvlLbl val="0"/>
      </c:catAx>
      <c:valAx>
        <c:axId val="2780291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 baseline="0">
                    <a:latin typeface="Arial" panose="020B0604020202020204" pitchFamily="34" charset="0"/>
                    <a:cs typeface="Arial" panose="020B0604020202020204" pitchFamily="34" charset="0"/>
                  </a:rPr>
                  <a:t>$ Million</a:t>
                </a:r>
                <a:endParaRPr lang="en-US" sz="9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2780299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22021257243835"/>
          <c:y val="4.3732222405901841E-2"/>
          <c:w val="0.81801741118993787"/>
          <c:h val="0.783231752989024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'Summary 2'!$H$108</c:f>
              <c:strCache>
                <c:ptCount val="1"/>
                <c:pt idx="0">
                  <c:v>PFRAs</c:v>
                </c:pt>
              </c:strCache>
            </c:strRef>
          </c:tx>
          <c:invertIfNegative val="0"/>
          <c:cat>
            <c:numRef>
              <c:f>'Summary 2'!$I$107:$K$107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2'!$I$108:$K$108</c:f>
              <c:numCache>
                <c:formatCode>0.0</c:formatCode>
                <c:ptCount val="3"/>
                <c:pt idx="0">
                  <c:v>21.587375506072874</c:v>
                </c:pt>
                <c:pt idx="1">
                  <c:v>16.849363083164302</c:v>
                </c:pt>
                <c:pt idx="2">
                  <c:v>20.417449999999999</c:v>
                </c:pt>
              </c:numCache>
            </c:numRef>
          </c:val>
        </c:ser>
        <c:ser>
          <c:idx val="1"/>
          <c:order val="1"/>
          <c:tx>
            <c:strRef>
              <c:f>'Summary 2'!$H$109</c:f>
              <c:strCache>
                <c:ptCount val="1"/>
                <c:pt idx="0">
                  <c:v>UNIs</c:v>
                </c:pt>
              </c:strCache>
            </c:strRef>
          </c:tx>
          <c:invertIfNegative val="0"/>
          <c:cat>
            <c:numRef>
              <c:f>'Summary 2'!$I$107:$K$107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2'!$I$109:$K$109</c:f>
              <c:numCache>
                <c:formatCode>0.0</c:formatCode>
                <c:ptCount val="3"/>
                <c:pt idx="0">
                  <c:v>66.075683542510134</c:v>
                </c:pt>
                <c:pt idx="1">
                  <c:v>112.58247521298175</c:v>
                </c:pt>
                <c:pt idx="2">
                  <c:v>68.035824000000005</c:v>
                </c:pt>
              </c:numCache>
            </c:numRef>
          </c:val>
        </c:ser>
        <c:ser>
          <c:idx val="2"/>
          <c:order val="2"/>
          <c:tx>
            <c:strRef>
              <c:f>'Summary 2'!$H$110</c:f>
              <c:strCache>
                <c:ptCount val="1"/>
                <c:pt idx="0">
                  <c:v>MRIs</c:v>
                </c:pt>
              </c:strCache>
            </c:strRef>
          </c:tx>
          <c:invertIfNegative val="0"/>
          <c:cat>
            <c:numRef>
              <c:f>'Summary 2'!$I$107:$K$107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'Summary 2'!$I$110:$K$110</c:f>
              <c:numCache>
                <c:formatCode>0.0</c:formatCode>
                <c:ptCount val="3"/>
                <c:pt idx="0">
                  <c:v>13.478650283400809</c:v>
                </c:pt>
                <c:pt idx="1">
                  <c:v>16.6637676673428</c:v>
                </c:pt>
                <c:pt idx="2">
                  <c:v>13.918431759999999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998040"/>
        <c:axId val="275001960"/>
      </c:barChart>
      <c:catAx>
        <c:axId val="274998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275001960"/>
        <c:crosses val="autoZero"/>
        <c:auto val="1"/>
        <c:lblAlgn val="ctr"/>
        <c:lblOffset val="100"/>
        <c:noMultiLvlLbl val="0"/>
      </c:catAx>
      <c:valAx>
        <c:axId val="2750019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 sz="900" baseline="0">
                    <a:latin typeface="Arial" panose="020B0604020202020204" pitchFamily="34" charset="0"/>
                    <a:cs typeface="Arial" panose="020B0604020202020204" pitchFamily="34" charset="0"/>
                  </a:rPr>
                  <a:t>$ Million</a:t>
                </a:r>
                <a:endParaRPr lang="en-US" sz="9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27499804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0F9AE9CB0AC8BD46B106CB2DA8BAEE75" ma:contentTypeVersion="78" ma:contentTypeDescription="Core Publishing Document, inherited from OOTB document." ma:contentTypeScope="" ma:versionID="46606f1a2198ea9398e8682855fd82bf">
  <xsd:schema xmlns:xsd="http://www.w3.org/2001/XMLSchema" xmlns:xs="http://www.w3.org/2001/XMLSchema" xmlns:p="http://schemas.microsoft.com/office/2006/metadata/properties" xmlns:ns1="http://schemas.microsoft.com/sharepoint/v3" xmlns:ns2="d580843d-216d-45a8-9226-4ce87fce8ec1" xmlns:ns3="c0b4bd0a-f6ac-422c-a0b2-ddc3a705a698" xmlns:ns4="ce38ff00-81e0-4a2a-ab02-fc1e56a2e679" targetNamespace="http://schemas.microsoft.com/office/2006/metadata/properties" ma:root="true" ma:fieldsID="856cca03d489173e4609413fa00b9057" ns1:_="" ns2:_="" ns3:_="" ns4:_="">
    <xsd:import namespace="http://schemas.microsoft.com/sharepoint/v3"/>
    <xsd:import namespace="d580843d-216d-45a8-9226-4ce87fce8ec1"/>
    <xsd:import namespace="c0b4bd0a-f6ac-422c-a0b2-ddc3a705a698"/>
    <xsd:import namespace="ce38ff00-81e0-4a2a-ab02-fc1e56a2e679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 minOccurs="0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 minOccurs="0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  <xsd:element ref="ns4:Survey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843d-216d-45a8-9226-4ce87fce8ec1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nillable="true" ma:displayName="Document Contact" ma:list="UserInfo" ma:internalName="CorePublishingDocument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nillable="true" ma:displayName="File Reference" ma:description="Audit Requirement." ma:internalName="CorePublishingFileReference" ma:readOnly="false">
      <xsd:simpleType>
        <xsd:restriction base="dms:Text"/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bd0a-f6ac-422c-a0b2-ddc3a705a698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4a441248-04bf-4c62-8747-8bfb61e5e21c" ma:internalName="Subject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fbec0be5-db93-4c03-a796-ce5d02f374a3" ma:internalName="Keywords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233fae74-8b6e-4f87-8db3-5052d625541f}" ma:internalName="CorePublishingDocumentCategory" ma:showField="Title" ma:web="c0b4bd0a-f6ac-422c-a0b2-ddc3a705a698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6ca4ea36-3739-485e-8e04-ddf89b384e56}" ma:internalName="DocumentRollupCategory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8ff00-81e0-4a2a-ab02-fc1e56a2e679" elementFormDefault="qualified">
    <xsd:import namespace="http://schemas.microsoft.com/office/2006/documentManagement/types"/>
    <xsd:import namespace="http://schemas.microsoft.com/office/infopath/2007/PartnerControls"/>
    <xsd:element name="Survey_x0020_year" ma:index="23" nillable="true" ma:displayName="Survey year" ma:decimals="0" ma:internalName="Survey_x0020_year">
      <xsd:simpleType>
        <xsd:restriction base="dms:Number">
          <xsd:maxInclusive value="2050"/>
          <xsd:minInclusive value="199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ePublishingDocumentCategory xmlns="c0b4bd0a-f6ac-422c-a0b2-ddc3a705a698" xsi:nil="true"/>
    <IncludeInContentRollups xmlns="d580843d-216d-45a8-9226-4ce87fce8ec1">false</IncludeInContentRollups>
    <CorePublishingComments xmlns="d580843d-216d-45a8-9226-4ce87fce8ec1" xsi:nil="true"/>
    <IncludeInNotificationsAndUpdates xmlns="d580843d-216d-45a8-9226-4ce87fce8ec1">true</IncludeInNotificationsAndUpdates>
    <PublishingStartDate xmlns="http://schemas.microsoft.com/sharepoint/v3" xsi:nil="true"/>
    <KeywordsLookupField xmlns="c0b4bd0a-f6ac-422c-a0b2-ddc3a705a698"/>
    <IncludeInRSSFeeds xmlns="d580843d-216d-45a8-9226-4ce87fce8ec1">false</IncludeInRSSFeeds>
    <CorePublishingDocumentChangeDescription xmlns="d580843d-216d-45a8-9226-4ce87fce8ec1" xsi:nil="true"/>
    <SubjectLookupField xmlns="c0b4bd0a-f6ac-422c-a0b2-ddc3a705a698"/>
    <CorePublishingFileReference xmlns="d580843d-216d-45a8-9226-4ce87fce8ec1" xsi:nil="true"/>
    <CorePublishingDocumentContact xmlns="d580843d-216d-45a8-9226-4ce87fce8ec1">
      <UserInfo>
        <DisplayName/>
        <AccountId xsi:nil="true"/>
        <AccountType/>
      </UserInfo>
    </CorePublishingDocumentContact>
    <Survey_x0020_year xmlns="ce38ff00-81e0-4a2a-ab02-fc1e56a2e679">2014</Survey_x0020_year>
    <DocumentRollupCategory xmlns="c0b4bd0a-f6ac-422c-a0b2-ddc3a705a698"/>
    <PublishingExpirationDate xmlns="http://schemas.microsoft.com/sharepoint/v3" xsi:nil="true"/>
    <IPSCategory xmlns="d580843d-216d-45a8-9226-4ce87fce8e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3072-C455-4526-9CCE-8DBB3602F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80843d-216d-45a8-9226-4ce87fce8ec1"/>
    <ds:schemaRef ds:uri="c0b4bd0a-f6ac-422c-a0b2-ddc3a705a698"/>
    <ds:schemaRef ds:uri="ce38ff00-81e0-4a2a-ab02-fc1e56a2e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A4297-052B-4DF2-92A4-E2E6DBF1B4D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0b4bd0a-f6ac-422c-a0b2-ddc3a705a698"/>
    <ds:schemaRef ds:uri="http://schemas.microsoft.com/sharepoint/v3"/>
    <ds:schemaRef ds:uri="d580843d-216d-45a8-9226-4ce87fce8ec1"/>
    <ds:schemaRef ds:uri="http://purl.org/dc/terms/"/>
    <ds:schemaRef ds:uri="ce38ff00-81e0-4a2a-ab02-fc1e56a2e67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ADE89B-F6AF-4096-8C31-2090FA380C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C23AD-D57C-4550-AE46-1CB79CBE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Australian Government | Department of Industry, Innovation and Science</Company>
  <LinksUpToDate>false</LinksUpToDate>
  <CharactersWithSpaces>11735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Russell Wilson</dc:creator>
  <cp:keywords>Report template</cp:keywords>
  <cp:lastModifiedBy>Bingham, Adam</cp:lastModifiedBy>
  <cp:revision>2</cp:revision>
  <cp:lastPrinted>2015-09-21T00:08:00Z</cp:lastPrinted>
  <dcterms:created xsi:type="dcterms:W3CDTF">2019-02-14T02:09:00Z</dcterms:created>
  <dcterms:modified xsi:type="dcterms:W3CDTF">2019-02-14T02:09:00Z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ntentTypeId">
    <vt:lpwstr>0x01010097F86F0C24D64525B252BB20BD9D45A7000F9AE9CB0AC8BD46B106CB2DA8BAEE75</vt:lpwstr>
  </property>
  <property fmtid="{D5CDD505-2E9C-101B-9397-08002B2CF9AE}" pid="9" name="TemplateUrl">
    <vt:lpwstr/>
  </property>
</Properties>
</file>