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2.xml" ContentType="application/vnd.openxmlformats-officedocument.wordprocessingml.header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C5" w:rsidRDefault="00EC56C5" w:rsidP="008F54AC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color w:val="0000FF"/>
          <w:sz w:val="20"/>
          <w:lang w:eastAsia="en-AU"/>
        </w:rPr>
        <w:drawing>
          <wp:inline distT="0" distB="0" distL="0" distR="0" wp14:anchorId="7C5D42AC" wp14:editId="20D3AC75">
            <wp:extent cx="2780808" cy="1057523"/>
            <wp:effectExtent l="0" t="0" r="63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_Industry_inl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72" cy="105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43E" w:rsidRPr="00EC56C5" w:rsidRDefault="0055243E" w:rsidP="00F41EEA">
      <w:pPr>
        <w:jc w:val="center"/>
        <w:rPr>
          <w:b/>
          <w:sz w:val="28"/>
          <w:szCs w:val="28"/>
        </w:rPr>
      </w:pPr>
      <w:r w:rsidRPr="00EC56C5">
        <w:rPr>
          <w:b/>
          <w:sz w:val="28"/>
          <w:szCs w:val="28"/>
        </w:rPr>
        <w:t>NATIONAL SURVEY OF RESEARCH COMMERCIALISATION 2010 AND 2011</w:t>
      </w:r>
    </w:p>
    <w:p w:rsidR="00926EA5" w:rsidRPr="00EC56C5" w:rsidRDefault="00926EA5" w:rsidP="00F41EEA">
      <w:pPr>
        <w:jc w:val="center"/>
        <w:rPr>
          <w:b/>
          <w:sz w:val="28"/>
          <w:szCs w:val="28"/>
        </w:rPr>
        <w:sectPr w:rsidR="00926EA5" w:rsidRPr="00EC56C5" w:rsidSect="0055243E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E64B2" w:rsidRPr="00EC56C5" w:rsidRDefault="008E64B2">
      <w:pPr>
        <w:rPr>
          <w:b/>
          <w:sz w:val="24"/>
          <w:szCs w:val="24"/>
        </w:rPr>
      </w:pPr>
      <w:r w:rsidRPr="00EC56C5">
        <w:rPr>
          <w:b/>
          <w:sz w:val="24"/>
          <w:szCs w:val="24"/>
        </w:rPr>
        <w:t>KEY POINTS</w:t>
      </w:r>
      <w:r w:rsidR="0018316E" w:rsidRPr="00EC56C5">
        <w:rPr>
          <w:b/>
          <w:sz w:val="24"/>
          <w:szCs w:val="24"/>
        </w:rPr>
        <w:t xml:space="preserve"> </w:t>
      </w:r>
      <w:r w:rsidR="00EB2B23" w:rsidRPr="00EC56C5">
        <w:rPr>
          <w:b/>
          <w:sz w:val="24"/>
          <w:szCs w:val="24"/>
        </w:rPr>
        <w:t>(72 institutions)</w:t>
      </w:r>
    </w:p>
    <w:p w:rsidR="00EB2B23" w:rsidRDefault="00EB2B23">
      <w:pPr>
        <w:rPr>
          <w:b/>
          <w:color w:val="1F497D" w:themeColor="text2"/>
        </w:rPr>
        <w:sectPr w:rsidR="00EB2B23" w:rsidSect="00926EA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695E" w:rsidRPr="00AD36B2" w:rsidRDefault="0055243E">
      <w:pPr>
        <w:rPr>
          <w:b/>
          <w:color w:val="1F497D" w:themeColor="text2"/>
        </w:rPr>
      </w:pPr>
      <w:r w:rsidRPr="00AD36B2">
        <w:rPr>
          <w:b/>
          <w:color w:val="1F497D" w:themeColor="text2"/>
        </w:rPr>
        <w:t>INTELLECTUAL PROPERTY ACTIVITY</w:t>
      </w:r>
    </w:p>
    <w:p w:rsidR="0055243E" w:rsidRDefault="0055243E" w:rsidP="0055243E">
      <w:pPr>
        <w:pStyle w:val="ListParagraph"/>
        <w:numPr>
          <w:ilvl w:val="0"/>
          <w:numId w:val="1"/>
        </w:numPr>
      </w:pPr>
      <w:r>
        <w:t xml:space="preserve">The number of invention disclosures </w:t>
      </w:r>
      <w:r w:rsidR="00D50F56">
        <w:t xml:space="preserve">increased by 14% </w:t>
      </w:r>
      <w:r>
        <w:t xml:space="preserve">from 1,498 in </w:t>
      </w:r>
      <w:r w:rsidR="00D50F56">
        <w:t xml:space="preserve">2009 to 1,705 in 2011. </w:t>
      </w:r>
    </w:p>
    <w:p w:rsidR="00D50F56" w:rsidRDefault="00D50F56" w:rsidP="0055243E">
      <w:pPr>
        <w:pStyle w:val="ListParagraph"/>
        <w:numPr>
          <w:ilvl w:val="0"/>
          <w:numId w:val="1"/>
        </w:numPr>
      </w:pPr>
      <w:r>
        <w:t>The number of patent</w:t>
      </w:r>
      <w:r w:rsidR="00294E19">
        <w:t xml:space="preserve"> and plant breeder rights filing decreased by 9% from 1,938 in 2009 to 1,758 in 2011.</w:t>
      </w:r>
      <w:r>
        <w:t xml:space="preserve"> </w:t>
      </w:r>
    </w:p>
    <w:p w:rsidR="0062383A" w:rsidRDefault="0062383A" w:rsidP="0062383A">
      <w:pPr>
        <w:pStyle w:val="ListParagraph"/>
        <w:numPr>
          <w:ilvl w:val="0"/>
          <w:numId w:val="1"/>
        </w:numPr>
      </w:pPr>
      <w:r>
        <w:t xml:space="preserve">The total stock of patents and plant breeder’s rights increased by 6% from 10,422 in 2009 to 11,004 in 2011.  </w:t>
      </w:r>
    </w:p>
    <w:p w:rsidR="0062383A" w:rsidRPr="0062383A" w:rsidRDefault="0062383A" w:rsidP="0062383A">
      <w:pPr>
        <w:pStyle w:val="ListParagraph"/>
        <w:numPr>
          <w:ilvl w:val="0"/>
          <w:numId w:val="1"/>
        </w:numPr>
        <w:rPr>
          <w:b/>
        </w:rPr>
      </w:pPr>
      <w:r w:rsidRPr="0062383A">
        <w:t xml:space="preserve">The number of patents and plant breeder rights issued was 866 in 2009, 1, </w:t>
      </w:r>
      <w:r w:rsidR="00ED1DF6">
        <w:t>0</w:t>
      </w:r>
      <w:r w:rsidRPr="0062383A">
        <w:t xml:space="preserve">46 in 2010 and 948 in 2011. </w:t>
      </w:r>
    </w:p>
    <w:p w:rsidR="00F41EEA" w:rsidRDefault="00F41EEA" w:rsidP="0062383A">
      <w:pPr>
        <w:pStyle w:val="ListParagraph"/>
        <w:ind w:left="0"/>
        <w:rPr>
          <w:b/>
        </w:rPr>
      </w:pPr>
    </w:p>
    <w:p w:rsidR="005F49B5" w:rsidRDefault="001476C1" w:rsidP="0062383A">
      <w:pPr>
        <w:pStyle w:val="ListParagraph"/>
        <w:ind w:left="0"/>
        <w:rPr>
          <w:b/>
        </w:rPr>
      </w:pPr>
      <w:r>
        <w:rPr>
          <w:b/>
        </w:rPr>
        <w:t xml:space="preserve">Table 1:  </w:t>
      </w:r>
      <w:r w:rsidR="005F49B5" w:rsidRPr="005F49B5">
        <w:rPr>
          <w:b/>
        </w:rPr>
        <w:t xml:space="preserve">Number of patents and plant breeder rights issued </w:t>
      </w:r>
      <w:r w:rsidR="00A97382">
        <w:rPr>
          <w:b/>
        </w:rPr>
        <w:t>by sector,</w:t>
      </w:r>
      <w:r w:rsidR="00A97382" w:rsidRPr="005F49B5">
        <w:rPr>
          <w:b/>
        </w:rPr>
        <w:t xml:space="preserve"> 2009</w:t>
      </w:r>
      <w:r w:rsidR="005F49B5" w:rsidRPr="005F49B5">
        <w:rPr>
          <w:b/>
        </w:rPr>
        <w:t>-2011</w:t>
      </w:r>
    </w:p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1265"/>
        <w:gridCol w:w="960"/>
        <w:gridCol w:w="960"/>
        <w:gridCol w:w="960"/>
      </w:tblGrid>
      <w:tr w:rsidR="0018316E" w:rsidRPr="0018316E" w:rsidTr="0018316E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</w:tr>
      <w:tr w:rsidR="0018316E" w:rsidRPr="0018316E" w:rsidTr="0018316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PFRA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254</w:t>
            </w:r>
          </w:p>
        </w:tc>
      </w:tr>
      <w:tr w:rsidR="0018316E" w:rsidRPr="0018316E" w:rsidTr="0018316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Universities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613</w:t>
            </w:r>
          </w:p>
        </w:tc>
      </w:tr>
      <w:tr w:rsidR="0018316E" w:rsidRPr="0018316E" w:rsidTr="0018316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color w:val="000000"/>
                <w:lang w:eastAsia="en-AU"/>
              </w:rPr>
              <w:t>81</w:t>
            </w:r>
          </w:p>
        </w:tc>
      </w:tr>
      <w:tr w:rsidR="0018316E" w:rsidRPr="0018316E" w:rsidTr="0018316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316E" w:rsidRPr="0018316E" w:rsidRDefault="0018316E" w:rsidP="00183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18316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948</w:t>
            </w:r>
          </w:p>
        </w:tc>
      </w:tr>
    </w:tbl>
    <w:p w:rsidR="0018316E" w:rsidRDefault="0018316E" w:rsidP="005F49B5">
      <w:pPr>
        <w:pStyle w:val="ListParagraph"/>
        <w:rPr>
          <w:b/>
        </w:rPr>
      </w:pPr>
    </w:p>
    <w:p w:rsidR="00F41EEA" w:rsidRDefault="00F41EEA" w:rsidP="001476C1">
      <w:pPr>
        <w:pStyle w:val="ListParagraph"/>
        <w:ind w:left="0"/>
        <w:rPr>
          <w:b/>
        </w:rPr>
      </w:pPr>
    </w:p>
    <w:p w:rsidR="001476C1" w:rsidRDefault="001476C1" w:rsidP="001476C1">
      <w:pPr>
        <w:pStyle w:val="ListParagraph"/>
        <w:ind w:left="0"/>
        <w:rPr>
          <w:b/>
        </w:rPr>
      </w:pPr>
      <w:r>
        <w:rPr>
          <w:b/>
        </w:rPr>
        <w:t xml:space="preserve">Figure 1:  </w:t>
      </w:r>
      <w:r w:rsidRPr="005F49B5">
        <w:rPr>
          <w:b/>
        </w:rPr>
        <w:t>Number of pa</w:t>
      </w:r>
      <w:r w:rsidR="00A97382">
        <w:rPr>
          <w:b/>
        </w:rPr>
        <w:t>tents and plant breeder rights i</w:t>
      </w:r>
      <w:r w:rsidRPr="005F49B5">
        <w:rPr>
          <w:b/>
        </w:rPr>
        <w:t xml:space="preserve">ssued </w:t>
      </w:r>
      <w:r w:rsidR="00A97382">
        <w:rPr>
          <w:b/>
        </w:rPr>
        <w:t>by sector,</w:t>
      </w:r>
      <w:r w:rsidR="00A97382" w:rsidRPr="005F49B5">
        <w:rPr>
          <w:b/>
        </w:rPr>
        <w:t xml:space="preserve"> 2009</w:t>
      </w:r>
      <w:r w:rsidRPr="005F49B5">
        <w:rPr>
          <w:b/>
        </w:rPr>
        <w:t>-2011</w:t>
      </w:r>
    </w:p>
    <w:p w:rsidR="001476C1" w:rsidRDefault="001476C1" w:rsidP="001476C1">
      <w:pPr>
        <w:pStyle w:val="ListParagraph"/>
        <w:ind w:left="0"/>
        <w:rPr>
          <w:b/>
        </w:rPr>
      </w:pPr>
    </w:p>
    <w:p w:rsidR="00F41EEA" w:rsidRDefault="005F49B5" w:rsidP="00083CBC">
      <w:pPr>
        <w:rPr>
          <w:b/>
          <w:noProof/>
          <w:color w:val="1F497D" w:themeColor="text2"/>
          <w:lang w:eastAsia="en-AU"/>
        </w:rPr>
      </w:pPr>
      <w:r>
        <w:rPr>
          <w:noProof/>
          <w:lang w:eastAsia="en-AU"/>
        </w:rPr>
        <w:drawing>
          <wp:inline distT="0" distB="0" distL="0" distR="0" wp14:anchorId="333DE0FD" wp14:editId="67ED2938">
            <wp:extent cx="2798859" cy="2218414"/>
            <wp:effectExtent l="0" t="0" r="190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1EEA" w:rsidRDefault="00F41EEA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br w:type="page"/>
      </w:r>
    </w:p>
    <w:p w:rsidR="00B12824" w:rsidRPr="00F41EEA" w:rsidRDefault="005F49B5" w:rsidP="00083CBC">
      <w:pPr>
        <w:rPr>
          <w:b/>
          <w:noProof/>
          <w:color w:val="1F497D" w:themeColor="text2"/>
          <w:lang w:eastAsia="en-AU"/>
        </w:rPr>
      </w:pPr>
      <w:r w:rsidRPr="0023044C">
        <w:rPr>
          <w:b/>
          <w:noProof/>
          <w:color w:val="1F497D" w:themeColor="text2"/>
          <w:lang w:eastAsia="en-AU"/>
        </w:rPr>
        <w:lastRenderedPageBreak/>
        <w:t>LICE</w:t>
      </w:r>
      <w:r w:rsidR="0023044C" w:rsidRPr="0023044C">
        <w:rPr>
          <w:b/>
          <w:noProof/>
          <w:color w:val="1F497D" w:themeColor="text2"/>
          <w:lang w:eastAsia="en-AU"/>
        </w:rPr>
        <w:t>N</w:t>
      </w:r>
      <w:r w:rsidRPr="0023044C">
        <w:rPr>
          <w:b/>
          <w:noProof/>
          <w:color w:val="1F497D" w:themeColor="text2"/>
          <w:lang w:eastAsia="en-AU"/>
        </w:rPr>
        <w:t>CES, OPTIONS AND ASSIGNMENTS (LOAs)</w:t>
      </w:r>
    </w:p>
    <w:p w:rsidR="005F49B5" w:rsidRDefault="005F49B5" w:rsidP="005F49B5">
      <w:pPr>
        <w:pStyle w:val="ListParagraph"/>
        <w:numPr>
          <w:ilvl w:val="0"/>
          <w:numId w:val="2"/>
        </w:numPr>
      </w:pPr>
      <w:r>
        <w:t>Adjusted LOA income was $337m in 2009, $162m in 2010 and $121m in 2011.</w:t>
      </w:r>
    </w:p>
    <w:p w:rsidR="003A2BC8" w:rsidRDefault="003A2BC8" w:rsidP="003A2BC8">
      <w:pPr>
        <w:pStyle w:val="ListParagraph"/>
        <w:numPr>
          <w:ilvl w:val="0"/>
          <w:numId w:val="2"/>
        </w:numPr>
      </w:pPr>
      <w:r>
        <w:t>The number of active LOAs increased from 1,838 in 2009 to 2,873 in 2011.</w:t>
      </w:r>
    </w:p>
    <w:p w:rsidR="003A2BC8" w:rsidRDefault="003A2BC8" w:rsidP="003A2BC8">
      <w:pPr>
        <w:pStyle w:val="ListParagraph"/>
        <w:numPr>
          <w:ilvl w:val="0"/>
          <w:numId w:val="2"/>
        </w:numPr>
      </w:pPr>
      <w:r>
        <w:t>The number of LOAs yielding income increased from 702 in 2009 to 789 in 2011.</w:t>
      </w:r>
      <w:r w:rsidR="00ED1DF6">
        <w:t xml:space="preserve"> However, the number of active LOAs yielding income decreased from 802 in 2010 to 789 in 2011.</w:t>
      </w:r>
    </w:p>
    <w:p w:rsidR="00F41EEA" w:rsidRDefault="00F41EEA" w:rsidP="003A2BC8">
      <w:pPr>
        <w:pStyle w:val="ListParagraph"/>
        <w:ind w:left="0"/>
        <w:rPr>
          <w:b/>
        </w:rPr>
      </w:pPr>
    </w:p>
    <w:p w:rsidR="0023044C" w:rsidRDefault="001476C1" w:rsidP="003A2BC8">
      <w:pPr>
        <w:pStyle w:val="ListParagraph"/>
        <w:ind w:left="0"/>
        <w:rPr>
          <w:b/>
        </w:rPr>
      </w:pPr>
      <w:r>
        <w:rPr>
          <w:b/>
        </w:rPr>
        <w:t xml:space="preserve">Table 2:  </w:t>
      </w:r>
      <w:r w:rsidR="003A2BC8">
        <w:rPr>
          <w:b/>
        </w:rPr>
        <w:t>Number of LOAs yielding income</w:t>
      </w:r>
      <w:r w:rsidR="00A97382">
        <w:rPr>
          <w:b/>
        </w:rPr>
        <w:t xml:space="preserve"> by sector</w:t>
      </w:r>
      <w:r w:rsidR="003A2BC8">
        <w:rPr>
          <w:b/>
        </w:rPr>
        <w:t>, 2009-2011</w:t>
      </w:r>
    </w:p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1265"/>
        <w:gridCol w:w="960"/>
        <w:gridCol w:w="960"/>
        <w:gridCol w:w="960"/>
      </w:tblGrid>
      <w:tr w:rsidR="003A2BC8" w:rsidRPr="003A2BC8" w:rsidTr="003A2B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</w:tr>
      <w:tr w:rsidR="003A2BC8" w:rsidRPr="003A2BC8" w:rsidTr="003A2BC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PFRA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276</w:t>
            </w:r>
          </w:p>
        </w:tc>
      </w:tr>
      <w:tr w:rsidR="003A2BC8" w:rsidRPr="003A2BC8" w:rsidTr="003A2BC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Universities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445</w:t>
            </w:r>
          </w:p>
        </w:tc>
      </w:tr>
      <w:tr w:rsidR="003A2BC8" w:rsidRPr="003A2BC8" w:rsidTr="003A2BC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color w:val="000000"/>
                <w:lang w:eastAsia="en-AU"/>
              </w:rPr>
              <w:t>68</w:t>
            </w:r>
          </w:p>
        </w:tc>
      </w:tr>
      <w:tr w:rsidR="003A2BC8" w:rsidRPr="003A2BC8" w:rsidTr="003A2BC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2BC8" w:rsidRPr="003A2BC8" w:rsidRDefault="003A2BC8" w:rsidP="003A2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BC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789</w:t>
            </w:r>
          </w:p>
        </w:tc>
      </w:tr>
    </w:tbl>
    <w:p w:rsidR="003A2BC8" w:rsidRDefault="003A2BC8" w:rsidP="0023044C">
      <w:pPr>
        <w:pStyle w:val="ListParagraph"/>
        <w:rPr>
          <w:b/>
        </w:rPr>
      </w:pPr>
    </w:p>
    <w:p w:rsidR="00F41EEA" w:rsidRDefault="00F41EEA" w:rsidP="001476C1">
      <w:pPr>
        <w:pStyle w:val="ListParagraph"/>
        <w:ind w:left="0"/>
        <w:rPr>
          <w:b/>
        </w:rPr>
      </w:pPr>
    </w:p>
    <w:p w:rsidR="001476C1" w:rsidRDefault="001476C1" w:rsidP="001476C1">
      <w:pPr>
        <w:pStyle w:val="ListParagraph"/>
        <w:ind w:left="0"/>
        <w:rPr>
          <w:b/>
        </w:rPr>
      </w:pPr>
      <w:r>
        <w:rPr>
          <w:b/>
        </w:rPr>
        <w:t>Figure 2:  Number of LOAs yielding income</w:t>
      </w:r>
      <w:r w:rsidR="00A97382">
        <w:rPr>
          <w:b/>
        </w:rPr>
        <w:t xml:space="preserve"> by sector</w:t>
      </w:r>
      <w:r>
        <w:rPr>
          <w:b/>
        </w:rPr>
        <w:t>, 2009-2011</w:t>
      </w:r>
    </w:p>
    <w:p w:rsidR="001476C1" w:rsidRDefault="001476C1" w:rsidP="001476C1">
      <w:pPr>
        <w:pStyle w:val="ListParagraph"/>
        <w:ind w:left="0"/>
        <w:rPr>
          <w:b/>
        </w:rPr>
      </w:pPr>
    </w:p>
    <w:p w:rsidR="0023044C" w:rsidRDefault="0023044C" w:rsidP="0023044C">
      <w:pPr>
        <w:pStyle w:val="ListParagraph"/>
      </w:pPr>
      <w:r>
        <w:rPr>
          <w:noProof/>
          <w:lang w:eastAsia="en-AU"/>
        </w:rPr>
        <w:drawing>
          <wp:inline distT="0" distB="0" distL="0" distR="0" wp14:anchorId="6DB3522E" wp14:editId="136498F6">
            <wp:extent cx="3538330" cy="1932167"/>
            <wp:effectExtent l="0" t="0" r="508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1EEA" w:rsidRDefault="00F41EEA" w:rsidP="003A69A2">
      <w:pPr>
        <w:rPr>
          <w:b/>
          <w:noProof/>
          <w:color w:val="1F497D" w:themeColor="text2"/>
          <w:lang w:eastAsia="en-AU"/>
        </w:rPr>
      </w:pPr>
    </w:p>
    <w:p w:rsidR="00F41EEA" w:rsidRDefault="00F41EEA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br w:type="page"/>
      </w:r>
    </w:p>
    <w:p w:rsidR="0023044C" w:rsidRPr="003A69A2" w:rsidRDefault="00B310D0" w:rsidP="003A69A2">
      <w:pPr>
        <w:rPr>
          <w:b/>
          <w:noProof/>
          <w:color w:val="1F497D" w:themeColor="text2"/>
          <w:lang w:eastAsia="en-AU"/>
        </w:rPr>
      </w:pPr>
      <w:r w:rsidRPr="003A69A2">
        <w:rPr>
          <w:b/>
          <w:noProof/>
          <w:color w:val="1F497D" w:themeColor="text2"/>
          <w:lang w:eastAsia="en-AU"/>
        </w:rPr>
        <w:lastRenderedPageBreak/>
        <w:t>START-UP COMPANY ACTIVITY</w:t>
      </w:r>
    </w:p>
    <w:p w:rsidR="003A69A2" w:rsidRDefault="00FD695E" w:rsidP="00B310D0">
      <w:pPr>
        <w:pStyle w:val="ListParagraph"/>
        <w:numPr>
          <w:ilvl w:val="0"/>
          <w:numId w:val="4"/>
        </w:numPr>
      </w:pPr>
      <w:r>
        <w:t>Capital raising for research commercialisati</w:t>
      </w:r>
      <w:r w:rsidR="007976A2">
        <w:t xml:space="preserve">on activities increased from $148m </w:t>
      </w:r>
      <w:r w:rsidR="003A69A2">
        <w:t>in 2009 to $165m in 201</w:t>
      </w:r>
      <w:r w:rsidR="00ED1DF6">
        <w:t>1</w:t>
      </w:r>
      <w:r w:rsidR="003A69A2">
        <w:t>.</w:t>
      </w:r>
    </w:p>
    <w:p w:rsidR="003A69A2" w:rsidRDefault="003A69A2" w:rsidP="00B310D0">
      <w:pPr>
        <w:pStyle w:val="ListParagraph"/>
        <w:numPr>
          <w:ilvl w:val="0"/>
          <w:numId w:val="4"/>
        </w:numPr>
      </w:pPr>
      <w:r>
        <w:t>Operational start-up companies decreased</w:t>
      </w:r>
      <w:r w:rsidR="00DD73C4">
        <w:t xml:space="preserve"> from 216 in 2009 to 199 in 2011</w:t>
      </w:r>
      <w:r>
        <w:t>.</w:t>
      </w:r>
    </w:p>
    <w:p w:rsidR="003A2BC8" w:rsidRDefault="003A2BC8" w:rsidP="003A2BC8">
      <w:pPr>
        <w:pStyle w:val="ListParagraph"/>
        <w:numPr>
          <w:ilvl w:val="0"/>
          <w:numId w:val="4"/>
        </w:numPr>
      </w:pPr>
      <w:r>
        <w:t>New start-up c</w:t>
      </w:r>
      <w:r w:rsidR="0062383A">
        <w:t>ompany formation declined from 27</w:t>
      </w:r>
      <w:r>
        <w:t xml:space="preserve"> in 2009 to 17 in 2011.</w:t>
      </w:r>
    </w:p>
    <w:p w:rsidR="00F41EEA" w:rsidRDefault="00F41EEA" w:rsidP="003A69A2">
      <w:pPr>
        <w:rPr>
          <w:b/>
          <w:color w:val="1F497D" w:themeColor="text2"/>
        </w:rPr>
      </w:pPr>
    </w:p>
    <w:p w:rsidR="00256A7A" w:rsidRDefault="001476C1" w:rsidP="003A69A2">
      <w:pPr>
        <w:rPr>
          <w:b/>
        </w:rPr>
      </w:pPr>
      <w:r>
        <w:rPr>
          <w:b/>
        </w:rPr>
        <w:t xml:space="preserve">Table 3:  </w:t>
      </w:r>
      <w:r w:rsidR="009A040F" w:rsidRPr="003B2285">
        <w:rPr>
          <w:b/>
        </w:rPr>
        <w:t xml:space="preserve">Number of </w:t>
      </w:r>
      <w:r w:rsidR="00567475" w:rsidRPr="003B2285">
        <w:rPr>
          <w:b/>
        </w:rPr>
        <w:t xml:space="preserve">new </w:t>
      </w:r>
      <w:r w:rsidR="009A040F" w:rsidRPr="003B2285">
        <w:rPr>
          <w:b/>
        </w:rPr>
        <w:t>start-up companies formed</w:t>
      </w:r>
      <w:r w:rsidR="003B2285">
        <w:rPr>
          <w:b/>
        </w:rPr>
        <w:t xml:space="preserve"> </w:t>
      </w:r>
      <w:r w:rsidR="00A97382">
        <w:rPr>
          <w:b/>
        </w:rPr>
        <w:t xml:space="preserve">by sector, </w:t>
      </w:r>
      <w:r w:rsidR="003B2285">
        <w:rPr>
          <w:b/>
        </w:rPr>
        <w:t>2009-2011</w:t>
      </w:r>
    </w:p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1265"/>
        <w:gridCol w:w="960"/>
        <w:gridCol w:w="960"/>
        <w:gridCol w:w="960"/>
      </w:tblGrid>
      <w:tr w:rsidR="001476C1" w:rsidRPr="00256A7A" w:rsidTr="0072017C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</w:tr>
      <w:tr w:rsidR="001476C1" w:rsidRPr="00256A7A" w:rsidTr="0072017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PFRA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</w:tr>
      <w:tr w:rsidR="001476C1" w:rsidRPr="00256A7A" w:rsidTr="0072017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Universities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</w:tr>
      <w:tr w:rsidR="001476C1" w:rsidRPr="00256A7A" w:rsidTr="0072017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256A7A" w:rsidRDefault="001476C1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6A7A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1476C1" w:rsidRPr="000258E0" w:rsidTr="0072017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76C1" w:rsidRPr="000258E0" w:rsidRDefault="001476C1" w:rsidP="0072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0258E0" w:rsidRDefault="001476C1" w:rsidP="00025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0258E0" w:rsidRDefault="001476C1" w:rsidP="00025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C1" w:rsidRPr="000258E0" w:rsidRDefault="001476C1" w:rsidP="00025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color w:val="000000"/>
                <w:highlight w:val="lightGray"/>
                <w:lang w:eastAsia="en-AU"/>
              </w:rPr>
              <w:t>17</w:t>
            </w:r>
          </w:p>
        </w:tc>
      </w:tr>
    </w:tbl>
    <w:p w:rsidR="00F41EEA" w:rsidRDefault="00F41EEA" w:rsidP="001476C1">
      <w:pPr>
        <w:rPr>
          <w:b/>
        </w:rPr>
      </w:pPr>
    </w:p>
    <w:p w:rsidR="001476C1" w:rsidRDefault="001476C1" w:rsidP="001476C1">
      <w:pPr>
        <w:rPr>
          <w:b/>
        </w:rPr>
      </w:pPr>
      <w:r>
        <w:rPr>
          <w:b/>
        </w:rPr>
        <w:t xml:space="preserve">Figure 3:  </w:t>
      </w:r>
      <w:r w:rsidRPr="003B2285">
        <w:rPr>
          <w:b/>
        </w:rPr>
        <w:t xml:space="preserve">Number of new start-up companies </w:t>
      </w:r>
      <w:r w:rsidR="00A97382" w:rsidRPr="003B2285">
        <w:rPr>
          <w:b/>
        </w:rPr>
        <w:t>formed</w:t>
      </w:r>
      <w:r w:rsidR="00A97382">
        <w:rPr>
          <w:b/>
        </w:rPr>
        <w:t xml:space="preserve"> by sector, </w:t>
      </w:r>
      <w:r>
        <w:rPr>
          <w:b/>
        </w:rPr>
        <w:t>2009-2011</w:t>
      </w:r>
    </w:p>
    <w:p w:rsidR="00CA30D9" w:rsidRDefault="00CA30D9" w:rsidP="00CA30D9">
      <w:pPr>
        <w:rPr>
          <w:b/>
          <w:noProof/>
          <w:color w:val="1F497D" w:themeColor="text2"/>
          <w:lang w:eastAsia="en-AU"/>
        </w:rPr>
      </w:pPr>
      <w:r>
        <w:rPr>
          <w:noProof/>
          <w:lang w:eastAsia="en-AU"/>
        </w:rPr>
        <w:drawing>
          <wp:inline distT="0" distB="0" distL="0" distR="0" wp14:anchorId="47F2B4AF" wp14:editId="450A6894">
            <wp:extent cx="2640965" cy="2083572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1EEA" w:rsidRDefault="00F41EEA" w:rsidP="00CA30D9">
      <w:pPr>
        <w:rPr>
          <w:b/>
          <w:noProof/>
          <w:color w:val="1F497D" w:themeColor="text2"/>
          <w:lang w:eastAsia="en-AU"/>
        </w:rPr>
      </w:pPr>
    </w:p>
    <w:p w:rsidR="00F41EEA" w:rsidRDefault="00F41EEA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br w:type="page"/>
      </w:r>
    </w:p>
    <w:p w:rsidR="00422BC1" w:rsidRDefault="00422BC1" w:rsidP="00CA30D9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lastRenderedPageBreak/>
        <w:t>CONTRACTS,  CONSULTANCIES AND DIRECT SALES</w:t>
      </w:r>
    </w:p>
    <w:p w:rsidR="00963235" w:rsidRDefault="00963235" w:rsidP="00963235">
      <w:pPr>
        <w:pStyle w:val="ListParagraph"/>
        <w:numPr>
          <w:ilvl w:val="0"/>
          <w:numId w:val="9"/>
        </w:numPr>
        <w:rPr>
          <w:noProof/>
          <w:lang w:eastAsia="en-AU"/>
        </w:rPr>
      </w:pPr>
      <w:r>
        <w:rPr>
          <w:noProof/>
          <w:lang w:eastAsia="en-AU"/>
        </w:rPr>
        <w:t>The total number of direct sales</w:t>
      </w:r>
      <w:r w:rsidR="00B235CE">
        <w:rPr>
          <w:noProof/>
          <w:lang w:eastAsia="en-AU"/>
        </w:rPr>
        <w:t xml:space="preserve"> transactions</w:t>
      </w:r>
      <w:r>
        <w:rPr>
          <w:noProof/>
          <w:lang w:eastAsia="en-AU"/>
        </w:rPr>
        <w:t xml:space="preserve"> declined from 14,803 in 2009 to 14,642 in 2011. </w:t>
      </w:r>
    </w:p>
    <w:p w:rsidR="007976A2" w:rsidRDefault="007976A2" w:rsidP="007976A2">
      <w:pPr>
        <w:pStyle w:val="ListParagraph"/>
        <w:numPr>
          <w:ilvl w:val="0"/>
          <w:numId w:val="9"/>
        </w:numPr>
        <w:rPr>
          <w:noProof/>
          <w:lang w:eastAsia="en-AU"/>
        </w:rPr>
      </w:pPr>
      <w:r>
        <w:rPr>
          <w:noProof/>
          <w:lang w:eastAsia="en-AU"/>
        </w:rPr>
        <w:t>The total number of resear</w:t>
      </w:r>
      <w:r w:rsidRPr="00963235">
        <w:rPr>
          <w:noProof/>
          <w:lang w:eastAsia="en-AU"/>
        </w:rPr>
        <w:t xml:space="preserve">ch contracts </w:t>
      </w:r>
      <w:r>
        <w:rPr>
          <w:noProof/>
          <w:lang w:eastAsia="en-AU"/>
        </w:rPr>
        <w:t xml:space="preserve">and consultancies was </w:t>
      </w:r>
      <w:r w:rsidR="00802ED5">
        <w:rPr>
          <w:noProof/>
          <w:lang w:eastAsia="en-AU"/>
        </w:rPr>
        <w:t xml:space="preserve">14,397 in 2009, 15,587 in 2010 </w:t>
      </w:r>
      <w:r>
        <w:rPr>
          <w:noProof/>
          <w:lang w:eastAsia="en-AU"/>
        </w:rPr>
        <w:t>and 15,570 in 2011.</w:t>
      </w:r>
    </w:p>
    <w:p w:rsidR="00F41EEA" w:rsidRDefault="00F41EEA" w:rsidP="00CA30D9">
      <w:pPr>
        <w:rPr>
          <w:b/>
          <w:noProof/>
          <w:color w:val="1F497D" w:themeColor="text2"/>
          <w:lang w:eastAsia="en-AU"/>
        </w:rPr>
      </w:pPr>
    </w:p>
    <w:p w:rsidR="00422BC1" w:rsidRPr="00D92AEE" w:rsidRDefault="001476C1" w:rsidP="00CA30D9">
      <w:pPr>
        <w:rPr>
          <w:b/>
          <w:noProof/>
          <w:lang w:eastAsia="en-AU"/>
        </w:rPr>
      </w:pPr>
      <w:r>
        <w:rPr>
          <w:b/>
          <w:noProof/>
          <w:lang w:eastAsia="en-AU"/>
        </w:rPr>
        <w:t xml:space="preserve">Table 4:  </w:t>
      </w:r>
      <w:r w:rsidR="00192CCE" w:rsidRPr="00D92AEE">
        <w:rPr>
          <w:b/>
          <w:noProof/>
          <w:lang w:eastAsia="en-AU"/>
        </w:rPr>
        <w:t>Numb</w:t>
      </w:r>
      <w:r w:rsidR="000249DA" w:rsidRPr="00D92AEE">
        <w:rPr>
          <w:b/>
          <w:noProof/>
          <w:lang w:eastAsia="en-AU"/>
        </w:rPr>
        <w:t>er of contracts and consultancy agreements entered into</w:t>
      </w:r>
      <w:r w:rsidR="00195712">
        <w:rPr>
          <w:b/>
          <w:noProof/>
          <w:lang w:eastAsia="en-AU"/>
        </w:rPr>
        <w:t xml:space="preserve"> by</w:t>
      </w:r>
      <w:r w:rsidR="00A97382">
        <w:rPr>
          <w:b/>
          <w:noProof/>
          <w:lang w:eastAsia="en-AU"/>
        </w:rPr>
        <w:t xml:space="preserve"> sector</w:t>
      </w:r>
      <w:r w:rsidR="000249DA" w:rsidRPr="00D92AEE">
        <w:rPr>
          <w:b/>
          <w:noProof/>
          <w:lang w:eastAsia="en-AU"/>
        </w:rPr>
        <w:t>, 2009-2011</w:t>
      </w:r>
    </w:p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1296"/>
        <w:gridCol w:w="960"/>
        <w:gridCol w:w="960"/>
        <w:gridCol w:w="960"/>
      </w:tblGrid>
      <w:tr w:rsidR="0085615F" w:rsidRPr="0085615F" w:rsidTr="0085615F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PFRA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3,718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3,112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3,022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Universities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10,171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11,911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11,990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558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14,397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15,587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15,570</w:t>
            </w:r>
          </w:p>
        </w:tc>
      </w:tr>
    </w:tbl>
    <w:p w:rsidR="0085615F" w:rsidRDefault="0085615F" w:rsidP="00CA30D9">
      <w:pPr>
        <w:rPr>
          <w:b/>
          <w:noProof/>
          <w:color w:val="1F497D" w:themeColor="text2"/>
          <w:lang w:eastAsia="en-AU"/>
        </w:rPr>
      </w:pPr>
    </w:p>
    <w:p w:rsidR="001476C1" w:rsidRPr="00D92AEE" w:rsidRDefault="001476C1" w:rsidP="001476C1">
      <w:pPr>
        <w:rPr>
          <w:b/>
          <w:noProof/>
          <w:lang w:eastAsia="en-AU"/>
        </w:rPr>
      </w:pPr>
      <w:r>
        <w:rPr>
          <w:b/>
          <w:noProof/>
          <w:lang w:eastAsia="en-AU"/>
        </w:rPr>
        <w:t xml:space="preserve">Figure 4:  </w:t>
      </w:r>
      <w:r w:rsidRPr="00D92AEE">
        <w:rPr>
          <w:b/>
          <w:noProof/>
          <w:lang w:eastAsia="en-AU"/>
        </w:rPr>
        <w:t>Number of contracts and consultancy agreements entered into</w:t>
      </w:r>
      <w:r w:rsidR="00A97382">
        <w:rPr>
          <w:b/>
          <w:noProof/>
          <w:lang w:eastAsia="en-AU"/>
        </w:rPr>
        <w:t xml:space="preserve"> by sector</w:t>
      </w:r>
      <w:r w:rsidRPr="00D92AEE">
        <w:rPr>
          <w:b/>
          <w:noProof/>
          <w:lang w:eastAsia="en-AU"/>
        </w:rPr>
        <w:t>, 2009-2011</w:t>
      </w:r>
    </w:p>
    <w:p w:rsidR="00422BC1" w:rsidRDefault="00D92AEE" w:rsidP="00CA30D9">
      <w:pPr>
        <w:rPr>
          <w:b/>
          <w:noProof/>
          <w:color w:val="1F497D" w:themeColor="text2"/>
          <w:lang w:eastAsia="en-AU"/>
        </w:rPr>
      </w:pPr>
      <w:r>
        <w:rPr>
          <w:noProof/>
          <w:lang w:eastAsia="en-AU"/>
        </w:rPr>
        <w:drawing>
          <wp:inline distT="0" distB="0" distL="0" distR="0" wp14:anchorId="3B5AC8C9" wp14:editId="24D5AAC0">
            <wp:extent cx="3053301" cy="2091193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76C1" w:rsidRDefault="001476C1" w:rsidP="00CA30D9">
      <w:pPr>
        <w:rPr>
          <w:b/>
          <w:noProof/>
          <w:color w:val="1F497D" w:themeColor="text2"/>
          <w:lang w:eastAsia="en-AU"/>
        </w:rPr>
      </w:pPr>
    </w:p>
    <w:p w:rsidR="001476C1" w:rsidRDefault="001476C1" w:rsidP="00CA30D9">
      <w:pPr>
        <w:rPr>
          <w:b/>
          <w:noProof/>
          <w:color w:val="1F497D" w:themeColor="text2"/>
          <w:lang w:eastAsia="en-AU"/>
        </w:rPr>
      </w:pPr>
    </w:p>
    <w:p w:rsidR="00F00214" w:rsidRDefault="00F00214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br w:type="page"/>
      </w:r>
    </w:p>
    <w:p w:rsidR="00CA30D9" w:rsidRDefault="00CA30D9" w:rsidP="00CA30D9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lastRenderedPageBreak/>
        <w:t>SKILLS DEVELOPMENT AND KNOWLEDGE EXCHANGE ACTIVITY</w:t>
      </w:r>
    </w:p>
    <w:p w:rsidR="00924C4E" w:rsidRDefault="00924C4E" w:rsidP="00924C4E">
      <w:pPr>
        <w:pStyle w:val="ListParagraph"/>
        <w:numPr>
          <w:ilvl w:val="0"/>
          <w:numId w:val="6"/>
        </w:numPr>
        <w:rPr>
          <w:noProof/>
          <w:lang w:eastAsia="en-AU"/>
        </w:rPr>
      </w:pPr>
      <w:r w:rsidRPr="00924C4E">
        <w:rPr>
          <w:noProof/>
          <w:lang w:eastAsia="en-AU"/>
        </w:rPr>
        <w:t xml:space="preserve">The number of </w:t>
      </w:r>
      <w:r w:rsidR="00DD73C4">
        <w:rPr>
          <w:noProof/>
          <w:lang w:eastAsia="en-AU"/>
        </w:rPr>
        <w:t>institutions offering in-house/or external training deceased from 48 in 2009 to 42 in 2011.</w:t>
      </w:r>
    </w:p>
    <w:p w:rsidR="00DD73C4" w:rsidRDefault="00DD73C4" w:rsidP="00924C4E">
      <w:pPr>
        <w:pStyle w:val="ListParagraph"/>
        <w:numPr>
          <w:ilvl w:val="0"/>
          <w:numId w:val="6"/>
        </w:numPr>
        <w:rPr>
          <w:noProof/>
          <w:lang w:eastAsia="en-AU"/>
        </w:rPr>
      </w:pPr>
      <w:r>
        <w:rPr>
          <w:noProof/>
          <w:lang w:eastAsia="en-AU"/>
        </w:rPr>
        <w:t>The number of in-house training participants increased from 3,887 in 2009 to 5,491 in 2011.</w:t>
      </w:r>
    </w:p>
    <w:p w:rsidR="00B42415" w:rsidRPr="00B42415" w:rsidRDefault="00DD73C4" w:rsidP="00C24661">
      <w:pPr>
        <w:pStyle w:val="ListParagraph"/>
        <w:numPr>
          <w:ilvl w:val="0"/>
          <w:numId w:val="6"/>
        </w:numPr>
        <w:jc w:val="both"/>
        <w:rPr>
          <w:b/>
          <w:color w:val="1F497D" w:themeColor="text2"/>
        </w:rPr>
      </w:pPr>
      <w:r>
        <w:rPr>
          <w:noProof/>
          <w:lang w:eastAsia="en-AU"/>
        </w:rPr>
        <w:t xml:space="preserve">The number of research postgraduates employed </w:t>
      </w:r>
      <w:r w:rsidR="007976A2">
        <w:rPr>
          <w:noProof/>
          <w:lang w:eastAsia="en-AU"/>
        </w:rPr>
        <w:t xml:space="preserve">in start-up companies was 111 in 2009, 144 in 2010 and </w:t>
      </w:r>
      <w:r>
        <w:rPr>
          <w:noProof/>
          <w:lang w:eastAsia="en-AU"/>
        </w:rPr>
        <w:t>139 in 2011.</w:t>
      </w:r>
    </w:p>
    <w:p w:rsidR="00F41EEA" w:rsidRDefault="00F41EEA" w:rsidP="00B42415">
      <w:pPr>
        <w:pStyle w:val="ListParagraph"/>
        <w:ind w:left="0"/>
        <w:rPr>
          <w:b/>
          <w:color w:val="1F497D" w:themeColor="text2"/>
        </w:rPr>
      </w:pPr>
    </w:p>
    <w:p w:rsidR="0085615F" w:rsidRDefault="001476C1" w:rsidP="0085615F">
      <w:pPr>
        <w:rPr>
          <w:b/>
        </w:rPr>
      </w:pPr>
      <w:r>
        <w:rPr>
          <w:b/>
        </w:rPr>
        <w:t xml:space="preserve">Table 5:  </w:t>
      </w:r>
      <w:r w:rsidR="007C6CEB" w:rsidRPr="007C6CEB">
        <w:rPr>
          <w:b/>
        </w:rPr>
        <w:t xml:space="preserve">Number of research postgraduates employed in start-up </w:t>
      </w:r>
      <w:r w:rsidR="0085615F" w:rsidRPr="007C6CEB">
        <w:rPr>
          <w:b/>
        </w:rPr>
        <w:t>companies</w:t>
      </w:r>
      <w:r w:rsidR="00A97382">
        <w:rPr>
          <w:b/>
        </w:rPr>
        <w:t xml:space="preserve"> by sector,</w:t>
      </w:r>
      <w:r w:rsidR="0085615F" w:rsidRPr="007C6CEB">
        <w:rPr>
          <w:b/>
        </w:rPr>
        <w:t xml:space="preserve"> 2009-2011</w:t>
      </w:r>
    </w:p>
    <w:tbl>
      <w:tblPr>
        <w:tblW w:w="4176" w:type="dxa"/>
        <w:tblInd w:w="93" w:type="dxa"/>
        <w:tblLook w:val="04A0" w:firstRow="1" w:lastRow="0" w:firstColumn="1" w:lastColumn="0" w:noHBand="0" w:noVBand="1"/>
      </w:tblPr>
      <w:tblGrid>
        <w:gridCol w:w="1296"/>
        <w:gridCol w:w="960"/>
        <w:gridCol w:w="960"/>
        <w:gridCol w:w="960"/>
      </w:tblGrid>
      <w:tr w:rsidR="0085615F" w:rsidRPr="0085615F" w:rsidTr="0085615F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</w:tr>
      <w:tr w:rsidR="0085615F" w:rsidRPr="0085615F" w:rsidTr="0085615F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PFRA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39</w:t>
            </w:r>
          </w:p>
        </w:tc>
      </w:tr>
      <w:tr w:rsidR="0085615F" w:rsidRPr="0085615F" w:rsidTr="0085615F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Universities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65</w:t>
            </w:r>
          </w:p>
        </w:tc>
      </w:tr>
      <w:tr w:rsidR="0085615F" w:rsidRPr="0085615F" w:rsidTr="0085615F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35</w:t>
            </w:r>
          </w:p>
        </w:tc>
      </w:tr>
      <w:tr w:rsidR="0085615F" w:rsidRPr="0085615F" w:rsidTr="0085615F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139</w:t>
            </w:r>
          </w:p>
        </w:tc>
      </w:tr>
    </w:tbl>
    <w:p w:rsidR="0085615F" w:rsidRDefault="0085615F" w:rsidP="007C6CEB">
      <w:pPr>
        <w:rPr>
          <w:b/>
        </w:rPr>
      </w:pPr>
    </w:p>
    <w:p w:rsidR="00F41EEA" w:rsidRDefault="00F41EEA" w:rsidP="001476C1">
      <w:pPr>
        <w:rPr>
          <w:b/>
        </w:rPr>
      </w:pPr>
    </w:p>
    <w:p w:rsidR="001476C1" w:rsidRDefault="001476C1" w:rsidP="001476C1">
      <w:pPr>
        <w:rPr>
          <w:b/>
        </w:rPr>
      </w:pPr>
      <w:r>
        <w:rPr>
          <w:b/>
        </w:rPr>
        <w:t xml:space="preserve">Figure 5:  </w:t>
      </w:r>
      <w:r w:rsidRPr="007C6CEB">
        <w:rPr>
          <w:b/>
        </w:rPr>
        <w:t>Number of research postgraduates employed in start-up companies</w:t>
      </w:r>
      <w:r w:rsidR="00A97382">
        <w:rPr>
          <w:b/>
        </w:rPr>
        <w:t xml:space="preserve"> by sector,</w:t>
      </w:r>
      <w:r w:rsidRPr="007C6CEB">
        <w:rPr>
          <w:b/>
        </w:rPr>
        <w:t xml:space="preserve"> 2009-2011</w:t>
      </w:r>
    </w:p>
    <w:p w:rsidR="00422BC1" w:rsidRDefault="00422BC1" w:rsidP="007C6CEB">
      <w:r>
        <w:rPr>
          <w:noProof/>
          <w:lang w:eastAsia="en-AU"/>
        </w:rPr>
        <w:drawing>
          <wp:inline distT="0" distB="0" distL="0" distR="0" wp14:anchorId="34045886" wp14:editId="25C4DF2D">
            <wp:extent cx="3029447" cy="201168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0214" w:rsidRDefault="00F00214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br w:type="page"/>
      </w:r>
    </w:p>
    <w:p w:rsidR="00B42415" w:rsidRDefault="00B42415" w:rsidP="00B42415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lastRenderedPageBreak/>
        <w:t>RESOURCES FOR RESEARCH COMMERCIALISATION</w:t>
      </w:r>
    </w:p>
    <w:p w:rsidR="00B42415" w:rsidRDefault="001D61A2" w:rsidP="007C6CEB">
      <w:pPr>
        <w:pStyle w:val="ListParagraph"/>
        <w:numPr>
          <w:ilvl w:val="0"/>
          <w:numId w:val="6"/>
        </w:numPr>
      </w:pPr>
      <w:r>
        <w:rPr>
          <w:noProof/>
          <w:lang w:eastAsia="en-AU"/>
        </w:rPr>
        <w:t xml:space="preserve">Net commercialisation costs, including marketing, legal, staff and non-staff costs increased from $121m in 2009 to $134m in 2011.  </w:t>
      </w:r>
    </w:p>
    <w:p w:rsidR="00B7322B" w:rsidRPr="00F00214" w:rsidRDefault="007976A2" w:rsidP="001D61A2">
      <w:pPr>
        <w:pStyle w:val="ListParagraph"/>
        <w:numPr>
          <w:ilvl w:val="0"/>
          <w:numId w:val="6"/>
        </w:numPr>
        <w:rPr>
          <w:noProof/>
          <w:lang w:eastAsia="en-AU"/>
        </w:rPr>
      </w:pPr>
      <w:r w:rsidRPr="00924C4E">
        <w:rPr>
          <w:noProof/>
          <w:lang w:eastAsia="en-AU"/>
        </w:rPr>
        <w:t xml:space="preserve">The </w:t>
      </w:r>
      <w:r>
        <w:rPr>
          <w:noProof/>
          <w:lang w:eastAsia="en-AU"/>
        </w:rPr>
        <w:t xml:space="preserve">total </w:t>
      </w:r>
      <w:r w:rsidRPr="00924C4E">
        <w:rPr>
          <w:noProof/>
          <w:lang w:eastAsia="en-AU"/>
        </w:rPr>
        <w:t xml:space="preserve">number of </w:t>
      </w:r>
      <w:r>
        <w:rPr>
          <w:noProof/>
          <w:lang w:eastAsia="en-AU"/>
        </w:rPr>
        <w:t xml:space="preserve">commercialisation staff, which includes commercialisation legal, maketing and indusry engagement staff deceased </w:t>
      </w:r>
      <w:r w:rsidR="000B55A0">
        <w:rPr>
          <w:noProof/>
          <w:lang w:eastAsia="en-AU"/>
        </w:rPr>
        <w:t xml:space="preserve">from </w:t>
      </w:r>
      <w:r>
        <w:rPr>
          <w:noProof/>
          <w:lang w:eastAsia="en-AU"/>
        </w:rPr>
        <w:t>706 in 2009, 672 in 2010 and 681 in 2011.</w:t>
      </w:r>
    </w:p>
    <w:p w:rsidR="00F41EEA" w:rsidRDefault="00F41EEA" w:rsidP="001D61A2">
      <w:pPr>
        <w:rPr>
          <w:b/>
          <w:color w:val="1F497D" w:themeColor="text2"/>
        </w:rPr>
      </w:pPr>
    </w:p>
    <w:p w:rsidR="001D61A2" w:rsidRDefault="001476C1" w:rsidP="001D61A2">
      <w:pPr>
        <w:rPr>
          <w:b/>
        </w:rPr>
      </w:pPr>
      <w:r>
        <w:rPr>
          <w:b/>
        </w:rPr>
        <w:t xml:space="preserve">Table 6:  </w:t>
      </w:r>
      <w:r w:rsidR="001D61A2" w:rsidRPr="00AC2220">
        <w:rPr>
          <w:b/>
        </w:rPr>
        <w:t>Total number of commercialisation staff</w:t>
      </w:r>
      <w:r w:rsidR="00A97382">
        <w:rPr>
          <w:b/>
        </w:rPr>
        <w:t xml:space="preserve"> by sector</w:t>
      </w:r>
      <w:r w:rsidR="001D61A2" w:rsidRPr="00AC2220">
        <w:rPr>
          <w:b/>
        </w:rPr>
        <w:t>, 2009-2011</w:t>
      </w:r>
    </w:p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1296"/>
        <w:gridCol w:w="960"/>
        <w:gridCol w:w="960"/>
        <w:gridCol w:w="960"/>
      </w:tblGrid>
      <w:tr w:rsidR="0085615F" w:rsidRPr="0085615F" w:rsidTr="0085615F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PFRA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191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Universities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448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</w:tr>
      <w:tr w:rsidR="0085615F" w:rsidRPr="0085615F" w:rsidTr="0085615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15F" w:rsidRPr="0085615F" w:rsidRDefault="0085615F" w:rsidP="008561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5615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681</w:t>
            </w:r>
          </w:p>
        </w:tc>
      </w:tr>
    </w:tbl>
    <w:p w:rsidR="0085615F" w:rsidRDefault="0085615F" w:rsidP="001D61A2">
      <w:pPr>
        <w:rPr>
          <w:b/>
        </w:rPr>
      </w:pPr>
    </w:p>
    <w:p w:rsidR="001476C1" w:rsidRDefault="001476C1" w:rsidP="001476C1">
      <w:pPr>
        <w:rPr>
          <w:b/>
        </w:rPr>
      </w:pPr>
      <w:r>
        <w:rPr>
          <w:b/>
        </w:rPr>
        <w:t xml:space="preserve">Figure 6:  </w:t>
      </w:r>
      <w:r w:rsidRPr="00AC2220">
        <w:rPr>
          <w:b/>
        </w:rPr>
        <w:t>Total number of commercialisation staff</w:t>
      </w:r>
      <w:r w:rsidR="00A97382">
        <w:rPr>
          <w:b/>
        </w:rPr>
        <w:t xml:space="preserve"> by sector</w:t>
      </w:r>
      <w:r w:rsidRPr="00AC2220">
        <w:rPr>
          <w:b/>
        </w:rPr>
        <w:t>, 2009-2011</w:t>
      </w:r>
    </w:p>
    <w:p w:rsidR="00AC2220" w:rsidRPr="001D61A2" w:rsidRDefault="00AC2220" w:rsidP="001D61A2">
      <w:pPr>
        <w:rPr>
          <w:b/>
          <w:color w:val="1F497D" w:themeColor="text2"/>
        </w:rPr>
      </w:pPr>
      <w:r>
        <w:rPr>
          <w:noProof/>
          <w:lang w:eastAsia="en-AU"/>
        </w:rPr>
        <w:drawing>
          <wp:inline distT="0" distB="0" distL="0" distR="0" wp14:anchorId="680EC64D" wp14:editId="19DA5ABB">
            <wp:extent cx="2902226" cy="186060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0214" w:rsidRDefault="00F0021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2B23" w:rsidRPr="00F53943" w:rsidRDefault="00F41EEA" w:rsidP="0085615F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INTERNATIONAL COMPARIS</w:t>
      </w:r>
      <w:r w:rsidR="00EB2B23" w:rsidRPr="00F53943">
        <w:rPr>
          <w:b/>
          <w:sz w:val="28"/>
          <w:szCs w:val="28"/>
        </w:rPr>
        <w:t xml:space="preserve">ONS </w:t>
      </w:r>
    </w:p>
    <w:p w:rsidR="00A739D4" w:rsidRDefault="00EB2B23" w:rsidP="00EB2B23">
      <w:pPr>
        <w:rPr>
          <w:b/>
        </w:rPr>
      </w:pPr>
      <w:r w:rsidRPr="00AD36B2">
        <w:rPr>
          <w:b/>
          <w:color w:val="1F497D" w:themeColor="text2"/>
        </w:rPr>
        <w:t>INTELLECTUAL PROPERTY ACTIVITY</w:t>
      </w:r>
      <w:r w:rsidR="00A739D4" w:rsidRPr="00A739D4">
        <w:rPr>
          <w:b/>
        </w:rPr>
        <w:t xml:space="preserve"> </w:t>
      </w:r>
    </w:p>
    <w:p w:rsidR="00EB2B23" w:rsidRDefault="00A739D4" w:rsidP="00EB2B23">
      <w:pPr>
        <w:rPr>
          <w:b/>
          <w:color w:val="1F497D" w:themeColor="text2"/>
        </w:rPr>
      </w:pPr>
      <w:r>
        <w:rPr>
          <w:b/>
        </w:rPr>
        <w:t xml:space="preserve">Number of </w:t>
      </w:r>
      <w:r w:rsidRPr="00783678">
        <w:rPr>
          <w:b/>
        </w:rPr>
        <w:t>Invention Disclosures per $US100m research expenditure</w:t>
      </w:r>
    </w:p>
    <w:p w:rsidR="00EB2B23" w:rsidRDefault="00A01E99" w:rsidP="00A01E99">
      <w:pPr>
        <w:pStyle w:val="ListParagraph"/>
        <w:numPr>
          <w:ilvl w:val="0"/>
          <w:numId w:val="10"/>
        </w:numPr>
      </w:pPr>
      <w:r>
        <w:t xml:space="preserve">The number </w:t>
      </w:r>
      <w:r w:rsidR="0027331A">
        <w:t>of invention disclosures per $US</w:t>
      </w:r>
      <w:r>
        <w:t>100m of research expenditure by Austral</w:t>
      </w:r>
      <w:r w:rsidR="002E7535">
        <w:t xml:space="preserve">ian institutions has averaged </w:t>
      </w:r>
      <w:r w:rsidR="0089421A">
        <w:t xml:space="preserve">at </w:t>
      </w:r>
      <w:r w:rsidR="002E7535">
        <w:t>27 since 2004</w:t>
      </w:r>
      <w:r>
        <w:t xml:space="preserve"> </w:t>
      </w:r>
      <w:r w:rsidR="002E7535">
        <w:t>to 2011, lower than the US at 39; and Canada at 40</w:t>
      </w:r>
      <w:r>
        <w:t xml:space="preserve">. </w:t>
      </w:r>
      <w:r w:rsidR="002E7535">
        <w:t>From 2004</w:t>
      </w:r>
      <w:r>
        <w:t xml:space="preserve"> to 2010, the number of invention disclosures per $</w:t>
      </w:r>
      <w:r w:rsidR="00614784">
        <w:t>US100m of research expenditure</w:t>
      </w:r>
      <w:r>
        <w:t xml:space="preserve"> by UK </w:t>
      </w:r>
      <w:r w:rsidR="00DA69B9">
        <w:t xml:space="preserve">institutions has averaged </w:t>
      </w:r>
      <w:r w:rsidR="00E24AE0">
        <w:t xml:space="preserve">at </w:t>
      </w:r>
      <w:r w:rsidR="002E7535">
        <w:t>47</w:t>
      </w:r>
      <w:r w:rsidR="00DA69B9">
        <w:t>.</w:t>
      </w:r>
    </w:p>
    <w:p w:rsidR="00F00214" w:rsidRDefault="003F6976" w:rsidP="00F41EEA">
      <w:pPr>
        <w:pStyle w:val="ListParagraph"/>
        <w:numPr>
          <w:ilvl w:val="0"/>
          <w:numId w:val="10"/>
        </w:numPr>
      </w:pPr>
      <w:r>
        <w:t>Australia and the US</w:t>
      </w:r>
      <w:r w:rsidR="0089421A">
        <w:t xml:space="preserve"> have remained relatively constant </w:t>
      </w:r>
      <w:r>
        <w:t xml:space="preserve">while Canada and the UK have followed an upward trend </w:t>
      </w:r>
      <w:r w:rsidR="00614784">
        <w:t>on the number of invention disclosures per</w:t>
      </w:r>
      <w:r w:rsidR="0027331A">
        <w:t xml:space="preserve"> </w:t>
      </w:r>
      <w:r w:rsidR="00614784">
        <w:t>$</w:t>
      </w:r>
      <w:r w:rsidR="0027331A">
        <w:t>US</w:t>
      </w:r>
      <w:r w:rsidR="00614784">
        <w:t>100m of research expenditure</w:t>
      </w:r>
      <w:r>
        <w:t xml:space="preserve"> in recent years.</w:t>
      </w:r>
    </w:p>
    <w:p w:rsidR="00F41EEA" w:rsidRPr="00F41EEA" w:rsidRDefault="00F41EEA" w:rsidP="00356B63">
      <w:pPr>
        <w:pStyle w:val="ListParagraph"/>
      </w:pPr>
    </w:p>
    <w:p w:rsidR="00F41EEA" w:rsidRDefault="00F41EEA" w:rsidP="00E24AE0">
      <w:pPr>
        <w:pStyle w:val="ListParagraph"/>
        <w:ind w:left="0"/>
        <w:rPr>
          <w:b/>
          <w:color w:val="1F497D" w:themeColor="text2"/>
        </w:rPr>
      </w:pPr>
    </w:p>
    <w:p w:rsidR="00926EA5" w:rsidRDefault="001476C1" w:rsidP="00E24AE0">
      <w:pPr>
        <w:pStyle w:val="ListParagraph"/>
        <w:ind w:left="0"/>
      </w:pPr>
      <w:r>
        <w:rPr>
          <w:b/>
        </w:rPr>
        <w:t xml:space="preserve">Table 7:  </w:t>
      </w:r>
      <w:r w:rsidR="00BF1C8D">
        <w:rPr>
          <w:b/>
        </w:rPr>
        <w:t xml:space="preserve">Number of </w:t>
      </w:r>
      <w:r w:rsidR="00926EA5" w:rsidRPr="00783678">
        <w:rPr>
          <w:b/>
        </w:rPr>
        <w:t>Invention Disclosures per $US100m research expenditure</w:t>
      </w:r>
      <w:r w:rsidR="00A739D4">
        <w:rPr>
          <w:b/>
        </w:rPr>
        <w:t>, 2004</w:t>
      </w:r>
      <w:r w:rsidR="00783678" w:rsidRPr="00783678">
        <w:rPr>
          <w:b/>
        </w:rPr>
        <w:t>-2011</w:t>
      </w:r>
    </w:p>
    <w:tbl>
      <w:tblPr>
        <w:tblW w:w="5875" w:type="dxa"/>
        <w:tblLook w:val="04A0" w:firstRow="1" w:lastRow="0" w:firstColumn="1" w:lastColumn="0" w:noHBand="0" w:noVBand="1"/>
      </w:tblPr>
      <w:tblGrid>
        <w:gridCol w:w="960"/>
        <w:gridCol w:w="1035"/>
        <w:gridCol w:w="960"/>
        <w:gridCol w:w="1000"/>
        <w:gridCol w:w="960"/>
        <w:gridCol w:w="960"/>
      </w:tblGrid>
      <w:tr w:rsidR="00E24AE0" w:rsidRPr="00E24AE0" w:rsidTr="002E753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4008C1" w:rsidRDefault="00E24AE0" w:rsidP="00E24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="004008C1"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Canada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Europe</w:t>
            </w:r>
            <w:r w:rsid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(excl. UK)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29.2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28.6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28.7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27.8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27.7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AE0" w:rsidRPr="00E24AE0" w:rsidRDefault="00E24AE0" w:rsidP="00E24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31.7</w:t>
            </w:r>
          </w:p>
        </w:tc>
      </w:tr>
      <w:tr w:rsidR="00E24AE0" w:rsidRPr="00E24AE0" w:rsidTr="002E75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41.6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AE0" w:rsidRPr="00E24AE0" w:rsidRDefault="00E24AE0" w:rsidP="00E24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AE0" w:rsidRPr="00E24AE0" w:rsidRDefault="00E24AE0" w:rsidP="00E24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4AE0">
              <w:rPr>
                <w:rFonts w:ascii="Calibri" w:eastAsia="Times New Roman" w:hAnsi="Calibri" w:cs="Times New Roman"/>
                <w:color w:val="000000"/>
                <w:lang w:eastAsia="en-AU"/>
              </w:rPr>
              <w:t>28.4</w:t>
            </w:r>
          </w:p>
        </w:tc>
      </w:tr>
    </w:tbl>
    <w:p w:rsidR="00E24AE0" w:rsidRPr="000F14E6" w:rsidRDefault="000F14E6" w:rsidP="000F14E6">
      <w:pPr>
        <w:pStyle w:val="ListParagraph"/>
        <w:ind w:left="0"/>
        <w:jc w:val="both"/>
        <w:rPr>
          <w:i/>
          <w:sz w:val="16"/>
          <w:szCs w:val="16"/>
        </w:rPr>
      </w:pPr>
      <w:r w:rsidRPr="000F14E6">
        <w:rPr>
          <w:i/>
          <w:sz w:val="16"/>
          <w:szCs w:val="16"/>
        </w:rPr>
        <w:t>Note</w:t>
      </w:r>
      <w:r w:rsidR="00EC56C5" w:rsidRPr="000F14E6">
        <w:rPr>
          <w:i/>
          <w:sz w:val="16"/>
          <w:szCs w:val="16"/>
        </w:rPr>
        <w:t>:  (-) No data available</w:t>
      </w:r>
    </w:p>
    <w:p w:rsidR="000F14E6" w:rsidRDefault="000F14E6" w:rsidP="001476C1">
      <w:pPr>
        <w:pStyle w:val="ListParagraph"/>
        <w:ind w:left="0"/>
        <w:rPr>
          <w:b/>
        </w:rPr>
      </w:pPr>
    </w:p>
    <w:p w:rsidR="001476C1" w:rsidRDefault="001476C1" w:rsidP="001476C1">
      <w:pPr>
        <w:pStyle w:val="ListParagraph"/>
        <w:ind w:left="0"/>
      </w:pPr>
      <w:r>
        <w:rPr>
          <w:b/>
        </w:rPr>
        <w:t xml:space="preserve">Figure 7:  Number of </w:t>
      </w:r>
      <w:r w:rsidRPr="00783678">
        <w:rPr>
          <w:b/>
        </w:rPr>
        <w:t>Invention Disclosures per $US100m research expenditure</w:t>
      </w:r>
      <w:r>
        <w:rPr>
          <w:b/>
        </w:rPr>
        <w:t>, 2004</w:t>
      </w:r>
      <w:r w:rsidRPr="00783678">
        <w:rPr>
          <w:b/>
        </w:rPr>
        <w:t>-2011</w:t>
      </w:r>
    </w:p>
    <w:p w:rsidR="00775027" w:rsidRDefault="00775027" w:rsidP="00DA69B9">
      <w:pPr>
        <w:pStyle w:val="ListParagraph"/>
        <w:ind w:left="360"/>
      </w:pPr>
    </w:p>
    <w:p w:rsidR="00F41EEA" w:rsidRDefault="00614784" w:rsidP="00F41EEA">
      <w:pPr>
        <w:pStyle w:val="ListParagraph"/>
        <w:ind w:left="360"/>
        <w:rPr>
          <w:b/>
        </w:rPr>
      </w:pPr>
      <w:r>
        <w:rPr>
          <w:noProof/>
          <w:lang w:eastAsia="en-AU"/>
        </w:rPr>
        <w:drawing>
          <wp:inline distT="0" distB="0" distL="0" distR="0" wp14:anchorId="757D3DEE" wp14:editId="60BDC50D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6395" w:rsidRPr="00356B63" w:rsidRDefault="00586395" w:rsidP="00356B63">
      <w:pPr>
        <w:rPr>
          <w:b/>
        </w:rPr>
      </w:pPr>
      <w:r w:rsidRPr="00356B63">
        <w:rPr>
          <w:b/>
        </w:rPr>
        <w:lastRenderedPageBreak/>
        <w:t>Number of US Patents issued per $US</w:t>
      </w:r>
      <w:r w:rsidR="0072017C" w:rsidRPr="00356B63">
        <w:rPr>
          <w:b/>
        </w:rPr>
        <w:t>100m research expenditure, 2004</w:t>
      </w:r>
      <w:r w:rsidRPr="00356B63">
        <w:rPr>
          <w:b/>
        </w:rPr>
        <w:t>-2011</w:t>
      </w:r>
    </w:p>
    <w:p w:rsidR="00500FBC" w:rsidRDefault="00FC4B67" w:rsidP="00E24AE0">
      <w:pPr>
        <w:pStyle w:val="ListParagraph"/>
        <w:numPr>
          <w:ilvl w:val="0"/>
          <w:numId w:val="10"/>
        </w:numPr>
      </w:pPr>
      <w:r>
        <w:t>After a significant fall from 2004 to 2005, t</w:t>
      </w:r>
      <w:r w:rsidR="00E24AE0">
        <w:t xml:space="preserve">he number of US patents issued to </w:t>
      </w:r>
      <w:r w:rsidR="0027331A">
        <w:t>Australian</w:t>
      </w:r>
      <w:r w:rsidR="004C1005">
        <w:t xml:space="preserve"> institutions per $US100m of research expenditure has </w:t>
      </w:r>
      <w:r>
        <w:t xml:space="preserve">remained relatively constant over the years. </w:t>
      </w:r>
    </w:p>
    <w:p w:rsidR="000F14E6" w:rsidRDefault="000F14E6" w:rsidP="00E24AE0">
      <w:pPr>
        <w:pStyle w:val="ListParagraph"/>
        <w:numPr>
          <w:ilvl w:val="0"/>
          <w:numId w:val="10"/>
        </w:numPr>
      </w:pPr>
      <w:r>
        <w:t>The numbers of US patents issued to Canadian and Europe (excluding UK) institutions per $US100m of research expenditure have slowly trended upward over recent years.</w:t>
      </w:r>
    </w:p>
    <w:p w:rsidR="00195712" w:rsidRPr="00F00214" w:rsidRDefault="000F14E6" w:rsidP="00F00214">
      <w:pPr>
        <w:pStyle w:val="ListParagraph"/>
        <w:numPr>
          <w:ilvl w:val="0"/>
          <w:numId w:val="10"/>
        </w:numPr>
      </w:pPr>
      <w:r>
        <w:t>The number of US patents issued to US institutions per $US100m of research expenditure has remained relatively steady over the recent years (i.e. 2010 and 2011) while the number of patents issued to UK institutions per $US100 of research expenditure has trended downward in the recent years (i.e. 2009 and 2010).</w:t>
      </w:r>
    </w:p>
    <w:p w:rsidR="00EB57B6" w:rsidRDefault="00EB57B6" w:rsidP="00E24AE0">
      <w:pPr>
        <w:rPr>
          <w:b/>
        </w:rPr>
      </w:pPr>
    </w:p>
    <w:p w:rsidR="00E24AE0" w:rsidRPr="00013A37" w:rsidRDefault="001476C1" w:rsidP="00E24AE0">
      <w:pPr>
        <w:rPr>
          <w:b/>
        </w:rPr>
      </w:pPr>
      <w:r>
        <w:rPr>
          <w:b/>
        </w:rPr>
        <w:t xml:space="preserve">Table 8:  </w:t>
      </w:r>
      <w:r w:rsidR="004519F2" w:rsidRPr="00013A37">
        <w:rPr>
          <w:b/>
        </w:rPr>
        <w:t>US Patents issued per $</w:t>
      </w:r>
      <w:r w:rsidR="004C1005">
        <w:rPr>
          <w:b/>
        </w:rPr>
        <w:t>US</w:t>
      </w:r>
      <w:r w:rsidR="0072017C">
        <w:rPr>
          <w:b/>
        </w:rPr>
        <w:t>100m research expenditure, 2004</w:t>
      </w:r>
      <w:r w:rsidR="004519F2" w:rsidRPr="00013A37">
        <w:rPr>
          <w:b/>
        </w:rPr>
        <w:t>-2011</w:t>
      </w:r>
    </w:p>
    <w:tbl>
      <w:tblPr>
        <w:tblW w:w="5875" w:type="dxa"/>
        <w:tblInd w:w="93" w:type="dxa"/>
        <w:tblLook w:val="04A0" w:firstRow="1" w:lastRow="0" w:firstColumn="1" w:lastColumn="0" w:noHBand="0" w:noVBand="1"/>
      </w:tblPr>
      <w:tblGrid>
        <w:gridCol w:w="960"/>
        <w:gridCol w:w="1035"/>
        <w:gridCol w:w="960"/>
        <w:gridCol w:w="1000"/>
        <w:gridCol w:w="960"/>
        <w:gridCol w:w="960"/>
      </w:tblGrid>
      <w:tr w:rsidR="00013A37" w:rsidRPr="00013A37" w:rsidTr="002733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4008C1" w:rsidRDefault="00013A37" w:rsidP="00013A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 </w:t>
            </w:r>
            <w:r w:rsidR="004008C1"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Canada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Europe</w:t>
            </w:r>
            <w:r w:rsidR="000F3A2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(exc</w:t>
            </w:r>
            <w:r w:rsid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l.</w:t>
            </w:r>
            <w:r w:rsidR="000F3A2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UK)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1.2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1.5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4.3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1.7</w:t>
            </w:r>
          </w:p>
        </w:tc>
      </w:tr>
      <w:tr w:rsidR="00013A37" w:rsidRPr="00013A37" w:rsidTr="0027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3A37" w:rsidRPr="00013A37" w:rsidRDefault="00013A37" w:rsidP="0001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3A37" w:rsidRPr="00013A37" w:rsidRDefault="00013A37" w:rsidP="0001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A37">
              <w:rPr>
                <w:rFonts w:ascii="Calibri" w:eastAsia="Times New Roman" w:hAnsi="Calibri" w:cs="Times New Roman"/>
                <w:color w:val="000000"/>
                <w:lang w:eastAsia="en-AU"/>
              </w:rPr>
              <w:t>3.5</w:t>
            </w:r>
          </w:p>
        </w:tc>
      </w:tr>
    </w:tbl>
    <w:p w:rsidR="000F14E6" w:rsidRPr="000F14E6" w:rsidRDefault="000F14E6" w:rsidP="000F14E6">
      <w:pPr>
        <w:pStyle w:val="ListParagraph"/>
        <w:ind w:left="0"/>
        <w:jc w:val="both"/>
        <w:rPr>
          <w:i/>
          <w:sz w:val="16"/>
          <w:szCs w:val="16"/>
        </w:rPr>
      </w:pPr>
      <w:r w:rsidRPr="000F14E6">
        <w:rPr>
          <w:i/>
          <w:sz w:val="16"/>
          <w:szCs w:val="16"/>
        </w:rPr>
        <w:t>Note:  (-) No data available</w:t>
      </w:r>
    </w:p>
    <w:p w:rsidR="00EB2B23" w:rsidRDefault="00EB2B23" w:rsidP="0085615F">
      <w:pPr>
        <w:pStyle w:val="ListParagraph"/>
        <w:ind w:left="0"/>
      </w:pPr>
    </w:p>
    <w:p w:rsidR="001476C1" w:rsidRPr="00013A37" w:rsidRDefault="001476C1" w:rsidP="001476C1">
      <w:pPr>
        <w:rPr>
          <w:b/>
        </w:rPr>
      </w:pPr>
      <w:r>
        <w:rPr>
          <w:b/>
        </w:rPr>
        <w:t xml:space="preserve">Figure 8:  </w:t>
      </w:r>
      <w:r w:rsidRPr="00013A37">
        <w:rPr>
          <w:b/>
        </w:rPr>
        <w:t>US Patents issued per $</w:t>
      </w:r>
      <w:r>
        <w:rPr>
          <w:b/>
        </w:rPr>
        <w:t>US</w:t>
      </w:r>
      <w:r w:rsidR="0072017C">
        <w:rPr>
          <w:b/>
        </w:rPr>
        <w:t>100m research expenditure, 2004</w:t>
      </w:r>
      <w:r w:rsidRPr="00013A37">
        <w:rPr>
          <w:b/>
        </w:rPr>
        <w:t>-2011</w:t>
      </w:r>
    </w:p>
    <w:p w:rsidR="004519F2" w:rsidRDefault="00586395" w:rsidP="00586395">
      <w:pPr>
        <w:pStyle w:val="ListParagraph"/>
        <w:ind w:left="0"/>
      </w:pPr>
      <w:r>
        <w:rPr>
          <w:noProof/>
          <w:lang w:eastAsia="en-AU"/>
        </w:rPr>
        <w:drawing>
          <wp:inline distT="0" distB="0" distL="0" distR="0" wp14:anchorId="4ED9045A" wp14:editId="7688BF38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F44F6" w:rsidRPr="00083CBC" w:rsidRDefault="00F41EEA" w:rsidP="006F44F6">
      <w:r>
        <w:br w:type="page"/>
      </w:r>
      <w:r w:rsidR="006F44F6" w:rsidRPr="0023044C">
        <w:rPr>
          <w:b/>
          <w:noProof/>
          <w:color w:val="1F497D" w:themeColor="text2"/>
          <w:lang w:eastAsia="en-AU"/>
        </w:rPr>
        <w:lastRenderedPageBreak/>
        <w:t>LICENCES, OPTIONS AND ASSIGNMENTS (LOAs)</w:t>
      </w:r>
    </w:p>
    <w:p w:rsidR="00422990" w:rsidRDefault="006F44F6" w:rsidP="00422990">
      <w:pPr>
        <w:pStyle w:val="ListParagraph"/>
        <w:numPr>
          <w:ilvl w:val="0"/>
          <w:numId w:val="10"/>
        </w:numPr>
      </w:pPr>
      <w:r>
        <w:t>Th</w:t>
      </w:r>
      <w:r w:rsidR="00A739D4">
        <w:t xml:space="preserve">e number of LOAs executed per </w:t>
      </w:r>
      <w:r>
        <w:t>$</w:t>
      </w:r>
      <w:r w:rsidR="00A739D4">
        <w:t>US</w:t>
      </w:r>
      <w:r>
        <w:t>100m of research expenditu</w:t>
      </w:r>
      <w:r w:rsidR="003F6976">
        <w:t>re by Australia dropped f</w:t>
      </w:r>
      <w:r w:rsidR="00422990">
        <w:t>rom 10.6 in 2004</w:t>
      </w:r>
      <w:r>
        <w:t xml:space="preserve"> to 8.3 in </w:t>
      </w:r>
      <w:r w:rsidR="00235A46">
        <w:t>2011</w:t>
      </w:r>
      <w:r w:rsidR="003F6976">
        <w:t>.</w:t>
      </w:r>
      <w:r w:rsidR="0005281D">
        <w:t xml:space="preserve"> </w:t>
      </w:r>
      <w:r w:rsidR="00422990">
        <w:t>With the exception of the UK, a similar downward trend is reported for Canada, US, and Europe</w:t>
      </w:r>
      <w:r w:rsidR="0072017C">
        <w:t xml:space="preserve"> over the same period</w:t>
      </w:r>
      <w:r w:rsidR="00422990">
        <w:t xml:space="preserve">. </w:t>
      </w:r>
    </w:p>
    <w:p w:rsidR="001476C1" w:rsidRPr="00F00214" w:rsidRDefault="0005281D" w:rsidP="00422990">
      <w:pPr>
        <w:pStyle w:val="ListParagraph"/>
        <w:numPr>
          <w:ilvl w:val="0"/>
          <w:numId w:val="10"/>
        </w:numPr>
        <w:rPr>
          <w:b/>
          <w:color w:val="1F497D" w:themeColor="text2"/>
        </w:rPr>
      </w:pPr>
      <w:r>
        <w:t xml:space="preserve">On the average, the number of LOAs executed per $US100m of research expenditure by Australia was 10 from 2004 to 2011.  </w:t>
      </w:r>
    </w:p>
    <w:p w:rsidR="00EB57B6" w:rsidRDefault="00EB57B6" w:rsidP="00C60911">
      <w:pPr>
        <w:rPr>
          <w:b/>
          <w:color w:val="1F497D" w:themeColor="text2"/>
        </w:rPr>
      </w:pPr>
    </w:p>
    <w:p w:rsidR="00C60911" w:rsidRPr="00013A37" w:rsidRDefault="001476C1" w:rsidP="00C60911">
      <w:pPr>
        <w:rPr>
          <w:b/>
        </w:rPr>
      </w:pPr>
      <w:r>
        <w:rPr>
          <w:b/>
        </w:rPr>
        <w:t xml:space="preserve">Table 9:  </w:t>
      </w:r>
      <w:r w:rsidR="00C60911">
        <w:rPr>
          <w:b/>
        </w:rPr>
        <w:t>Number of LOAs Executed</w:t>
      </w:r>
      <w:r w:rsidR="00C60911" w:rsidRPr="00013A37">
        <w:rPr>
          <w:b/>
        </w:rPr>
        <w:t xml:space="preserve"> per $</w:t>
      </w:r>
      <w:r w:rsidR="0072017C">
        <w:rPr>
          <w:b/>
        </w:rPr>
        <w:t>US100m research expenditure, 2004</w:t>
      </w:r>
      <w:r w:rsidR="00C60911" w:rsidRPr="00013A37">
        <w:rPr>
          <w:b/>
        </w:rPr>
        <w:t>-2011</w:t>
      </w:r>
    </w:p>
    <w:tbl>
      <w:tblPr>
        <w:tblW w:w="5875" w:type="dxa"/>
        <w:tblInd w:w="93" w:type="dxa"/>
        <w:tblLook w:val="04A0" w:firstRow="1" w:lastRow="0" w:firstColumn="1" w:lastColumn="0" w:noHBand="0" w:noVBand="1"/>
      </w:tblPr>
      <w:tblGrid>
        <w:gridCol w:w="960"/>
        <w:gridCol w:w="1035"/>
        <w:gridCol w:w="960"/>
        <w:gridCol w:w="1000"/>
        <w:gridCol w:w="960"/>
        <w:gridCol w:w="960"/>
      </w:tblGrid>
      <w:tr w:rsidR="00C60911" w:rsidRPr="00C60911" w:rsidTr="000528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4008C1" w:rsidRDefault="00C60911" w:rsidP="00C609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="004008C1"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Canada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Europe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(excl. UK)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14.0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15.8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12.8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9.0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9.1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10.8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9.5</w:t>
            </w:r>
          </w:p>
        </w:tc>
      </w:tr>
      <w:tr w:rsidR="00C60911" w:rsidRPr="00C60911" w:rsidTr="00052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0911" w:rsidRPr="00C60911" w:rsidRDefault="00C60911" w:rsidP="00C60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0911">
              <w:rPr>
                <w:rFonts w:ascii="Calibri" w:eastAsia="Times New Roman" w:hAnsi="Calibri" w:cs="Times New Roman"/>
                <w:color w:val="000000"/>
                <w:lang w:eastAsia="en-AU"/>
              </w:rPr>
              <w:t>10.6</w:t>
            </w:r>
          </w:p>
        </w:tc>
      </w:tr>
    </w:tbl>
    <w:p w:rsidR="00302C10" w:rsidRPr="000F14E6" w:rsidRDefault="00302C10" w:rsidP="00302C10">
      <w:pPr>
        <w:pStyle w:val="ListParagraph"/>
        <w:ind w:left="0"/>
        <w:jc w:val="both"/>
        <w:rPr>
          <w:i/>
          <w:sz w:val="16"/>
          <w:szCs w:val="16"/>
        </w:rPr>
      </w:pPr>
      <w:r w:rsidRPr="000F14E6">
        <w:rPr>
          <w:i/>
          <w:sz w:val="16"/>
          <w:szCs w:val="16"/>
        </w:rPr>
        <w:t>Note:  (-) No data available</w:t>
      </w:r>
    </w:p>
    <w:p w:rsidR="00F41EEA" w:rsidRDefault="00F41EEA" w:rsidP="001476C1">
      <w:pPr>
        <w:rPr>
          <w:b/>
        </w:rPr>
      </w:pPr>
    </w:p>
    <w:p w:rsidR="001476C1" w:rsidRPr="00013A37" w:rsidRDefault="001476C1" w:rsidP="001476C1">
      <w:pPr>
        <w:rPr>
          <w:b/>
        </w:rPr>
      </w:pPr>
      <w:r>
        <w:rPr>
          <w:b/>
        </w:rPr>
        <w:t>Figure 9:  Number of LOAs Executed</w:t>
      </w:r>
      <w:r w:rsidRPr="00013A37">
        <w:rPr>
          <w:b/>
        </w:rPr>
        <w:t xml:space="preserve"> per $</w:t>
      </w:r>
      <w:r w:rsidR="0072017C">
        <w:rPr>
          <w:b/>
        </w:rPr>
        <w:t>US100m research expenditure, 2004</w:t>
      </w:r>
      <w:r w:rsidRPr="00013A37">
        <w:rPr>
          <w:b/>
        </w:rPr>
        <w:t>-2011</w:t>
      </w:r>
    </w:p>
    <w:p w:rsidR="00BF1C8D" w:rsidRDefault="0072017C" w:rsidP="0085615F">
      <w:pPr>
        <w:pStyle w:val="ListParagraph"/>
        <w:ind w:left="0"/>
      </w:pPr>
      <w:r>
        <w:rPr>
          <w:noProof/>
          <w:lang w:eastAsia="en-AU"/>
        </w:rPr>
        <w:drawing>
          <wp:inline distT="0" distB="0" distL="0" distR="0" wp14:anchorId="771CAEF7" wp14:editId="22714207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2017C" w:rsidRDefault="0072017C" w:rsidP="00BF1C8D">
      <w:pPr>
        <w:rPr>
          <w:b/>
          <w:noProof/>
          <w:color w:val="1F497D" w:themeColor="text2"/>
          <w:lang w:eastAsia="en-AU"/>
        </w:rPr>
      </w:pPr>
    </w:p>
    <w:p w:rsidR="00F00214" w:rsidRDefault="00F00214">
      <w:pPr>
        <w:rPr>
          <w:b/>
          <w:noProof/>
          <w:color w:val="1F497D" w:themeColor="text2"/>
          <w:lang w:eastAsia="en-AU"/>
        </w:rPr>
      </w:pPr>
      <w:r>
        <w:rPr>
          <w:b/>
          <w:noProof/>
          <w:color w:val="1F497D" w:themeColor="text2"/>
          <w:lang w:eastAsia="en-AU"/>
        </w:rPr>
        <w:br w:type="page"/>
      </w:r>
    </w:p>
    <w:p w:rsidR="00BF1C8D" w:rsidRPr="003A69A2" w:rsidRDefault="00BF1C8D" w:rsidP="00BF1C8D">
      <w:pPr>
        <w:rPr>
          <w:b/>
          <w:noProof/>
          <w:color w:val="1F497D" w:themeColor="text2"/>
          <w:lang w:eastAsia="en-AU"/>
        </w:rPr>
      </w:pPr>
      <w:r w:rsidRPr="003A69A2">
        <w:rPr>
          <w:b/>
          <w:noProof/>
          <w:color w:val="1F497D" w:themeColor="text2"/>
          <w:lang w:eastAsia="en-AU"/>
        </w:rPr>
        <w:lastRenderedPageBreak/>
        <w:t>START-UP COMPANY ACTIVITY</w:t>
      </w:r>
    </w:p>
    <w:p w:rsidR="00C319AF" w:rsidRDefault="00E259F5" w:rsidP="0072017C">
      <w:pPr>
        <w:pStyle w:val="ListParagraph"/>
        <w:numPr>
          <w:ilvl w:val="0"/>
          <w:numId w:val="11"/>
        </w:numPr>
      </w:pPr>
      <w:r>
        <w:t xml:space="preserve">Australian start-up companies formed per $US100m of research expenditure have gradually declined </w:t>
      </w:r>
      <w:r w:rsidR="00C319AF">
        <w:t xml:space="preserve">from 0.9 in 2004 to 0.3 in 2011.  </w:t>
      </w:r>
      <w:r>
        <w:t xml:space="preserve">Overall, </w:t>
      </w:r>
      <w:r w:rsidR="00B800DF">
        <w:t>Australia has remained relatively constant on the rate of start-up company formation</w:t>
      </w:r>
      <w:r w:rsidR="00C319AF">
        <w:t xml:space="preserve"> over recent years.</w:t>
      </w:r>
    </w:p>
    <w:p w:rsidR="00BF1C8D" w:rsidRDefault="00C319AF" w:rsidP="0072017C">
      <w:pPr>
        <w:pStyle w:val="ListParagraph"/>
        <w:numPr>
          <w:ilvl w:val="0"/>
          <w:numId w:val="11"/>
        </w:numPr>
      </w:pPr>
      <w:r>
        <w:t>T</w:t>
      </w:r>
      <w:r w:rsidR="00E259F5">
        <w:t xml:space="preserve">he US has maintained a stable rate of start-up company formation </w:t>
      </w:r>
      <w:r>
        <w:t xml:space="preserve">per $US 100m of research expenditure </w:t>
      </w:r>
      <w:r w:rsidR="00E259F5">
        <w:t xml:space="preserve">at a rate of around 1.1 </w:t>
      </w:r>
      <w:r>
        <w:t>over the years</w:t>
      </w:r>
      <w:r w:rsidR="00B800DF">
        <w:t>.</w:t>
      </w:r>
    </w:p>
    <w:p w:rsidR="00A246CB" w:rsidRDefault="00B800DF" w:rsidP="00F41EEA">
      <w:pPr>
        <w:pStyle w:val="ListParagraph"/>
        <w:numPr>
          <w:ilvl w:val="0"/>
          <w:numId w:val="11"/>
        </w:numPr>
      </w:pPr>
      <w:r>
        <w:t xml:space="preserve">Canada and the UK have demonstrated an upward trend on the rate of start-up company formation </w:t>
      </w:r>
      <w:r w:rsidR="00C319AF">
        <w:t xml:space="preserve">per $US100m of research expenditure </w:t>
      </w:r>
      <w:r>
        <w:t xml:space="preserve">over recent years while Europe (excluding UK) was </w:t>
      </w:r>
      <w:r w:rsidR="00C319AF">
        <w:t xml:space="preserve">in the opposite direction. </w:t>
      </w:r>
    </w:p>
    <w:p w:rsidR="00EB57B6" w:rsidRDefault="00EB57B6" w:rsidP="0085615F">
      <w:pPr>
        <w:pStyle w:val="ListParagraph"/>
        <w:ind w:left="0"/>
        <w:rPr>
          <w:b/>
        </w:rPr>
      </w:pPr>
    </w:p>
    <w:p w:rsidR="0072017C" w:rsidRPr="0072017C" w:rsidRDefault="0072017C" w:rsidP="0085615F">
      <w:pPr>
        <w:pStyle w:val="ListParagraph"/>
        <w:ind w:left="0"/>
        <w:rPr>
          <w:b/>
        </w:rPr>
      </w:pPr>
      <w:r w:rsidRPr="0072017C">
        <w:rPr>
          <w:b/>
        </w:rPr>
        <w:t>Table 10:  Number of start-up companies formed per $US100m research expenditure, 2004-2011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960"/>
        <w:gridCol w:w="1035"/>
        <w:gridCol w:w="960"/>
        <w:gridCol w:w="1000"/>
        <w:gridCol w:w="960"/>
        <w:gridCol w:w="1337"/>
      </w:tblGrid>
      <w:tr w:rsidR="0072017C" w:rsidRPr="0072017C" w:rsidTr="000258E0">
        <w:trPr>
          <w:trHeight w:val="4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4008C1" w:rsidRDefault="0072017C" w:rsidP="007201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="004008C1"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Canada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UK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Europe</w:t>
            </w: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 xml:space="preserve"> (excl. UK)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2.4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1.5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2.9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1.8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3.1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3.1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2.9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2.3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2.1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1.9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2.6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2.8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3.9</w:t>
            </w:r>
          </w:p>
        </w:tc>
      </w:tr>
      <w:tr w:rsidR="0072017C" w:rsidRPr="0072017C" w:rsidTr="000258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17C" w:rsidRPr="0072017C" w:rsidRDefault="0072017C" w:rsidP="0072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17C">
              <w:rPr>
                <w:rFonts w:ascii="Calibri" w:eastAsia="Times New Roman" w:hAnsi="Calibri" w:cs="Times New Roman"/>
                <w:color w:val="000000"/>
                <w:lang w:eastAsia="en-AU"/>
              </w:rPr>
              <w:t>3.2</w:t>
            </w:r>
          </w:p>
        </w:tc>
      </w:tr>
    </w:tbl>
    <w:p w:rsidR="00302C10" w:rsidRPr="000F14E6" w:rsidRDefault="00302C10" w:rsidP="00302C10">
      <w:pPr>
        <w:pStyle w:val="ListParagraph"/>
        <w:ind w:left="0"/>
        <w:jc w:val="both"/>
        <w:rPr>
          <w:i/>
          <w:sz w:val="16"/>
          <w:szCs w:val="16"/>
        </w:rPr>
      </w:pPr>
      <w:r w:rsidRPr="000F14E6">
        <w:rPr>
          <w:i/>
          <w:sz w:val="16"/>
          <w:szCs w:val="16"/>
        </w:rPr>
        <w:t>Note:  (-) No data available</w:t>
      </w:r>
    </w:p>
    <w:p w:rsidR="0072017C" w:rsidRDefault="0072017C" w:rsidP="0085615F">
      <w:pPr>
        <w:pStyle w:val="ListParagraph"/>
        <w:ind w:left="0"/>
      </w:pPr>
    </w:p>
    <w:p w:rsidR="00F41EEA" w:rsidRDefault="00F41EEA" w:rsidP="0072017C">
      <w:pPr>
        <w:pStyle w:val="ListParagraph"/>
        <w:ind w:left="0"/>
        <w:rPr>
          <w:b/>
        </w:rPr>
      </w:pPr>
    </w:p>
    <w:p w:rsidR="0072017C" w:rsidRDefault="000F14E6" w:rsidP="0072017C">
      <w:pPr>
        <w:pStyle w:val="ListParagraph"/>
        <w:ind w:left="0"/>
        <w:rPr>
          <w:b/>
        </w:rPr>
      </w:pPr>
      <w:r>
        <w:rPr>
          <w:b/>
        </w:rPr>
        <w:t>Figure</w:t>
      </w:r>
      <w:r w:rsidR="00EA6656">
        <w:rPr>
          <w:b/>
        </w:rPr>
        <w:t xml:space="preserve"> </w:t>
      </w:r>
      <w:r w:rsidR="0072017C" w:rsidRPr="0072017C">
        <w:rPr>
          <w:b/>
        </w:rPr>
        <w:t>10:  Number of start-up companies formed per $US100m research expenditure, 2004-2011</w:t>
      </w:r>
    </w:p>
    <w:p w:rsidR="00EA6656" w:rsidRDefault="00EA6656" w:rsidP="0072017C">
      <w:pPr>
        <w:pStyle w:val="ListParagraph"/>
        <w:ind w:left="0"/>
        <w:rPr>
          <w:b/>
        </w:rPr>
      </w:pPr>
    </w:p>
    <w:p w:rsidR="0072017C" w:rsidRPr="0072017C" w:rsidRDefault="00EA6656" w:rsidP="0072017C">
      <w:pPr>
        <w:pStyle w:val="ListParagraph"/>
        <w:ind w:left="0"/>
        <w:rPr>
          <w:b/>
        </w:rPr>
      </w:pPr>
      <w:r>
        <w:rPr>
          <w:noProof/>
          <w:lang w:eastAsia="en-AU"/>
        </w:rPr>
        <w:drawing>
          <wp:inline distT="0" distB="0" distL="0" distR="0" wp14:anchorId="52AB6C1B" wp14:editId="155F16C9">
            <wp:extent cx="4752975" cy="2890838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2017C" w:rsidRDefault="0072017C" w:rsidP="0085615F">
      <w:pPr>
        <w:pStyle w:val="ListParagraph"/>
        <w:ind w:left="0"/>
      </w:pPr>
    </w:p>
    <w:p w:rsidR="0085615F" w:rsidRPr="00F53943" w:rsidRDefault="00F00214" w:rsidP="00F41E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2B23" w:rsidRPr="00F53943">
        <w:rPr>
          <w:b/>
          <w:sz w:val="28"/>
          <w:szCs w:val="28"/>
        </w:rPr>
        <w:lastRenderedPageBreak/>
        <w:t>TIME SERIES DATA 2000-2011 (59 institutions)</w:t>
      </w:r>
    </w:p>
    <w:p w:rsidR="00E259F5" w:rsidRPr="00AD36B2" w:rsidRDefault="00E259F5" w:rsidP="00E259F5">
      <w:pPr>
        <w:rPr>
          <w:b/>
          <w:color w:val="1F497D" w:themeColor="text2"/>
        </w:rPr>
      </w:pPr>
      <w:r w:rsidRPr="00AD36B2">
        <w:rPr>
          <w:b/>
          <w:color w:val="1F497D" w:themeColor="text2"/>
        </w:rPr>
        <w:t>INTELLECTUAL PROPERTY ACTIVITY</w:t>
      </w:r>
    </w:p>
    <w:p w:rsidR="0085615F" w:rsidRDefault="00F53943" w:rsidP="00E259F5">
      <w:pPr>
        <w:pStyle w:val="ListParagraph"/>
        <w:numPr>
          <w:ilvl w:val="0"/>
          <w:numId w:val="12"/>
        </w:numPr>
      </w:pPr>
      <w:r>
        <w:t>The number of invention disclosures has increased by 173%, from 544 in 2000 to 1,489 in 2011.</w:t>
      </w:r>
      <w:r w:rsidR="00FA3679">
        <w:t xml:space="preserve">  Overall, there was a steady increase in invention disclosures across all institution types with the highest share of contribution from universities.</w:t>
      </w:r>
    </w:p>
    <w:p w:rsidR="00F53943" w:rsidRDefault="00F53943" w:rsidP="00E259F5">
      <w:pPr>
        <w:pStyle w:val="ListParagraph"/>
        <w:numPr>
          <w:ilvl w:val="0"/>
          <w:numId w:val="12"/>
        </w:numPr>
      </w:pPr>
      <w:r>
        <w:t>The total number of new patent and plant breeder right applications filed in Australia and the US has increased by 13%, from 587 in 2000 to 664 in 2011.</w:t>
      </w:r>
    </w:p>
    <w:p w:rsidR="00F53943" w:rsidRDefault="00F53943" w:rsidP="00F41EEA">
      <w:pPr>
        <w:pStyle w:val="ListParagraph"/>
        <w:numPr>
          <w:ilvl w:val="0"/>
          <w:numId w:val="12"/>
        </w:numPr>
      </w:pPr>
      <w:r>
        <w:t>The number of patents and plan breeder rights issued worldwide has increased by 74%, from 524 in 2000 to 914 in 2011.</w:t>
      </w:r>
    </w:p>
    <w:p w:rsidR="00F41EEA" w:rsidRDefault="00F41EEA" w:rsidP="00E436F1">
      <w:pPr>
        <w:pStyle w:val="ListParagraph"/>
        <w:ind w:left="0"/>
        <w:rPr>
          <w:b/>
        </w:rPr>
      </w:pPr>
    </w:p>
    <w:p w:rsidR="00F53943" w:rsidRPr="00E436F1" w:rsidRDefault="00302C10" w:rsidP="00E436F1">
      <w:pPr>
        <w:pStyle w:val="ListParagraph"/>
        <w:ind w:left="0"/>
        <w:rPr>
          <w:b/>
        </w:rPr>
      </w:pPr>
      <w:r w:rsidRPr="00E436F1">
        <w:rPr>
          <w:b/>
        </w:rPr>
        <w:t>Table 11:  Number of invention disclosures by sector, 2000-2011</w:t>
      </w:r>
    </w:p>
    <w:tbl>
      <w:tblPr>
        <w:tblW w:w="4976" w:type="dxa"/>
        <w:tblInd w:w="93" w:type="dxa"/>
        <w:tblLook w:val="04A0" w:firstRow="1" w:lastRow="0" w:firstColumn="1" w:lastColumn="0" w:noHBand="0" w:noVBand="1"/>
      </w:tblPr>
      <w:tblGrid>
        <w:gridCol w:w="960"/>
        <w:gridCol w:w="1296"/>
        <w:gridCol w:w="800"/>
        <w:gridCol w:w="960"/>
        <w:gridCol w:w="960"/>
      </w:tblGrid>
      <w:tr w:rsidR="00302C10" w:rsidRPr="00302C10" w:rsidTr="00E436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4008C1" w:rsidRDefault="004008C1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Universities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PFRAs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544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716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519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707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652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810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956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707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926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842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1081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977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1196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1300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1409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1289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1503</w:t>
            </w:r>
          </w:p>
        </w:tc>
      </w:tr>
      <w:tr w:rsidR="00302C10" w:rsidRPr="00302C10" w:rsidTr="00E43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E436F1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436F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2011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302C1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2C10">
              <w:rPr>
                <w:rFonts w:ascii="Calibri" w:eastAsia="Times New Roman" w:hAnsi="Calibri" w:cs="Times New Roman"/>
                <w:color w:val="000000"/>
                <w:lang w:eastAsia="en-A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C10" w:rsidRPr="000258E0" w:rsidRDefault="00302C10" w:rsidP="00E4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1489</w:t>
            </w:r>
          </w:p>
        </w:tc>
      </w:tr>
    </w:tbl>
    <w:p w:rsidR="0085615F" w:rsidRDefault="0085615F" w:rsidP="00E436F1">
      <w:pPr>
        <w:pStyle w:val="ListParagraph"/>
        <w:ind w:left="0"/>
        <w:jc w:val="center"/>
      </w:pPr>
    </w:p>
    <w:p w:rsidR="00E436F1" w:rsidRDefault="00E436F1" w:rsidP="00E436F1">
      <w:pPr>
        <w:pStyle w:val="ListParagraph"/>
        <w:ind w:left="0"/>
        <w:rPr>
          <w:b/>
        </w:rPr>
      </w:pPr>
      <w:r w:rsidRPr="00E436F1">
        <w:rPr>
          <w:b/>
        </w:rPr>
        <w:t xml:space="preserve">Figure 11: </w:t>
      </w:r>
      <w:r>
        <w:t xml:space="preserve"> </w:t>
      </w:r>
      <w:r w:rsidRPr="00E436F1">
        <w:rPr>
          <w:b/>
        </w:rPr>
        <w:t>Number of invention disclosures by sector, 2000-2011</w:t>
      </w:r>
    </w:p>
    <w:p w:rsidR="007C0949" w:rsidRPr="00E436F1" w:rsidRDefault="007C0949" w:rsidP="00E436F1">
      <w:pPr>
        <w:pStyle w:val="ListParagraph"/>
        <w:ind w:left="0"/>
        <w:rPr>
          <w:b/>
        </w:rPr>
      </w:pPr>
    </w:p>
    <w:p w:rsidR="0085615F" w:rsidRDefault="007C0949" w:rsidP="0085615F">
      <w:pPr>
        <w:pStyle w:val="ListParagraph"/>
        <w:ind w:left="0"/>
      </w:pPr>
      <w:r>
        <w:rPr>
          <w:noProof/>
          <w:lang w:eastAsia="en-AU"/>
        </w:rPr>
        <w:drawing>
          <wp:inline distT="0" distB="0" distL="0" distR="0" wp14:anchorId="7BF9E1BA" wp14:editId="3C558C10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5615F" w:rsidRDefault="0085615F" w:rsidP="007C0949">
      <w:pPr>
        <w:pStyle w:val="ListParagraph"/>
        <w:ind w:left="0"/>
      </w:pPr>
    </w:p>
    <w:p w:rsidR="007C0949" w:rsidRPr="00083CBC" w:rsidRDefault="007C0949" w:rsidP="007C0949">
      <w:r w:rsidRPr="0023044C">
        <w:rPr>
          <w:b/>
          <w:noProof/>
          <w:color w:val="1F497D" w:themeColor="text2"/>
          <w:lang w:eastAsia="en-AU"/>
        </w:rPr>
        <w:lastRenderedPageBreak/>
        <w:t>LICENCES, OPTIONS AND ASSIGNMENTS (LOAs)</w:t>
      </w:r>
    </w:p>
    <w:p w:rsidR="0085615F" w:rsidRDefault="007C0949" w:rsidP="007C0949">
      <w:pPr>
        <w:pStyle w:val="ListParagraph"/>
        <w:numPr>
          <w:ilvl w:val="0"/>
          <w:numId w:val="13"/>
        </w:numPr>
      </w:pPr>
      <w:r>
        <w:t>The number of LOAs executed per annum has increased by 16%, from 414 in 2000 to 481 in 2011.</w:t>
      </w:r>
      <w:r w:rsidR="00545C0D">
        <w:t xml:space="preserve"> The university sector recovered after sharp drops in 2008 and 2009, to a record high of 338 LOAs executed in 2010.  While PFRAs remained stable, the MRI experienced a 47% decline in 2011 </w:t>
      </w:r>
      <w:r w:rsidR="001666F7">
        <w:t>compared to 2009.</w:t>
      </w:r>
    </w:p>
    <w:p w:rsidR="007C0949" w:rsidRDefault="007C0949" w:rsidP="007C0949">
      <w:pPr>
        <w:pStyle w:val="ListParagraph"/>
        <w:numPr>
          <w:ilvl w:val="0"/>
          <w:numId w:val="13"/>
        </w:numPr>
      </w:pPr>
      <w:r>
        <w:t>The number of LOAs yielding income per annum has increased by 57% from 489 in 2000 to 766 in 2011.</w:t>
      </w:r>
    </w:p>
    <w:p w:rsidR="007C0949" w:rsidRDefault="007C0949" w:rsidP="007C0949">
      <w:pPr>
        <w:pStyle w:val="ListParagraph"/>
        <w:numPr>
          <w:ilvl w:val="0"/>
          <w:numId w:val="13"/>
        </w:numPr>
      </w:pPr>
      <w:r>
        <w:t>Adjusted LOA income in constant 2011prices has drop</w:t>
      </w:r>
      <w:r w:rsidR="00856E9A">
        <w:t>ped by 35% from $146m in 2000 to $95m in 2011.</w:t>
      </w:r>
    </w:p>
    <w:p w:rsidR="0085615F" w:rsidRDefault="0085615F" w:rsidP="0085615F">
      <w:pPr>
        <w:pStyle w:val="ListParagraph"/>
        <w:ind w:left="0"/>
      </w:pPr>
    </w:p>
    <w:p w:rsidR="00545C0D" w:rsidRDefault="00545C0D" w:rsidP="00545C0D">
      <w:pPr>
        <w:pStyle w:val="ListParagraph"/>
        <w:ind w:left="0"/>
        <w:rPr>
          <w:b/>
        </w:rPr>
      </w:pPr>
      <w:r>
        <w:rPr>
          <w:b/>
        </w:rPr>
        <w:t>Table 12</w:t>
      </w:r>
      <w:r w:rsidRPr="00E436F1">
        <w:rPr>
          <w:b/>
        </w:rPr>
        <w:t xml:space="preserve">: </w:t>
      </w:r>
      <w:r>
        <w:rPr>
          <w:b/>
        </w:rPr>
        <w:t xml:space="preserve"> Number of LOAs executed</w:t>
      </w:r>
      <w:r w:rsidRPr="00E436F1">
        <w:rPr>
          <w:b/>
        </w:rPr>
        <w:t xml:space="preserve"> by sector, 2000-2011</w:t>
      </w:r>
    </w:p>
    <w:tbl>
      <w:tblPr>
        <w:tblW w:w="4860" w:type="dxa"/>
        <w:tblInd w:w="93" w:type="dxa"/>
        <w:tblLook w:val="04A0" w:firstRow="1" w:lastRow="0" w:firstColumn="1" w:lastColumn="0" w:noHBand="0" w:noVBand="1"/>
      </w:tblPr>
      <w:tblGrid>
        <w:gridCol w:w="960"/>
        <w:gridCol w:w="1296"/>
        <w:gridCol w:w="800"/>
        <w:gridCol w:w="960"/>
        <w:gridCol w:w="960"/>
      </w:tblGrid>
      <w:tr w:rsidR="006832D3" w:rsidRPr="006832D3" w:rsidTr="006832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="004008C1"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Universities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PFRAs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414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383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445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433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381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453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515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549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472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491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505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481</w:t>
            </w:r>
          </w:p>
        </w:tc>
      </w:tr>
    </w:tbl>
    <w:p w:rsidR="00545C0D" w:rsidRPr="00E436F1" w:rsidRDefault="00545C0D" w:rsidP="00545C0D">
      <w:pPr>
        <w:pStyle w:val="ListParagraph"/>
        <w:ind w:left="0"/>
        <w:rPr>
          <w:b/>
        </w:rPr>
      </w:pPr>
    </w:p>
    <w:p w:rsidR="00EB57B6" w:rsidRDefault="00EB57B6" w:rsidP="0085615F">
      <w:pPr>
        <w:pStyle w:val="ListParagraph"/>
        <w:ind w:left="0"/>
        <w:rPr>
          <w:b/>
        </w:rPr>
      </w:pPr>
    </w:p>
    <w:p w:rsidR="0085615F" w:rsidRPr="001666F7" w:rsidRDefault="001666F7" w:rsidP="0085615F">
      <w:pPr>
        <w:pStyle w:val="ListParagraph"/>
        <w:ind w:left="0"/>
        <w:rPr>
          <w:b/>
        </w:rPr>
      </w:pPr>
      <w:r w:rsidRPr="001666F7">
        <w:rPr>
          <w:b/>
        </w:rPr>
        <w:t>Figure 12:  Number of LOAs executed by sector, 2000-2011</w:t>
      </w:r>
    </w:p>
    <w:p w:rsidR="00F00214" w:rsidRDefault="001666F7" w:rsidP="00F00214">
      <w:pPr>
        <w:pStyle w:val="ListParagraph"/>
        <w:ind w:left="0"/>
        <w:rPr>
          <w:b/>
          <w:noProof/>
          <w:color w:val="1F497D" w:themeColor="text2"/>
          <w:lang w:eastAsia="en-AU"/>
        </w:rPr>
      </w:pPr>
      <w:r>
        <w:rPr>
          <w:noProof/>
          <w:lang w:eastAsia="en-AU"/>
        </w:rPr>
        <w:drawing>
          <wp:inline distT="0" distB="0" distL="0" distR="0" wp14:anchorId="7E24785A" wp14:editId="582A21B6">
            <wp:extent cx="457200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00214" w:rsidRDefault="00F00214" w:rsidP="00F00214">
      <w:pPr>
        <w:pStyle w:val="ListParagraph"/>
        <w:ind w:left="0"/>
        <w:rPr>
          <w:b/>
          <w:noProof/>
          <w:color w:val="1F497D" w:themeColor="text2"/>
          <w:lang w:eastAsia="en-AU"/>
        </w:rPr>
      </w:pPr>
    </w:p>
    <w:p w:rsidR="001666F7" w:rsidRPr="00F00214" w:rsidRDefault="001666F7" w:rsidP="00F00214">
      <w:pPr>
        <w:pStyle w:val="ListParagraph"/>
        <w:ind w:left="0"/>
      </w:pPr>
      <w:r w:rsidRPr="003A69A2">
        <w:rPr>
          <w:b/>
          <w:noProof/>
          <w:color w:val="1F497D" w:themeColor="text2"/>
          <w:lang w:eastAsia="en-AU"/>
        </w:rPr>
        <w:lastRenderedPageBreak/>
        <w:t>START-UP COMPANY ACTIVITY</w:t>
      </w:r>
    </w:p>
    <w:p w:rsidR="0085615F" w:rsidRDefault="001666F7" w:rsidP="001666F7">
      <w:pPr>
        <w:pStyle w:val="ListParagraph"/>
        <w:numPr>
          <w:ilvl w:val="0"/>
          <w:numId w:val="14"/>
        </w:numPr>
      </w:pPr>
      <w:r>
        <w:t>Start-up company formation has fallen by 68% from 47 in 2000 to 15 in 2011. The highest start-up company formation was recorded in 2001 at 61 start-up companies formed.</w:t>
      </w:r>
    </w:p>
    <w:p w:rsidR="0085615F" w:rsidRDefault="001666F7" w:rsidP="002D55B1">
      <w:pPr>
        <w:pStyle w:val="ListParagraph"/>
        <w:numPr>
          <w:ilvl w:val="0"/>
          <w:numId w:val="14"/>
        </w:numPr>
      </w:pPr>
      <w:r>
        <w:t>The number of start-up companies operational with institutional equity i</w:t>
      </w:r>
      <w:r w:rsidR="00821194">
        <w:t>ncreased from 69 in 2000 to 163</w:t>
      </w:r>
      <w:r>
        <w:t xml:space="preserve"> in 2007.  </w:t>
      </w:r>
      <w:r w:rsidR="00821194">
        <w:t xml:space="preserve"> However, the number has been steadily dropping since 2008.</w:t>
      </w:r>
    </w:p>
    <w:p w:rsidR="00821194" w:rsidRDefault="00821194" w:rsidP="002D55B1">
      <w:pPr>
        <w:pStyle w:val="ListParagraph"/>
        <w:numPr>
          <w:ilvl w:val="0"/>
          <w:numId w:val="14"/>
        </w:numPr>
      </w:pPr>
      <w:r>
        <w:t>The value of equity holdings for university sector has remained relatively consistent since 2008 with an average of $108m</w:t>
      </w:r>
      <w:r w:rsidR="004214AA">
        <w:t xml:space="preserve"> at 2011 prices</w:t>
      </w:r>
      <w:r>
        <w:t>.  The large increases were from PFRAs, mainly from CSIRO in 2008 and 2009 but were not repeated in 2010 and 2011 and reported only $29m in 2011.  The MRIs recorded their lowest level of equity holding at just $1m in 2010 and 2011.</w:t>
      </w:r>
    </w:p>
    <w:p w:rsidR="0085615F" w:rsidRDefault="0085615F" w:rsidP="0085615F">
      <w:pPr>
        <w:pStyle w:val="ListParagraph"/>
        <w:ind w:left="0"/>
      </w:pPr>
    </w:p>
    <w:p w:rsidR="004214AA" w:rsidRDefault="004214AA" w:rsidP="004214AA">
      <w:pPr>
        <w:pStyle w:val="ListParagraph"/>
        <w:ind w:left="0"/>
        <w:rPr>
          <w:b/>
        </w:rPr>
      </w:pPr>
      <w:r>
        <w:rPr>
          <w:b/>
        </w:rPr>
        <w:t>Table 13</w:t>
      </w:r>
      <w:r w:rsidRPr="00E436F1">
        <w:rPr>
          <w:b/>
        </w:rPr>
        <w:t xml:space="preserve">: </w:t>
      </w:r>
      <w:r>
        <w:rPr>
          <w:b/>
        </w:rPr>
        <w:t xml:space="preserve"> Value of equity holdings in constant 2011 prices</w:t>
      </w:r>
      <w:r w:rsidR="00405D09">
        <w:rPr>
          <w:b/>
        </w:rPr>
        <w:t xml:space="preserve"> ($m)</w:t>
      </w:r>
      <w:r>
        <w:rPr>
          <w:b/>
        </w:rPr>
        <w:t xml:space="preserve"> </w:t>
      </w:r>
      <w:r w:rsidRPr="00E436F1">
        <w:rPr>
          <w:b/>
        </w:rPr>
        <w:t>by sector, 2000-2011</w:t>
      </w:r>
    </w:p>
    <w:p w:rsidR="00926EA5" w:rsidRDefault="00926EA5" w:rsidP="0085615F">
      <w:pPr>
        <w:pStyle w:val="ListParagraph"/>
        <w:ind w:left="0"/>
        <w:sectPr w:rsidR="00926EA5" w:rsidSect="00926EA5">
          <w:headerReference w:type="default" r:id="rId26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26EA5" w:rsidRDefault="00926EA5" w:rsidP="0085615F">
      <w:pPr>
        <w:pStyle w:val="ListParagraph"/>
        <w:ind w:left="0"/>
      </w:pPr>
    </w:p>
    <w:tbl>
      <w:tblPr>
        <w:tblW w:w="4860" w:type="dxa"/>
        <w:tblInd w:w="93" w:type="dxa"/>
        <w:tblLook w:val="04A0" w:firstRow="1" w:lastRow="0" w:firstColumn="1" w:lastColumn="0" w:noHBand="0" w:noVBand="1"/>
      </w:tblPr>
      <w:tblGrid>
        <w:gridCol w:w="960"/>
        <w:gridCol w:w="1296"/>
        <w:gridCol w:w="800"/>
        <w:gridCol w:w="960"/>
        <w:gridCol w:w="960"/>
      </w:tblGrid>
      <w:tr w:rsidR="006832D3" w:rsidRPr="006832D3" w:rsidTr="006832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="004008C1"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Universities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PFRAs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180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182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156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210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247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197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217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218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191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238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148</w:t>
            </w:r>
          </w:p>
        </w:tc>
      </w:tr>
      <w:tr w:rsidR="006832D3" w:rsidRPr="006832D3" w:rsidTr="006832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2D3" w:rsidRPr="006832D3" w:rsidRDefault="006832D3" w:rsidP="00683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2D3">
              <w:rPr>
                <w:rFonts w:ascii="Calibri" w:eastAsia="Times New Roman" w:hAnsi="Calibri" w:cs="Times New Roman"/>
                <w:color w:val="000000"/>
                <w:lang w:eastAsia="en-AU"/>
              </w:rPr>
              <w:t>133</w:t>
            </w:r>
          </w:p>
        </w:tc>
      </w:tr>
    </w:tbl>
    <w:p w:rsidR="00926EA5" w:rsidRDefault="00926EA5" w:rsidP="0085615F">
      <w:pPr>
        <w:pStyle w:val="ListParagraph"/>
        <w:ind w:left="0"/>
      </w:pPr>
    </w:p>
    <w:p w:rsidR="006832D3" w:rsidRDefault="006832D3" w:rsidP="006832D3">
      <w:pPr>
        <w:pStyle w:val="ListParagraph"/>
        <w:ind w:left="0"/>
        <w:rPr>
          <w:b/>
        </w:rPr>
      </w:pPr>
      <w:r>
        <w:rPr>
          <w:b/>
        </w:rPr>
        <w:t>Figure 13</w:t>
      </w:r>
      <w:r w:rsidRPr="00E436F1">
        <w:rPr>
          <w:b/>
        </w:rPr>
        <w:t xml:space="preserve">: </w:t>
      </w:r>
      <w:r>
        <w:rPr>
          <w:b/>
        </w:rPr>
        <w:t xml:space="preserve"> Value of equity holdings in constant 2011 prices </w:t>
      </w:r>
      <w:r w:rsidR="00405D09">
        <w:rPr>
          <w:b/>
        </w:rPr>
        <w:t xml:space="preserve">($m) </w:t>
      </w:r>
      <w:r w:rsidRPr="00E436F1">
        <w:rPr>
          <w:b/>
        </w:rPr>
        <w:t>by sector, 2000-2011</w:t>
      </w:r>
    </w:p>
    <w:p w:rsidR="006832D3" w:rsidRDefault="006832D3" w:rsidP="006832D3">
      <w:pPr>
        <w:pStyle w:val="ListParagraph"/>
        <w:ind w:left="0"/>
        <w:sectPr w:rsidR="006832D3" w:rsidSect="00926EA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832D3" w:rsidRDefault="006832D3" w:rsidP="006832D3">
      <w:pPr>
        <w:pStyle w:val="ListParagraph"/>
        <w:ind w:left="0"/>
      </w:pPr>
    </w:p>
    <w:p w:rsidR="00F00214" w:rsidRDefault="006832D3" w:rsidP="00F00214">
      <w:pPr>
        <w:pStyle w:val="ListParagraph"/>
        <w:ind w:left="0"/>
        <w:rPr>
          <w:b/>
          <w:noProof/>
          <w:color w:val="1F497D" w:themeColor="text2"/>
          <w:lang w:eastAsia="en-AU"/>
        </w:rPr>
      </w:pPr>
      <w:r>
        <w:rPr>
          <w:noProof/>
          <w:lang w:eastAsia="en-AU"/>
        </w:rPr>
        <w:drawing>
          <wp:inline distT="0" distB="0" distL="0" distR="0" wp14:anchorId="6DFBF0C3" wp14:editId="75504A8B">
            <wp:extent cx="4572000" cy="27432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00214" w:rsidRDefault="00F00214" w:rsidP="00F00214">
      <w:pPr>
        <w:pStyle w:val="ListParagraph"/>
        <w:ind w:left="0"/>
        <w:rPr>
          <w:b/>
          <w:noProof/>
          <w:color w:val="1F497D" w:themeColor="text2"/>
          <w:lang w:eastAsia="en-AU"/>
        </w:rPr>
      </w:pPr>
    </w:p>
    <w:p w:rsidR="006832D3" w:rsidRPr="00F00214" w:rsidRDefault="00D23579" w:rsidP="00F00214">
      <w:pPr>
        <w:pStyle w:val="ListParagraph"/>
        <w:ind w:left="0"/>
      </w:pPr>
      <w:r w:rsidRPr="00D23579">
        <w:rPr>
          <w:b/>
          <w:noProof/>
          <w:color w:val="1F497D" w:themeColor="text2"/>
          <w:lang w:eastAsia="en-AU"/>
        </w:rPr>
        <w:t>COMMERCIALISATION STAFF</w:t>
      </w:r>
    </w:p>
    <w:p w:rsidR="00D23579" w:rsidRPr="00D23579" w:rsidRDefault="00D23579" w:rsidP="00D23579">
      <w:pPr>
        <w:pStyle w:val="ListParagraph"/>
        <w:numPr>
          <w:ilvl w:val="0"/>
          <w:numId w:val="15"/>
        </w:numPr>
        <w:rPr>
          <w:b/>
          <w:noProof/>
          <w:lang w:eastAsia="en-AU"/>
        </w:rPr>
      </w:pPr>
      <w:r>
        <w:rPr>
          <w:noProof/>
          <w:lang w:eastAsia="en-AU"/>
        </w:rPr>
        <w:t xml:space="preserve">Over the period 2000 to 2011, the total level of dedicated commercialisation staff has increased by 61%.  The level grew rapid from 191 FTE in 2000 to 296 FTE in 2003 and has remained retatively stable to 2011 at 307 FTE.  </w:t>
      </w:r>
    </w:p>
    <w:p w:rsidR="004008C1" w:rsidRDefault="004008C1" w:rsidP="0085615F">
      <w:pPr>
        <w:pStyle w:val="ListParagraph"/>
        <w:ind w:left="0"/>
      </w:pPr>
    </w:p>
    <w:p w:rsidR="006832D3" w:rsidRPr="00405D09" w:rsidRDefault="00D23579" w:rsidP="0085615F">
      <w:pPr>
        <w:pStyle w:val="ListParagraph"/>
        <w:ind w:left="0"/>
        <w:rPr>
          <w:b/>
        </w:rPr>
      </w:pPr>
      <w:r w:rsidRPr="00405D09">
        <w:rPr>
          <w:b/>
        </w:rPr>
        <w:t>Table 14:  Number of dedicated commercialisation staff</w:t>
      </w:r>
      <w:r w:rsidR="00301A55">
        <w:rPr>
          <w:b/>
        </w:rPr>
        <w:t xml:space="preserve"> in FTE</w:t>
      </w:r>
      <w:r w:rsidRPr="00405D09">
        <w:rPr>
          <w:b/>
        </w:rPr>
        <w:t xml:space="preserve"> by sector, 2000-2011</w:t>
      </w:r>
    </w:p>
    <w:p w:rsidR="00D23579" w:rsidRDefault="00D23579" w:rsidP="0085615F">
      <w:pPr>
        <w:pStyle w:val="ListParagraph"/>
        <w:ind w:left="0"/>
      </w:pPr>
    </w:p>
    <w:tbl>
      <w:tblPr>
        <w:tblW w:w="4860" w:type="dxa"/>
        <w:tblInd w:w="93" w:type="dxa"/>
        <w:tblLook w:val="04A0" w:firstRow="1" w:lastRow="0" w:firstColumn="1" w:lastColumn="0" w:noHBand="0" w:noVBand="1"/>
      </w:tblPr>
      <w:tblGrid>
        <w:gridCol w:w="960"/>
        <w:gridCol w:w="1296"/>
        <w:gridCol w:w="800"/>
        <w:gridCol w:w="960"/>
        <w:gridCol w:w="960"/>
      </w:tblGrid>
      <w:tr w:rsidR="004008C1" w:rsidRPr="004008C1" w:rsidTr="004008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  <w:r w:rsidRPr="004008C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Year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Universities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PFRAs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191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231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281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296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282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295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299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289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309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309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305</w:t>
            </w:r>
          </w:p>
        </w:tc>
      </w:tr>
      <w:tr w:rsidR="004008C1" w:rsidRPr="004008C1" w:rsidTr="00400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4008C1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08C1"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8C1" w:rsidRPr="000258E0" w:rsidRDefault="004008C1" w:rsidP="00400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258E0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307</w:t>
            </w:r>
          </w:p>
        </w:tc>
      </w:tr>
    </w:tbl>
    <w:p w:rsidR="00D23579" w:rsidRDefault="00D23579" w:rsidP="0085615F">
      <w:pPr>
        <w:pStyle w:val="ListParagraph"/>
        <w:ind w:left="0"/>
      </w:pPr>
    </w:p>
    <w:p w:rsidR="00405D09" w:rsidRPr="00405D09" w:rsidRDefault="00405D09" w:rsidP="00405D09">
      <w:pPr>
        <w:pStyle w:val="ListParagraph"/>
        <w:ind w:left="0"/>
        <w:rPr>
          <w:b/>
        </w:rPr>
      </w:pPr>
      <w:r>
        <w:rPr>
          <w:b/>
        </w:rPr>
        <w:t>Figure</w:t>
      </w:r>
      <w:r w:rsidRPr="00405D09">
        <w:rPr>
          <w:b/>
        </w:rPr>
        <w:t xml:space="preserve"> 14:  Number of dedicated commercialisation staff by</w:t>
      </w:r>
      <w:r w:rsidR="00301A55">
        <w:rPr>
          <w:b/>
        </w:rPr>
        <w:t xml:space="preserve"> </w:t>
      </w:r>
      <w:r w:rsidRPr="00405D09">
        <w:rPr>
          <w:b/>
        </w:rPr>
        <w:t>sector, 2000-2011</w:t>
      </w:r>
    </w:p>
    <w:p w:rsidR="00D23579" w:rsidRDefault="00D23579" w:rsidP="0085615F">
      <w:pPr>
        <w:pStyle w:val="ListParagraph"/>
        <w:ind w:left="0"/>
      </w:pPr>
    </w:p>
    <w:p w:rsidR="006832D3" w:rsidRDefault="00D23579" w:rsidP="0085615F">
      <w:pPr>
        <w:pStyle w:val="ListParagraph"/>
        <w:ind w:left="0"/>
      </w:pPr>
      <w:r>
        <w:rPr>
          <w:noProof/>
          <w:lang w:eastAsia="en-AU"/>
        </w:rPr>
        <w:drawing>
          <wp:inline distT="0" distB="0" distL="0" distR="0" wp14:anchorId="5B3F382C" wp14:editId="235AD524">
            <wp:extent cx="45720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832D3" w:rsidRDefault="006832D3" w:rsidP="0085615F">
      <w:pPr>
        <w:pStyle w:val="ListParagraph"/>
        <w:ind w:left="0"/>
      </w:pPr>
    </w:p>
    <w:p w:rsidR="00405D09" w:rsidRDefault="00405D09" w:rsidP="0085615F">
      <w:pPr>
        <w:pStyle w:val="ListParagraph"/>
        <w:ind w:left="0"/>
      </w:pPr>
    </w:p>
    <w:p w:rsidR="00405D09" w:rsidRDefault="00405D09" w:rsidP="0085615F">
      <w:pPr>
        <w:pStyle w:val="ListParagraph"/>
        <w:ind w:left="0"/>
      </w:pPr>
    </w:p>
    <w:p w:rsidR="00405D09" w:rsidRDefault="00405D09" w:rsidP="0085615F">
      <w:pPr>
        <w:pStyle w:val="ListParagraph"/>
        <w:ind w:left="0"/>
      </w:pPr>
    </w:p>
    <w:p w:rsidR="0085615F" w:rsidRPr="006960B2" w:rsidRDefault="00405D09" w:rsidP="00405D09">
      <w:pPr>
        <w:pStyle w:val="ListParagraph"/>
        <w:ind w:left="0"/>
        <w:rPr>
          <w:i/>
        </w:rPr>
        <w:sectPr w:rsidR="0085615F" w:rsidRPr="006960B2" w:rsidSect="0085615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960B2">
        <w:rPr>
          <w:i/>
        </w:rPr>
        <w:t>S</w:t>
      </w:r>
      <w:r w:rsidR="0085615F" w:rsidRPr="006960B2">
        <w:rPr>
          <w:i/>
        </w:rPr>
        <w:t>ource:  National Survey of Research Commercialisation, 2010-2011</w:t>
      </w:r>
    </w:p>
    <w:p w:rsidR="001D61A2" w:rsidRDefault="001D61A2" w:rsidP="00EB57B6"/>
    <w:sectPr w:rsidR="001D61A2" w:rsidSect="00D50F56">
      <w:headerReference w:type="default" r:id="rId29"/>
      <w:footerReference w:type="default" r:id="rId30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AC" w:rsidRDefault="008F54AC" w:rsidP="008F54AC">
      <w:pPr>
        <w:spacing w:after="0" w:line="240" w:lineRule="auto"/>
      </w:pPr>
      <w:r>
        <w:separator/>
      </w:r>
    </w:p>
  </w:endnote>
  <w:endnote w:type="continuationSeparator" w:id="0">
    <w:p w:rsidR="008F54AC" w:rsidRDefault="008F54AC" w:rsidP="008F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AC" w:rsidRPr="00AC720E" w:rsidRDefault="00AC720E">
    <w:pPr>
      <w:pStyle w:val="Footer"/>
      <w:rPr>
        <w:sz w:val="16"/>
        <w:szCs w:val="16"/>
      </w:rPr>
    </w:pPr>
    <w:r w:rsidRPr="00AC720E">
      <w:rPr>
        <w:sz w:val="16"/>
        <w:szCs w:val="16"/>
      </w:rPr>
      <w:t>http://www.industry.gov.au/innovation/reportsandstudies/Pages/NationalSurveyofResearchCommercialisation.aspx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B6" w:rsidRPr="00AC720E" w:rsidRDefault="00EB57B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AC" w:rsidRDefault="008F54AC" w:rsidP="008F54AC">
      <w:pPr>
        <w:spacing w:after="0" w:line="240" w:lineRule="auto"/>
      </w:pPr>
      <w:r>
        <w:separator/>
      </w:r>
    </w:p>
  </w:footnote>
  <w:footnote w:type="continuationSeparator" w:id="0">
    <w:p w:rsidR="008F54AC" w:rsidRDefault="008F54AC" w:rsidP="008F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AC" w:rsidRDefault="008F54AC">
    <w:pPr>
      <w:pStyle w:val="Header"/>
    </w:pPr>
  </w:p>
  <w:p w:rsidR="008F54AC" w:rsidRDefault="008F5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EA" w:rsidRPr="008F54AC" w:rsidRDefault="00F41EEA" w:rsidP="00F41EEA">
    <w:pPr>
      <w:rPr>
        <w:sz w:val="16"/>
        <w:szCs w:val="16"/>
      </w:rPr>
    </w:pPr>
    <w:r w:rsidRPr="008F54AC">
      <w:rPr>
        <w:sz w:val="16"/>
        <w:szCs w:val="16"/>
      </w:rPr>
      <w:t>NATIONAL SURVEY OF RESEARCH COMMERCIALISATION 2010 AND 2011</w:t>
    </w:r>
  </w:p>
  <w:p w:rsidR="00F41EEA" w:rsidRDefault="00F41EEA">
    <w:pPr>
      <w:pStyle w:val="Header"/>
    </w:pPr>
  </w:p>
  <w:p w:rsidR="00F41EEA" w:rsidRDefault="00F41E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B6" w:rsidRDefault="00EB57B6">
    <w:pPr>
      <w:pStyle w:val="Header"/>
    </w:pPr>
  </w:p>
  <w:p w:rsidR="00EB57B6" w:rsidRDefault="00EB5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86F"/>
    <w:multiLevelType w:val="hybridMultilevel"/>
    <w:tmpl w:val="FCA87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A653F"/>
    <w:multiLevelType w:val="hybridMultilevel"/>
    <w:tmpl w:val="E63658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A7CB3"/>
    <w:multiLevelType w:val="hybridMultilevel"/>
    <w:tmpl w:val="612C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7F50"/>
    <w:multiLevelType w:val="hybridMultilevel"/>
    <w:tmpl w:val="0B8C73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F72D7"/>
    <w:multiLevelType w:val="hybridMultilevel"/>
    <w:tmpl w:val="03BEF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308D"/>
    <w:multiLevelType w:val="hybridMultilevel"/>
    <w:tmpl w:val="9E187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4F0B"/>
    <w:multiLevelType w:val="hybridMultilevel"/>
    <w:tmpl w:val="21CE6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458A"/>
    <w:multiLevelType w:val="hybridMultilevel"/>
    <w:tmpl w:val="F59AB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B2B1A"/>
    <w:multiLevelType w:val="hybridMultilevel"/>
    <w:tmpl w:val="76BC9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166D"/>
    <w:multiLevelType w:val="hybridMultilevel"/>
    <w:tmpl w:val="342C0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C48F3"/>
    <w:multiLevelType w:val="hybridMultilevel"/>
    <w:tmpl w:val="98E89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82307"/>
    <w:multiLevelType w:val="hybridMultilevel"/>
    <w:tmpl w:val="FD1A8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D2720"/>
    <w:multiLevelType w:val="hybridMultilevel"/>
    <w:tmpl w:val="4C641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E1E63"/>
    <w:multiLevelType w:val="hybridMultilevel"/>
    <w:tmpl w:val="C64AA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57BCA"/>
    <w:multiLevelType w:val="hybridMultilevel"/>
    <w:tmpl w:val="9D900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E"/>
    <w:rsid w:val="00013A37"/>
    <w:rsid w:val="000249DA"/>
    <w:rsid w:val="000258E0"/>
    <w:rsid w:val="0005281D"/>
    <w:rsid w:val="00083CBC"/>
    <w:rsid w:val="000B55A0"/>
    <w:rsid w:val="000C744B"/>
    <w:rsid w:val="000F14E6"/>
    <w:rsid w:val="000F3A2C"/>
    <w:rsid w:val="001476C1"/>
    <w:rsid w:val="001666F7"/>
    <w:rsid w:val="0018316E"/>
    <w:rsid w:val="00192CCE"/>
    <w:rsid w:val="00195712"/>
    <w:rsid w:val="001C0696"/>
    <w:rsid w:val="001D4B0A"/>
    <w:rsid w:val="001D61A2"/>
    <w:rsid w:val="0023044C"/>
    <w:rsid w:val="00235A46"/>
    <w:rsid w:val="00256A7A"/>
    <w:rsid w:val="0027331A"/>
    <w:rsid w:val="00294E19"/>
    <w:rsid w:val="002D55B1"/>
    <w:rsid w:val="002E7535"/>
    <w:rsid w:val="00301A55"/>
    <w:rsid w:val="00302C10"/>
    <w:rsid w:val="00330C83"/>
    <w:rsid w:val="00356B63"/>
    <w:rsid w:val="003A2BC8"/>
    <w:rsid w:val="003A69A2"/>
    <w:rsid w:val="003A6B8D"/>
    <w:rsid w:val="003B2285"/>
    <w:rsid w:val="003F6976"/>
    <w:rsid w:val="004008C1"/>
    <w:rsid w:val="00405D09"/>
    <w:rsid w:val="004214AA"/>
    <w:rsid w:val="00422990"/>
    <w:rsid w:val="00422BC1"/>
    <w:rsid w:val="004519F2"/>
    <w:rsid w:val="004B5C00"/>
    <w:rsid w:val="004C1005"/>
    <w:rsid w:val="004F3A06"/>
    <w:rsid w:val="00500FBC"/>
    <w:rsid w:val="00545C0D"/>
    <w:rsid w:val="0055243E"/>
    <w:rsid w:val="00567475"/>
    <w:rsid w:val="00586395"/>
    <w:rsid w:val="005C371D"/>
    <w:rsid w:val="005E69F5"/>
    <w:rsid w:val="005F49B5"/>
    <w:rsid w:val="00614784"/>
    <w:rsid w:val="0062383A"/>
    <w:rsid w:val="00641028"/>
    <w:rsid w:val="0065780D"/>
    <w:rsid w:val="006832D3"/>
    <w:rsid w:val="006960B2"/>
    <w:rsid w:val="006F44F6"/>
    <w:rsid w:val="00707C76"/>
    <w:rsid w:val="0072017C"/>
    <w:rsid w:val="00775027"/>
    <w:rsid w:val="00783678"/>
    <w:rsid w:val="00794ECA"/>
    <w:rsid w:val="007976A2"/>
    <w:rsid w:val="007B41EF"/>
    <w:rsid w:val="007C0949"/>
    <w:rsid w:val="007C6CEB"/>
    <w:rsid w:val="00802ED5"/>
    <w:rsid w:val="00811890"/>
    <w:rsid w:val="00821194"/>
    <w:rsid w:val="00824DB1"/>
    <w:rsid w:val="0085615F"/>
    <w:rsid w:val="00856E9A"/>
    <w:rsid w:val="00870E61"/>
    <w:rsid w:val="0089421A"/>
    <w:rsid w:val="008B653B"/>
    <w:rsid w:val="008E64B2"/>
    <w:rsid w:val="008F54AC"/>
    <w:rsid w:val="00924C4E"/>
    <w:rsid w:val="00926EA5"/>
    <w:rsid w:val="00963235"/>
    <w:rsid w:val="009A040F"/>
    <w:rsid w:val="00A01E99"/>
    <w:rsid w:val="00A246CB"/>
    <w:rsid w:val="00A43EEF"/>
    <w:rsid w:val="00A739D4"/>
    <w:rsid w:val="00A864A3"/>
    <w:rsid w:val="00A97382"/>
    <w:rsid w:val="00AC2220"/>
    <w:rsid w:val="00AC720E"/>
    <w:rsid w:val="00AD36B2"/>
    <w:rsid w:val="00B07C10"/>
    <w:rsid w:val="00B12824"/>
    <w:rsid w:val="00B235CE"/>
    <w:rsid w:val="00B310D0"/>
    <w:rsid w:val="00B42415"/>
    <w:rsid w:val="00B7322B"/>
    <w:rsid w:val="00B800DF"/>
    <w:rsid w:val="00BF1C8D"/>
    <w:rsid w:val="00C24661"/>
    <w:rsid w:val="00C319AF"/>
    <w:rsid w:val="00C52F6D"/>
    <w:rsid w:val="00C60911"/>
    <w:rsid w:val="00C64862"/>
    <w:rsid w:val="00C83232"/>
    <w:rsid w:val="00C97A51"/>
    <w:rsid w:val="00CA30D9"/>
    <w:rsid w:val="00CE38F6"/>
    <w:rsid w:val="00CE5D35"/>
    <w:rsid w:val="00D05D48"/>
    <w:rsid w:val="00D17AA2"/>
    <w:rsid w:val="00D23579"/>
    <w:rsid w:val="00D50F56"/>
    <w:rsid w:val="00D92AEE"/>
    <w:rsid w:val="00DA69B9"/>
    <w:rsid w:val="00DD3CB7"/>
    <w:rsid w:val="00DD73C4"/>
    <w:rsid w:val="00E24AE0"/>
    <w:rsid w:val="00E259F5"/>
    <w:rsid w:val="00E436F1"/>
    <w:rsid w:val="00EA6656"/>
    <w:rsid w:val="00EB2B23"/>
    <w:rsid w:val="00EB57B6"/>
    <w:rsid w:val="00EC56C5"/>
    <w:rsid w:val="00ED1DF6"/>
    <w:rsid w:val="00F00214"/>
    <w:rsid w:val="00F14462"/>
    <w:rsid w:val="00F17CC7"/>
    <w:rsid w:val="00F41EEA"/>
    <w:rsid w:val="00F53943"/>
    <w:rsid w:val="00FA3679"/>
    <w:rsid w:val="00FC4B67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D315961-4C59-48D1-AC70-F127F9B6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7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C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AC"/>
  </w:style>
  <w:style w:type="paragraph" w:styleId="Footer">
    <w:name w:val="footer"/>
    <w:basedOn w:val="Normal"/>
    <w:link w:val="FooterChar"/>
    <w:uiPriority w:val="99"/>
    <w:unhideWhenUsed/>
    <w:rsid w:val="008F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hart" Target="charts/chart1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4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3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od.protected.ind\group\S&amp;R\ROP%20Branch\Business%20Collaboration%20Section\1.%20NSRC\Archive\NSRC%202010-2011\Data%20sets\Data\Datacar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PFRA</c:v>
                </c:pt>
              </c:strCache>
            </c:strRef>
          </c:tx>
          <c:invertIfNegative val="0"/>
          <c:cat>
            <c:numRef>
              <c:f>Sheet1!$B$2:$D$2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189</c:v>
                </c:pt>
                <c:pt idx="1">
                  <c:v>236</c:v>
                </c:pt>
                <c:pt idx="2">
                  <c:v>254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Sheet1!$B$2:$D$2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600</c:v>
                </c:pt>
                <c:pt idx="1">
                  <c:v>762</c:v>
                </c:pt>
                <c:pt idx="2">
                  <c:v>613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Sheet1!$B$2:$D$2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77</c:v>
                </c:pt>
                <c:pt idx="1">
                  <c:v>48</c:v>
                </c:pt>
                <c:pt idx="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48264"/>
        <c:axId val="270458120"/>
      </c:barChart>
      <c:catAx>
        <c:axId val="235248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458120"/>
        <c:crosses val="autoZero"/>
        <c:auto val="1"/>
        <c:lblAlgn val="ctr"/>
        <c:lblOffset val="100"/>
        <c:noMultiLvlLbl val="0"/>
      </c:catAx>
      <c:valAx>
        <c:axId val="2704581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Patents and  Plamt  Breeder Rights Issued</a:t>
                </a:r>
                <a:endParaRPr lang="en-A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3524826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'Int''l Comparison'!$B$51</c:f>
              <c:strCache>
                <c:ptCount val="1"/>
                <c:pt idx="0">
                  <c:v>Australia</c:v>
                </c:pt>
              </c:strCache>
            </c:strRef>
          </c:tx>
          <c:marker>
            <c:symbol val="none"/>
          </c:marker>
          <c:cat>
            <c:numRef>
              <c:f>'Int''l Comparison'!$A$52:$A$59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Comparison'!$B$52:$B$59</c:f>
              <c:numCache>
                <c:formatCode>0.0</c:formatCode>
                <c:ptCount val="8"/>
                <c:pt idx="0">
                  <c:v>0.9</c:v>
                </c:pt>
                <c:pt idx="1">
                  <c:v>1</c:v>
                </c:pt>
                <c:pt idx="2">
                  <c:v>0.9</c:v>
                </c:pt>
                <c:pt idx="3">
                  <c:v>0.8</c:v>
                </c:pt>
                <c:pt idx="4">
                  <c:v>0.3</c:v>
                </c:pt>
                <c:pt idx="5">
                  <c:v>0.5</c:v>
                </c:pt>
                <c:pt idx="6">
                  <c:v>0.3</c:v>
                </c:pt>
                <c:pt idx="7">
                  <c:v>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'Int''l Comparison'!$C$51</c:f>
              <c:strCache>
                <c:ptCount val="1"/>
                <c:pt idx="0">
                  <c:v>Canada</c:v>
                </c:pt>
              </c:strCache>
            </c:strRef>
          </c:tx>
          <c:marker>
            <c:symbol val="none"/>
          </c:marker>
          <c:cat>
            <c:numRef>
              <c:f>'Int''l Comparison'!$A$52:$A$59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Comparison'!$C$52:$C$59</c:f>
              <c:numCache>
                <c:formatCode>0.0</c:formatCode>
                <c:ptCount val="8"/>
                <c:pt idx="0">
                  <c:v>1.4</c:v>
                </c:pt>
                <c:pt idx="1">
                  <c:v>1</c:v>
                </c:pt>
                <c:pt idx="2">
                  <c:v>0.8</c:v>
                </c:pt>
                <c:pt idx="3">
                  <c:v>1.1000000000000001</c:v>
                </c:pt>
                <c:pt idx="4">
                  <c:v>0.9</c:v>
                </c:pt>
                <c:pt idx="5">
                  <c:v>1</c:v>
                </c:pt>
                <c:pt idx="6">
                  <c:v>1</c:v>
                </c:pt>
                <c:pt idx="7">
                  <c:v>1.6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'Int''l Comparison'!$D$51</c:f>
              <c:strCache>
                <c:ptCount val="1"/>
                <c:pt idx="0">
                  <c:v>US</c:v>
                </c:pt>
              </c:strCache>
            </c:strRef>
          </c:tx>
          <c:marker>
            <c:symbol val="none"/>
          </c:marker>
          <c:cat>
            <c:numRef>
              <c:f>'Int''l Comparison'!$A$52:$A$59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Comparison'!$D$52:$D$59</c:f>
              <c:numCache>
                <c:formatCode>0.0</c:formatCode>
                <c:ptCount val="8"/>
                <c:pt idx="0">
                  <c:v>1.1000000000000001</c:v>
                </c:pt>
                <c:pt idx="1">
                  <c:v>1.2</c:v>
                </c:pt>
                <c:pt idx="2">
                  <c:v>1.2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1.1000000000000001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'Int''l Comparison'!$E$51</c:f>
              <c:strCache>
                <c:ptCount val="1"/>
                <c:pt idx="0">
                  <c:v>UK</c:v>
                </c:pt>
              </c:strCache>
            </c:strRef>
          </c:tx>
          <c:marker>
            <c:symbol val="none"/>
          </c:marker>
          <c:cat>
            <c:numRef>
              <c:f>'Int''l Comparison'!$A$52:$A$59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Comparison'!$E$52:$E$59</c:f>
              <c:numCache>
                <c:formatCode>0.0</c:formatCode>
                <c:ptCount val="8"/>
                <c:pt idx="0">
                  <c:v>2.4</c:v>
                </c:pt>
                <c:pt idx="1">
                  <c:v>2.9</c:v>
                </c:pt>
                <c:pt idx="2">
                  <c:v>3.1</c:v>
                </c:pt>
                <c:pt idx="3">
                  <c:v>2.9</c:v>
                </c:pt>
                <c:pt idx="4">
                  <c:v>2.1</c:v>
                </c:pt>
                <c:pt idx="5">
                  <c:v>2.6</c:v>
                </c:pt>
                <c:pt idx="6">
                  <c:v>2.8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'Int''l Comparison'!$F$51</c:f>
              <c:strCache>
                <c:ptCount val="1"/>
                <c:pt idx="0">
                  <c:v>Europe
 (excl. UK)</c:v>
                </c:pt>
              </c:strCache>
            </c:strRef>
          </c:tx>
          <c:marker>
            <c:symbol val="none"/>
          </c:marker>
          <c:cat>
            <c:numRef>
              <c:f>'Int''l Comparison'!$A$52:$A$59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Comparison'!$F$52:$F$59</c:f>
              <c:numCache>
                <c:formatCode>General</c:formatCode>
                <c:ptCount val="8"/>
                <c:pt idx="0" formatCode="0.0">
                  <c:v>1.5</c:v>
                </c:pt>
                <c:pt idx="1">
                  <c:v>1.8</c:v>
                </c:pt>
                <c:pt idx="2">
                  <c:v>3.1</c:v>
                </c:pt>
                <c:pt idx="3" formatCode="0.0">
                  <c:v>2.2999999999999998</c:v>
                </c:pt>
                <c:pt idx="4" formatCode="0.0">
                  <c:v>1.9</c:v>
                </c:pt>
                <c:pt idx="6" formatCode="0.0">
                  <c:v>3.9</c:v>
                </c:pt>
                <c:pt idx="7" formatCode="0.0">
                  <c:v>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1155912"/>
        <c:axId val="271156304"/>
      </c:lineChart>
      <c:catAx>
        <c:axId val="271155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6304"/>
        <c:crosses val="autoZero"/>
        <c:auto val="1"/>
        <c:lblAlgn val="ctr"/>
        <c:lblOffset val="100"/>
        <c:noMultiLvlLbl val="0"/>
      </c:catAx>
      <c:valAx>
        <c:axId val="2711563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 b="1"/>
                  <a:t>Number</a:t>
                </a:r>
                <a:r>
                  <a:rPr lang="en-AU" baseline="0"/>
                  <a:t> </a:t>
                </a:r>
                <a:r>
                  <a:rPr lang="en-AU" b="1" baseline="0"/>
                  <a:t>of start-up companies</a:t>
                </a:r>
                <a:r>
                  <a:rPr lang="en-AU" baseline="0"/>
                  <a:t> </a:t>
                </a:r>
                <a:r>
                  <a:rPr lang="en-AU" b="1" baseline="0"/>
                  <a:t>formed</a:t>
                </a:r>
                <a:r>
                  <a:rPr lang="en-AU" baseline="0"/>
                  <a:t> </a:t>
                </a:r>
                <a:r>
                  <a:rPr lang="en-AU" b="1" baseline="0"/>
                  <a:t>per $US100m research expenditure</a:t>
                </a:r>
                <a:endParaRPr lang="en-AU" b="1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59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0"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'Time Series'!$B$2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'Time Series'!$A$3:$A$14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Series'!$B$3:$B$14</c:f>
              <c:numCache>
                <c:formatCode>General</c:formatCode>
                <c:ptCount val="12"/>
                <c:pt idx="0">
                  <c:v>441</c:v>
                </c:pt>
                <c:pt idx="1">
                  <c:v>560</c:v>
                </c:pt>
                <c:pt idx="2">
                  <c:v>519</c:v>
                </c:pt>
                <c:pt idx="3">
                  <c:v>652</c:v>
                </c:pt>
                <c:pt idx="4">
                  <c:v>786</c:v>
                </c:pt>
                <c:pt idx="5">
                  <c:v>707</c:v>
                </c:pt>
                <c:pt idx="6">
                  <c:v>842</c:v>
                </c:pt>
                <c:pt idx="7">
                  <c:v>977</c:v>
                </c:pt>
                <c:pt idx="8">
                  <c:v>1129</c:v>
                </c:pt>
                <c:pt idx="9">
                  <c:v>1169</c:v>
                </c:pt>
                <c:pt idx="10">
                  <c:v>1289</c:v>
                </c:pt>
                <c:pt idx="11">
                  <c:v>1249</c:v>
                </c:pt>
              </c:numCache>
            </c:numRef>
          </c:val>
        </c:ser>
        <c:ser>
          <c:idx val="1"/>
          <c:order val="1"/>
          <c:tx>
            <c:strRef>
              <c:f>'Time Series'!$C$2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'Time Series'!$A$3:$A$14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Series'!$C$3:$C$14</c:f>
              <c:numCache>
                <c:formatCode>General</c:formatCode>
                <c:ptCount val="12"/>
                <c:pt idx="0">
                  <c:v>62</c:v>
                </c:pt>
                <c:pt idx="1">
                  <c:v>59</c:v>
                </c:pt>
                <c:pt idx="2">
                  <c:v>77</c:v>
                </c:pt>
                <c:pt idx="3">
                  <c:v>65</c:v>
                </c:pt>
                <c:pt idx="4">
                  <c:v>35</c:v>
                </c:pt>
                <c:pt idx="5">
                  <c:v>119</c:v>
                </c:pt>
                <c:pt idx="6">
                  <c:v>130</c:v>
                </c:pt>
                <c:pt idx="7">
                  <c:v>103</c:v>
                </c:pt>
                <c:pt idx="8">
                  <c:v>77</c:v>
                </c:pt>
                <c:pt idx="9">
                  <c:v>106</c:v>
                </c:pt>
                <c:pt idx="10">
                  <c:v>114</c:v>
                </c:pt>
                <c:pt idx="11">
                  <c:v>123</c:v>
                </c:pt>
              </c:numCache>
            </c:numRef>
          </c:val>
        </c:ser>
        <c:ser>
          <c:idx val="2"/>
          <c:order val="2"/>
          <c:tx>
            <c:strRef>
              <c:f>'Time Series'!$D$2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'Time Series'!$A$3:$A$14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Series'!$D$3:$D$14</c:f>
              <c:numCache>
                <c:formatCode>General</c:formatCode>
                <c:ptCount val="12"/>
                <c:pt idx="0">
                  <c:v>41</c:v>
                </c:pt>
                <c:pt idx="1">
                  <c:v>97</c:v>
                </c:pt>
                <c:pt idx="2">
                  <c:v>111</c:v>
                </c:pt>
                <c:pt idx="3">
                  <c:v>93</c:v>
                </c:pt>
                <c:pt idx="4">
                  <c:v>135</c:v>
                </c:pt>
                <c:pt idx="5">
                  <c:v>100</c:v>
                </c:pt>
                <c:pt idx="6">
                  <c:v>109</c:v>
                </c:pt>
                <c:pt idx="7">
                  <c:v>116</c:v>
                </c:pt>
                <c:pt idx="8">
                  <c:v>94</c:v>
                </c:pt>
                <c:pt idx="9">
                  <c:v>134</c:v>
                </c:pt>
                <c:pt idx="10">
                  <c:v>100</c:v>
                </c:pt>
                <c:pt idx="11">
                  <c:v>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157480"/>
        <c:axId val="271152776"/>
      </c:barChart>
      <c:catAx>
        <c:axId val="271157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en-US"/>
          </a:p>
        </c:txPr>
        <c:crossAx val="271152776"/>
        <c:crosses val="autoZero"/>
        <c:auto val="1"/>
        <c:lblAlgn val="ctr"/>
        <c:lblOffset val="100"/>
        <c:noMultiLvlLbl val="0"/>
      </c:catAx>
      <c:valAx>
        <c:axId val="2711527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Invention Disclosures </a:t>
                </a:r>
                <a:endParaRPr lang="en-A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7480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'Time Series'!$B$36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'Time Series'!$A$37:$A$48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Series'!$B$37:$B$48</c:f>
              <c:numCache>
                <c:formatCode>0</c:formatCode>
                <c:ptCount val="12"/>
                <c:pt idx="0">
                  <c:v>234</c:v>
                </c:pt>
                <c:pt idx="1">
                  <c:v>179</c:v>
                </c:pt>
                <c:pt idx="2">
                  <c:v>223</c:v>
                </c:pt>
                <c:pt idx="3">
                  <c:v>249</c:v>
                </c:pt>
                <c:pt idx="4">
                  <c:v>292</c:v>
                </c:pt>
                <c:pt idx="5">
                  <c:v>267</c:v>
                </c:pt>
                <c:pt idx="6">
                  <c:v>301</c:v>
                </c:pt>
                <c:pt idx="7">
                  <c:v>314</c:v>
                </c:pt>
                <c:pt idx="8">
                  <c:v>239</c:v>
                </c:pt>
                <c:pt idx="9">
                  <c:v>261</c:v>
                </c:pt>
                <c:pt idx="10">
                  <c:v>338</c:v>
                </c:pt>
                <c:pt idx="11">
                  <c:v>296</c:v>
                </c:pt>
              </c:numCache>
            </c:numRef>
          </c:val>
        </c:ser>
        <c:ser>
          <c:idx val="1"/>
          <c:order val="1"/>
          <c:tx>
            <c:strRef>
              <c:f>'Time Series'!$C$36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'Time Series'!$A$37:$A$48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Series'!$C$37:$C$48</c:f>
              <c:numCache>
                <c:formatCode>0</c:formatCode>
                <c:ptCount val="12"/>
                <c:pt idx="0">
                  <c:v>168</c:v>
                </c:pt>
                <c:pt idx="1">
                  <c:v>166</c:v>
                </c:pt>
                <c:pt idx="2">
                  <c:v>195</c:v>
                </c:pt>
                <c:pt idx="3">
                  <c:v>158</c:v>
                </c:pt>
                <c:pt idx="4">
                  <c:v>68</c:v>
                </c:pt>
                <c:pt idx="5">
                  <c:v>93.5</c:v>
                </c:pt>
                <c:pt idx="6">
                  <c:v>104.5</c:v>
                </c:pt>
                <c:pt idx="7">
                  <c:v>98.5</c:v>
                </c:pt>
                <c:pt idx="8">
                  <c:v>124</c:v>
                </c:pt>
                <c:pt idx="9">
                  <c:v>114</c:v>
                </c:pt>
                <c:pt idx="10">
                  <c:v>117</c:v>
                </c:pt>
                <c:pt idx="11">
                  <c:v>123</c:v>
                </c:pt>
              </c:numCache>
            </c:numRef>
          </c:val>
        </c:ser>
        <c:ser>
          <c:idx val="2"/>
          <c:order val="2"/>
          <c:tx>
            <c:strRef>
              <c:f>'Time Series'!$D$36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'Time Series'!$A$37:$A$48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Series'!$D$37:$D$48</c:f>
              <c:numCache>
                <c:formatCode>0</c:formatCode>
                <c:ptCount val="12"/>
                <c:pt idx="0">
                  <c:v>12</c:v>
                </c:pt>
                <c:pt idx="1">
                  <c:v>38</c:v>
                </c:pt>
                <c:pt idx="2">
                  <c:v>27</c:v>
                </c:pt>
                <c:pt idx="3">
                  <c:v>26</c:v>
                </c:pt>
                <c:pt idx="4">
                  <c:v>21</c:v>
                </c:pt>
                <c:pt idx="5">
                  <c:v>92.5</c:v>
                </c:pt>
                <c:pt idx="6">
                  <c:v>109</c:v>
                </c:pt>
                <c:pt idx="7">
                  <c:v>136</c:v>
                </c:pt>
                <c:pt idx="8">
                  <c:v>109</c:v>
                </c:pt>
                <c:pt idx="9">
                  <c:v>116</c:v>
                </c:pt>
                <c:pt idx="10">
                  <c:v>50</c:v>
                </c:pt>
                <c:pt idx="1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157088"/>
        <c:axId val="271157872"/>
      </c:barChart>
      <c:catAx>
        <c:axId val="27115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en-US"/>
          </a:p>
        </c:txPr>
        <c:crossAx val="271157872"/>
        <c:crosses val="autoZero"/>
        <c:auto val="1"/>
        <c:lblAlgn val="ctr"/>
        <c:lblOffset val="100"/>
        <c:noMultiLvlLbl val="0"/>
      </c:catAx>
      <c:valAx>
        <c:axId val="2711578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 of LOAs</a:t>
                </a:r>
                <a:r>
                  <a:rPr lang="en-AU" baseline="0"/>
                  <a:t> executed</a:t>
                </a:r>
                <a:endParaRPr lang="en-AU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70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'Time Series'!$B$54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'Time Series'!$A$55:$A$66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Series'!$B$55:$B$66</c:f>
              <c:numCache>
                <c:formatCode>0</c:formatCode>
                <c:ptCount val="12"/>
                <c:pt idx="0">
                  <c:v>109.91459264931089</c:v>
                </c:pt>
                <c:pt idx="1">
                  <c:v>133.27208333333331</c:v>
                </c:pt>
                <c:pt idx="2">
                  <c:v>122.25703129445233</c:v>
                </c:pt>
                <c:pt idx="3">
                  <c:v>179.44861972337483</c:v>
                </c:pt>
                <c:pt idx="4">
                  <c:v>215.4315489932886</c:v>
                </c:pt>
                <c:pt idx="5">
                  <c:v>166.52842377260984</c:v>
                </c:pt>
                <c:pt idx="6">
                  <c:v>153.52651048088779</c:v>
                </c:pt>
                <c:pt idx="7">
                  <c:v>141.89659224441831</c:v>
                </c:pt>
                <c:pt idx="8">
                  <c:v>105.69199035955056</c:v>
                </c:pt>
                <c:pt idx="9">
                  <c:v>113.59418094218414</c:v>
                </c:pt>
                <c:pt idx="10">
                  <c:v>110.43400954400849</c:v>
                </c:pt>
                <c:pt idx="11">
                  <c:v>103.49894868000001</c:v>
                </c:pt>
              </c:numCache>
            </c:numRef>
          </c:val>
        </c:ser>
        <c:ser>
          <c:idx val="1"/>
          <c:order val="1"/>
          <c:tx>
            <c:strRef>
              <c:f>'Time Series'!$C$54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'Time Series'!$A$55:$A$66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Series'!$C$55:$C$66</c:f>
              <c:numCache>
                <c:formatCode>0</c:formatCode>
                <c:ptCount val="12"/>
                <c:pt idx="0">
                  <c:v>45.648485451761104</c:v>
                </c:pt>
                <c:pt idx="1">
                  <c:v>43.606239766081863</c:v>
                </c:pt>
                <c:pt idx="2">
                  <c:v>27.017992887624466</c:v>
                </c:pt>
                <c:pt idx="3">
                  <c:v>24.359612724757959</c:v>
                </c:pt>
                <c:pt idx="4">
                  <c:v>14.157046979865772</c:v>
                </c:pt>
                <c:pt idx="5">
                  <c:v>19.143410852713178</c:v>
                </c:pt>
                <c:pt idx="6">
                  <c:v>42.821208384710239</c:v>
                </c:pt>
                <c:pt idx="7">
                  <c:v>58.93537015276145</c:v>
                </c:pt>
                <c:pt idx="8">
                  <c:v>75.078996629213478</c:v>
                </c:pt>
                <c:pt idx="9">
                  <c:v>87.559345824411125</c:v>
                </c:pt>
                <c:pt idx="10">
                  <c:v>36.783567338282076</c:v>
                </c:pt>
                <c:pt idx="11">
                  <c:v>28.906091</c:v>
                </c:pt>
              </c:numCache>
            </c:numRef>
          </c:val>
        </c:ser>
        <c:ser>
          <c:idx val="2"/>
          <c:order val="2"/>
          <c:tx>
            <c:strRef>
              <c:f>'Time Series'!$D$54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'Time Series'!$A$55:$A$66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Series'!$D$55:$D$66</c:f>
              <c:numCache>
                <c:formatCode>0</c:formatCode>
                <c:ptCount val="12"/>
                <c:pt idx="0">
                  <c:v>24.402586523736602</c:v>
                </c:pt>
                <c:pt idx="1">
                  <c:v>4.7514619883040927</c:v>
                </c:pt>
                <c:pt idx="2">
                  <c:v>6.2479914651493598</c:v>
                </c:pt>
                <c:pt idx="3">
                  <c:v>5.8801715076071925</c:v>
                </c:pt>
                <c:pt idx="4">
                  <c:v>17.152965100671143</c:v>
                </c:pt>
                <c:pt idx="5">
                  <c:v>10.87080103359173</c:v>
                </c:pt>
                <c:pt idx="6">
                  <c:v>20.723797780517881</c:v>
                </c:pt>
                <c:pt idx="7">
                  <c:v>17.665099882491187</c:v>
                </c:pt>
                <c:pt idx="8">
                  <c:v>9.927038202247191</c:v>
                </c:pt>
                <c:pt idx="9">
                  <c:v>36.379448608137039</c:v>
                </c:pt>
                <c:pt idx="10">
                  <c:v>0.8098462354188759</c:v>
                </c:pt>
                <c:pt idx="11">
                  <c:v>0.64887700000000004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158656"/>
        <c:axId val="271154344"/>
      </c:barChart>
      <c:catAx>
        <c:axId val="27115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en-US"/>
          </a:p>
        </c:txPr>
        <c:crossAx val="271154344"/>
        <c:crosses val="autoZero"/>
        <c:auto val="1"/>
        <c:lblAlgn val="ctr"/>
        <c:lblOffset val="100"/>
        <c:noMultiLvlLbl val="0"/>
      </c:catAx>
      <c:valAx>
        <c:axId val="2711543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Value</a:t>
                </a:r>
                <a:r>
                  <a:rPr lang="en-AU" baseline="0"/>
                  <a:t> of equity holdings in constant 2011 prices ($m)</a:t>
                </a:r>
                <a:endParaRPr lang="en-AU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86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'Time Series'!$B$73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'Time Series'!$A$74:$A$85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Series'!$B$74:$B$85</c:f>
              <c:numCache>
                <c:formatCode>0</c:formatCode>
                <c:ptCount val="12"/>
                <c:pt idx="0">
                  <c:v>89.299999967217445</c:v>
                </c:pt>
                <c:pt idx="1">
                  <c:v>113</c:v>
                </c:pt>
                <c:pt idx="2">
                  <c:v>133</c:v>
                </c:pt>
                <c:pt idx="3">
                  <c:v>112.51000081934035</c:v>
                </c:pt>
                <c:pt idx="4">
                  <c:v>124.66000039316714</c:v>
                </c:pt>
                <c:pt idx="5">
                  <c:v>123.60000005364418</c:v>
                </c:pt>
                <c:pt idx="6">
                  <c:v>127.50000010430813</c:v>
                </c:pt>
                <c:pt idx="7">
                  <c:v>147.90000008046627</c:v>
                </c:pt>
                <c:pt idx="8">
                  <c:v>162.59999938309193</c:v>
                </c:pt>
                <c:pt idx="9">
                  <c:v>160.10000003874302</c:v>
                </c:pt>
                <c:pt idx="10">
                  <c:v>167.11000130325556</c:v>
                </c:pt>
                <c:pt idx="11">
                  <c:v>165.40999894589186</c:v>
                </c:pt>
              </c:numCache>
            </c:numRef>
          </c:val>
        </c:ser>
        <c:ser>
          <c:idx val="1"/>
          <c:order val="1"/>
          <c:tx>
            <c:strRef>
              <c:f>'Time Series'!$C$73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'Time Series'!$A$74:$A$85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Series'!$C$74:$C$85</c:f>
              <c:numCache>
                <c:formatCode>0</c:formatCode>
                <c:ptCount val="12"/>
                <c:pt idx="0">
                  <c:v>96.599998474121094</c:v>
                </c:pt>
                <c:pt idx="1">
                  <c:v>109</c:v>
                </c:pt>
                <c:pt idx="2">
                  <c:v>137</c:v>
                </c:pt>
                <c:pt idx="3">
                  <c:v>168.4499939084053</c:v>
                </c:pt>
                <c:pt idx="4">
                  <c:v>143</c:v>
                </c:pt>
                <c:pt idx="5">
                  <c:v>153.20000028610229</c:v>
                </c:pt>
                <c:pt idx="6">
                  <c:v>151.15000009536743</c:v>
                </c:pt>
                <c:pt idx="7">
                  <c:v>120.50000023841858</c:v>
                </c:pt>
                <c:pt idx="8">
                  <c:v>128.90000009536743</c:v>
                </c:pt>
                <c:pt idx="9">
                  <c:v>131</c:v>
                </c:pt>
                <c:pt idx="10">
                  <c:v>123.69999980926514</c:v>
                </c:pt>
                <c:pt idx="11">
                  <c:v>126.19999980926514</c:v>
                </c:pt>
              </c:numCache>
            </c:numRef>
          </c:val>
        </c:ser>
        <c:ser>
          <c:idx val="2"/>
          <c:order val="2"/>
          <c:tx>
            <c:strRef>
              <c:f>'Time Series'!$D$73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'Time Series'!$A$74:$A$85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'Time Series'!$D$74:$D$85</c:f>
              <c:numCache>
                <c:formatCode>0</c:formatCode>
                <c:ptCount val="12"/>
                <c:pt idx="0">
                  <c:v>4.7000000402331352</c:v>
                </c:pt>
                <c:pt idx="1">
                  <c:v>9</c:v>
                </c:pt>
                <c:pt idx="2">
                  <c:v>11</c:v>
                </c:pt>
                <c:pt idx="3">
                  <c:v>14.650000125169754</c:v>
                </c:pt>
                <c:pt idx="4">
                  <c:v>14.100000038743019</c:v>
                </c:pt>
                <c:pt idx="5">
                  <c:v>17.80000002682209</c:v>
                </c:pt>
                <c:pt idx="6">
                  <c:v>20.100000023841858</c:v>
                </c:pt>
                <c:pt idx="7">
                  <c:v>20.500000029802322</c:v>
                </c:pt>
                <c:pt idx="8">
                  <c:v>17.200000010430813</c:v>
                </c:pt>
                <c:pt idx="9">
                  <c:v>17.80000002682209</c:v>
                </c:pt>
                <c:pt idx="10">
                  <c:v>14.099999897181988</c:v>
                </c:pt>
                <c:pt idx="11">
                  <c:v>15.699999921023846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153168"/>
        <c:axId val="271151992"/>
      </c:barChart>
      <c:catAx>
        <c:axId val="27115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en-US"/>
          </a:p>
        </c:txPr>
        <c:crossAx val="271151992"/>
        <c:crosses val="autoZero"/>
        <c:auto val="1"/>
        <c:lblAlgn val="ctr"/>
        <c:lblOffset val="100"/>
        <c:noMultiLvlLbl val="0"/>
      </c:catAx>
      <c:valAx>
        <c:axId val="271151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dedicated commercialisation staff in FTE</a:t>
                </a:r>
                <a:endParaRPr lang="en-AU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31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Sheet1!$A$26</c:f>
              <c:strCache>
                <c:ptCount val="1"/>
                <c:pt idx="0">
                  <c:v>PFRA</c:v>
                </c:pt>
              </c:strCache>
            </c:strRef>
          </c:tx>
          <c:invertIfNegative val="0"/>
          <c:cat>
            <c:numRef>
              <c:f>Sheet1!$B$25:$D$25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Sheet1!$B$26:$D$26</c:f>
              <c:numCache>
                <c:formatCode>General</c:formatCode>
                <c:ptCount val="3"/>
                <c:pt idx="0">
                  <c:v>262</c:v>
                </c:pt>
                <c:pt idx="1">
                  <c:v>298</c:v>
                </c:pt>
                <c:pt idx="2">
                  <c:v>276</c:v>
                </c:pt>
              </c:numCache>
            </c:numRef>
          </c:val>
        </c:ser>
        <c:ser>
          <c:idx val="1"/>
          <c:order val="1"/>
          <c:tx>
            <c:strRef>
              <c:f>Sheet1!$A$27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Sheet1!$B$25:$D$25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Sheet1!$B$27:$D$27</c:f>
              <c:numCache>
                <c:formatCode>General</c:formatCode>
                <c:ptCount val="3"/>
                <c:pt idx="0">
                  <c:v>318</c:v>
                </c:pt>
                <c:pt idx="1">
                  <c:v>444</c:v>
                </c:pt>
                <c:pt idx="2">
                  <c:v>445</c:v>
                </c:pt>
              </c:numCache>
            </c:numRef>
          </c:val>
        </c:ser>
        <c:ser>
          <c:idx val="2"/>
          <c:order val="2"/>
          <c:tx>
            <c:strRef>
              <c:f>Sheet1!$A$28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Sheet1!$B$25:$D$25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Sheet1!$B$28:$D$28</c:f>
              <c:numCache>
                <c:formatCode>General</c:formatCode>
                <c:ptCount val="3"/>
                <c:pt idx="0">
                  <c:v>122</c:v>
                </c:pt>
                <c:pt idx="1">
                  <c:v>60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454200"/>
        <c:axId val="270451456"/>
      </c:barChart>
      <c:catAx>
        <c:axId val="270454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451456"/>
        <c:crosses val="autoZero"/>
        <c:auto val="1"/>
        <c:lblAlgn val="ctr"/>
        <c:lblOffset val="100"/>
        <c:noMultiLvlLbl val="0"/>
      </c:catAx>
      <c:valAx>
        <c:axId val="2704514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Active LOAs yielding income</a:t>
                </a:r>
                <a:endParaRPr lang="en-AU"/>
              </a:p>
            </c:rich>
          </c:tx>
          <c:layout>
            <c:manualLayout>
              <c:xMode val="edge"/>
              <c:yMode val="edge"/>
              <c:x val="1.9277489811261025E-2"/>
              <c:y val="0.19214358560209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70454200"/>
        <c:crosses val="autoZero"/>
        <c:crossBetween val="between"/>
      </c:valAx>
      <c:spPr>
        <a:noFill/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PFRA</c:v>
                </c:pt>
              </c:strCache>
            </c:strRef>
          </c:tx>
          <c:invertIfNegative val="0"/>
          <c:cat>
            <c:numRef>
              <c:f>Sheet1!$B$32:$D$32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Sheet1!$B$33:$D$33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Sheet1!$A$34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Sheet1!$B$32:$D$32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Sheet1!$B$34:$D$34</c:f>
              <c:numCache>
                <c:formatCode>General</c:formatCode>
                <c:ptCount val="3"/>
                <c:pt idx="0">
                  <c:v>24</c:v>
                </c:pt>
                <c:pt idx="1">
                  <c:v>15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Sheet1!$A$35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Sheet1!$B$32:$D$32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Sheet1!$B$35:$D$35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454592"/>
        <c:axId val="270457728"/>
      </c:barChart>
      <c:catAx>
        <c:axId val="27045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457728"/>
        <c:crosses val="autoZero"/>
        <c:auto val="1"/>
        <c:lblAlgn val="ctr"/>
        <c:lblOffset val="100"/>
        <c:noMultiLvlLbl val="0"/>
      </c:catAx>
      <c:valAx>
        <c:axId val="2704577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new start-up companies formed</a:t>
                </a:r>
                <a:endParaRPr lang="en-A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04545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Sheet1!$A$61</c:f>
              <c:strCache>
                <c:ptCount val="1"/>
                <c:pt idx="0">
                  <c:v>PFRA</c:v>
                </c:pt>
              </c:strCache>
            </c:strRef>
          </c:tx>
          <c:invertIfNegative val="0"/>
          <c:cat>
            <c:numRef>
              <c:f>Sheet1!$B$60:$D$60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Sheet1!$B$61:$D$61</c:f>
              <c:numCache>
                <c:formatCode>#,##0</c:formatCode>
                <c:ptCount val="3"/>
                <c:pt idx="0">
                  <c:v>3718</c:v>
                </c:pt>
                <c:pt idx="1">
                  <c:v>3112</c:v>
                </c:pt>
                <c:pt idx="2">
                  <c:v>3022</c:v>
                </c:pt>
              </c:numCache>
            </c:numRef>
          </c:val>
        </c:ser>
        <c:ser>
          <c:idx val="1"/>
          <c:order val="1"/>
          <c:tx>
            <c:strRef>
              <c:f>Sheet1!$A$62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Sheet1!$B$60:$D$60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Sheet1!$B$62:$D$62</c:f>
              <c:numCache>
                <c:formatCode>#,##0</c:formatCode>
                <c:ptCount val="3"/>
                <c:pt idx="0">
                  <c:v>10171</c:v>
                </c:pt>
                <c:pt idx="1">
                  <c:v>11911</c:v>
                </c:pt>
                <c:pt idx="2">
                  <c:v>11990</c:v>
                </c:pt>
              </c:numCache>
            </c:numRef>
          </c:val>
        </c:ser>
        <c:ser>
          <c:idx val="2"/>
          <c:order val="2"/>
          <c:tx>
            <c:strRef>
              <c:f>Sheet1!$A$63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Sheet1!$B$60:$D$60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Sheet1!$B$63:$D$63</c:f>
              <c:numCache>
                <c:formatCode>General</c:formatCode>
                <c:ptCount val="3"/>
                <c:pt idx="0">
                  <c:v>508</c:v>
                </c:pt>
                <c:pt idx="1">
                  <c:v>564</c:v>
                </c:pt>
                <c:pt idx="2">
                  <c:v>558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455768"/>
        <c:axId val="270452632"/>
      </c:barChart>
      <c:catAx>
        <c:axId val="270455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452632"/>
        <c:crosses val="autoZero"/>
        <c:auto val="1"/>
        <c:lblAlgn val="ctr"/>
        <c:lblOffset val="100"/>
        <c:noMultiLvlLbl val="0"/>
      </c:catAx>
      <c:valAx>
        <c:axId val="2704526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contracts  and consultancy agreements</a:t>
                </a:r>
                <a:endParaRPr lang="en-AU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2704557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Sheet1!$A$44</c:f>
              <c:strCache>
                <c:ptCount val="1"/>
                <c:pt idx="0">
                  <c:v>PFRA</c:v>
                </c:pt>
              </c:strCache>
            </c:strRef>
          </c:tx>
          <c:invertIfNegative val="0"/>
          <c:cat>
            <c:numRef>
              <c:f>Sheet1!$B$43:$D$43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Sheet1!$B$44:$D$44</c:f>
              <c:numCache>
                <c:formatCode>General</c:formatCode>
                <c:ptCount val="3"/>
                <c:pt idx="0">
                  <c:v>40</c:v>
                </c:pt>
                <c:pt idx="1">
                  <c:v>37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Sheet1!$A$45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Sheet1!$B$43:$D$43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Sheet1!$B$45:$D$45</c:f>
              <c:numCache>
                <c:formatCode>General</c:formatCode>
                <c:ptCount val="3"/>
                <c:pt idx="0">
                  <c:v>59</c:v>
                </c:pt>
                <c:pt idx="1">
                  <c:v>78</c:v>
                </c:pt>
                <c:pt idx="2">
                  <c:v>65</c:v>
                </c:pt>
              </c:numCache>
            </c:numRef>
          </c:val>
        </c:ser>
        <c:ser>
          <c:idx val="2"/>
          <c:order val="2"/>
          <c:tx>
            <c:strRef>
              <c:f>Sheet1!$A$46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Sheet1!$B$43:$D$43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Sheet1!$B$46:$D$46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456944"/>
        <c:axId val="270456160"/>
      </c:barChart>
      <c:catAx>
        <c:axId val="27045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456160"/>
        <c:crosses val="autoZero"/>
        <c:auto val="1"/>
        <c:lblAlgn val="ctr"/>
        <c:lblOffset val="100"/>
        <c:noMultiLvlLbl val="0"/>
      </c:catAx>
      <c:valAx>
        <c:axId val="2704561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 of research</a:t>
                </a:r>
                <a:r>
                  <a:rPr lang="en-AU" baseline="0"/>
                  <a:t> postgraduates employed in start-up companies</a:t>
                </a:r>
                <a:endParaRPr lang="en-A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04569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Sheet1!$A$78</c:f>
              <c:strCache>
                <c:ptCount val="1"/>
                <c:pt idx="0">
                  <c:v>PFRA </c:v>
                </c:pt>
              </c:strCache>
            </c:strRef>
          </c:tx>
          <c:invertIfNegative val="0"/>
          <c:cat>
            <c:numRef>
              <c:f>Sheet1!$B$77:$D$77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Sheet1!$B$78:$D$78</c:f>
              <c:numCache>
                <c:formatCode>General</c:formatCode>
                <c:ptCount val="3"/>
                <c:pt idx="0">
                  <c:v>198</c:v>
                </c:pt>
                <c:pt idx="1">
                  <c:v>185</c:v>
                </c:pt>
                <c:pt idx="2">
                  <c:v>191</c:v>
                </c:pt>
              </c:numCache>
            </c:numRef>
          </c:val>
        </c:ser>
        <c:ser>
          <c:idx val="1"/>
          <c:order val="1"/>
          <c:tx>
            <c:strRef>
              <c:f>Sheet1!$A$79</c:f>
              <c:strCache>
                <c:ptCount val="1"/>
                <c:pt idx="0">
                  <c:v>Universities</c:v>
                </c:pt>
              </c:strCache>
            </c:strRef>
          </c:tx>
          <c:invertIfNegative val="0"/>
          <c:cat>
            <c:numRef>
              <c:f>Sheet1!$B$77:$D$77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Sheet1!$B$79:$D$79</c:f>
              <c:numCache>
                <c:formatCode>General</c:formatCode>
                <c:ptCount val="3"/>
                <c:pt idx="0">
                  <c:v>460</c:v>
                </c:pt>
                <c:pt idx="1">
                  <c:v>448</c:v>
                </c:pt>
                <c:pt idx="2">
                  <c:v>448</c:v>
                </c:pt>
              </c:numCache>
            </c:numRef>
          </c:val>
        </c:ser>
        <c:ser>
          <c:idx val="2"/>
          <c:order val="2"/>
          <c:tx>
            <c:strRef>
              <c:f>Sheet1!$A$80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Sheet1!$B$77:$D$77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Sheet1!$B$80:$D$80</c:f>
              <c:numCache>
                <c:formatCode>General</c:formatCode>
                <c:ptCount val="3"/>
                <c:pt idx="0">
                  <c:v>48</c:v>
                </c:pt>
                <c:pt idx="1">
                  <c:v>39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453416"/>
        <c:axId val="270458904"/>
      </c:barChart>
      <c:catAx>
        <c:axId val="270453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458904"/>
        <c:crosses val="autoZero"/>
        <c:auto val="1"/>
        <c:lblAlgn val="ctr"/>
        <c:lblOffset val="100"/>
        <c:noMultiLvlLbl val="0"/>
      </c:catAx>
      <c:valAx>
        <c:axId val="2704589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No. of commercialisation staff by sector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04534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'Int''l Comparison'!$B$80</c:f>
              <c:strCache>
                <c:ptCount val="1"/>
                <c:pt idx="0">
                  <c:v>Australia</c:v>
                </c:pt>
              </c:strCache>
            </c:strRef>
          </c:tx>
          <c:marker>
            <c:symbol val="dash"/>
            <c:size val="7"/>
          </c:marker>
          <c:cat>
            <c:numRef>
              <c:f>'Int''l Comparison'!$A$81:$A$88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Comparison'!$B$81:$B$88</c:f>
              <c:numCache>
                <c:formatCode>0.0</c:formatCode>
                <c:ptCount val="8"/>
                <c:pt idx="0">
                  <c:v>26.492509722473731</c:v>
                </c:pt>
                <c:pt idx="1">
                  <c:v>26.765220262191562</c:v>
                </c:pt>
                <c:pt idx="2">
                  <c:v>26.253503782082223</c:v>
                </c:pt>
                <c:pt idx="3">
                  <c:v>25.484322644644276</c:v>
                </c:pt>
                <c:pt idx="4">
                  <c:v>25.327677536578683</c:v>
                </c:pt>
                <c:pt idx="5">
                  <c:v>25.614753250942442</c:v>
                </c:pt>
                <c:pt idx="6">
                  <c:v>28.343779775608706</c:v>
                </c:pt>
                <c:pt idx="7">
                  <c:v>28.792748084433864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'Int''l Comparison'!$C$80</c:f>
              <c:strCache>
                <c:ptCount val="1"/>
                <c:pt idx="0">
                  <c:v>Canada</c:v>
                </c:pt>
              </c:strCache>
            </c:strRef>
          </c:tx>
          <c:marker>
            <c:symbol val="dash"/>
            <c:size val="7"/>
          </c:marker>
          <c:cat>
            <c:numRef>
              <c:f>'Int''l Comparison'!$A$81:$A$88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Comparison'!$C$81:$C$88</c:f>
              <c:numCache>
                <c:formatCode>0.0</c:formatCode>
                <c:ptCount val="8"/>
                <c:pt idx="0">
                  <c:v>39.545070190636096</c:v>
                </c:pt>
                <c:pt idx="1">
                  <c:v>41.075568683311182</c:v>
                </c:pt>
                <c:pt idx="2">
                  <c:v>39.262612830048027</c:v>
                </c:pt>
                <c:pt idx="3">
                  <c:v>43.648450505452416</c:v>
                </c:pt>
                <c:pt idx="4">
                  <c:v>40.69245702802079</c:v>
                </c:pt>
                <c:pt idx="5">
                  <c:v>39.42177777216817</c:v>
                </c:pt>
                <c:pt idx="6">
                  <c:v>34.659410050721426</c:v>
                </c:pt>
                <c:pt idx="7">
                  <c:v>41.562171296555555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'Int''l Comparison'!$D$80</c:f>
              <c:strCache>
                <c:ptCount val="1"/>
                <c:pt idx="0">
                  <c:v>US</c:v>
                </c:pt>
              </c:strCache>
            </c:strRef>
          </c:tx>
          <c:marker>
            <c:symbol val="dash"/>
            <c:size val="7"/>
          </c:marker>
          <c:cat>
            <c:numRef>
              <c:f>'Int''l Comparison'!$A$81:$A$88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Comparison'!$D$81:$D$88</c:f>
              <c:numCache>
                <c:formatCode>0.0</c:formatCode>
                <c:ptCount val="8"/>
                <c:pt idx="0">
                  <c:v>40.803398058252426</c:v>
                </c:pt>
                <c:pt idx="1">
                  <c:v>41.092198581560282</c:v>
                </c:pt>
                <c:pt idx="2">
                  <c:v>41.5726872246696</c:v>
                </c:pt>
                <c:pt idx="3">
                  <c:v>40.629098360655739</c:v>
                </c:pt>
                <c:pt idx="4">
                  <c:v>38.682692307692307</c:v>
                </c:pt>
                <c:pt idx="5">
                  <c:v>37.609259259259261</c:v>
                </c:pt>
                <c:pt idx="6">
                  <c:v>34.986440677966101</c:v>
                </c:pt>
                <c:pt idx="7">
                  <c:v>35.829508196721314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'Int''l Comparison'!$E$80</c:f>
              <c:strCache>
                <c:ptCount val="1"/>
                <c:pt idx="0">
                  <c:v>UK</c:v>
                </c:pt>
              </c:strCache>
            </c:strRef>
          </c:tx>
          <c:marker>
            <c:symbol val="dash"/>
            <c:size val="7"/>
            <c:spPr>
              <a:ln w="12700"/>
            </c:spPr>
          </c:marker>
          <c:cat>
            <c:numRef>
              <c:f>'Int''l Comparison'!$A$81:$A$88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Comparison'!$E$81:$E$88</c:f>
              <c:numCache>
                <c:formatCode>0.0</c:formatCode>
                <c:ptCount val="8"/>
                <c:pt idx="0">
                  <c:v>49.206110401233616</c:v>
                </c:pt>
                <c:pt idx="1">
                  <c:v>53.068092085610985</c:v>
                </c:pt>
                <c:pt idx="2">
                  <c:v>52.056159979418936</c:v>
                </c:pt>
                <c:pt idx="3">
                  <c:v>48.052679161433872</c:v>
                </c:pt>
                <c:pt idx="4">
                  <c:v>41.835212509081735</c:v>
                </c:pt>
                <c:pt idx="5">
                  <c:v>40.831779576392655</c:v>
                </c:pt>
                <c:pt idx="6">
                  <c:v>43.703830192740412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'Int''l Comparison'!$F$80</c:f>
              <c:strCache>
                <c:ptCount val="1"/>
                <c:pt idx="0">
                  <c:v>Europe 
(excl. UK)</c:v>
                </c:pt>
              </c:strCache>
            </c:strRef>
          </c:tx>
          <c:marker>
            <c:symbol val="dash"/>
            <c:size val="7"/>
          </c:marker>
          <c:cat>
            <c:numRef>
              <c:f>'Int''l Comparison'!$A$81:$A$88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Comparison'!$F$81:$F$88</c:f>
              <c:numCache>
                <c:formatCode>General</c:formatCode>
                <c:ptCount val="8"/>
                <c:pt idx="0">
                  <c:v>29.2</c:v>
                </c:pt>
                <c:pt idx="1">
                  <c:v>28.6</c:v>
                </c:pt>
                <c:pt idx="2">
                  <c:v>28.7</c:v>
                </c:pt>
                <c:pt idx="3">
                  <c:v>27.8</c:v>
                </c:pt>
                <c:pt idx="4">
                  <c:v>27.7</c:v>
                </c:pt>
                <c:pt idx="6" formatCode="0.0">
                  <c:v>31.736882916326866</c:v>
                </c:pt>
                <c:pt idx="7" formatCode="0.0">
                  <c:v>28.352901813294011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0455376"/>
        <c:axId val="270454984"/>
      </c:lineChart>
      <c:catAx>
        <c:axId val="27045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0454984"/>
        <c:crosses val="autoZero"/>
        <c:auto val="1"/>
        <c:lblAlgn val="ctr"/>
        <c:lblOffset val="100"/>
        <c:noMultiLvlLbl val="0"/>
      </c:catAx>
      <c:valAx>
        <c:axId val="270454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Invention Disclosures per $US100m Research expenditure</a:t>
                </a:r>
                <a:endParaRPr lang="en-AU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2704553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'Int''l Comparison'!$B$95</c:f>
              <c:strCache>
                <c:ptCount val="1"/>
                <c:pt idx="0">
                  <c:v>Australia</c:v>
                </c:pt>
              </c:strCache>
            </c:strRef>
          </c:tx>
          <c:marker>
            <c:symbol val="none"/>
          </c:marker>
          <c:cat>
            <c:numRef>
              <c:f>'Int''l Comparison'!$A$96:$A$103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Comparison'!$B$96:$B$103</c:f>
              <c:numCache>
                <c:formatCode>0.0</c:formatCode>
                <c:ptCount val="8"/>
                <c:pt idx="0">
                  <c:v>5.2792045908987708</c:v>
                </c:pt>
                <c:pt idx="1">
                  <c:v>2.3213437478583203</c:v>
                </c:pt>
                <c:pt idx="2">
                  <c:v>2.6121516331623855</c:v>
                </c:pt>
                <c:pt idx="3">
                  <c:v>1.6615519421148257</c:v>
                </c:pt>
                <c:pt idx="4">
                  <c:v>1.4172161691131158</c:v>
                </c:pt>
                <c:pt idx="5">
                  <c:v>1.5478332841394844</c:v>
                </c:pt>
                <c:pt idx="6">
                  <c:v>1.9591630723450464</c:v>
                </c:pt>
                <c:pt idx="7">
                  <c:v>1.9910886452062961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'Int''l Comparison'!$C$95</c:f>
              <c:strCache>
                <c:ptCount val="1"/>
                <c:pt idx="0">
                  <c:v>Canada</c:v>
                </c:pt>
              </c:strCache>
            </c:strRef>
          </c:tx>
          <c:marker>
            <c:symbol val="none"/>
          </c:marker>
          <c:cat>
            <c:numRef>
              <c:f>'Int''l Comparison'!$A$96:$A$103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Comparison'!$C$96:$C$103</c:f>
              <c:numCache>
                <c:formatCode>0.0</c:formatCode>
                <c:ptCount val="8"/>
                <c:pt idx="0">
                  <c:v>4.5384548803331404</c:v>
                </c:pt>
                <c:pt idx="1">
                  <c:v>4.0702936169087138</c:v>
                </c:pt>
                <c:pt idx="2">
                  <c:v>3.1205464268832963</c:v>
                </c:pt>
                <c:pt idx="3">
                  <c:v>3.8819663139339458</c:v>
                </c:pt>
                <c:pt idx="4">
                  <c:v>2.6830191447046672</c:v>
                </c:pt>
                <c:pt idx="5">
                  <c:v>2.4625785177824988</c:v>
                </c:pt>
                <c:pt idx="6">
                  <c:v>2.8616025619244594</c:v>
                </c:pt>
                <c:pt idx="7">
                  <c:v>4.131110930629629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'Int''l Comparison'!$D$95</c:f>
              <c:strCache>
                <c:ptCount val="1"/>
                <c:pt idx="0">
                  <c:v>US</c:v>
                </c:pt>
              </c:strCache>
            </c:strRef>
          </c:tx>
          <c:marker>
            <c:symbol val="none"/>
          </c:marker>
          <c:cat>
            <c:numRef>
              <c:f>'Int''l Comparison'!$A$96:$A$103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Comparison'!$D$96:$D$103</c:f>
              <c:numCache>
                <c:formatCode>0.0</c:formatCode>
                <c:ptCount val="8"/>
                <c:pt idx="0">
                  <c:v>8.9320388349514559</c:v>
                </c:pt>
                <c:pt idx="1">
                  <c:v>7.7494089834515369</c:v>
                </c:pt>
                <c:pt idx="2">
                  <c:v>7.1696035242290748</c:v>
                </c:pt>
                <c:pt idx="3">
                  <c:v>7.4221311475409832</c:v>
                </c:pt>
                <c:pt idx="4">
                  <c:v>6.3076923076923075</c:v>
                </c:pt>
                <c:pt idx="5">
                  <c:v>6.3277777777777775</c:v>
                </c:pt>
                <c:pt idx="6">
                  <c:v>7.5745762711864408</c:v>
                </c:pt>
                <c:pt idx="7">
                  <c:v>7.7049180327868854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'Int''l Comparison'!$E$95</c:f>
              <c:strCache>
                <c:ptCount val="1"/>
                <c:pt idx="0">
                  <c:v>UK</c:v>
                </c:pt>
              </c:strCache>
            </c:strRef>
          </c:tx>
          <c:marker>
            <c:symbol val="none"/>
          </c:marker>
          <c:cat>
            <c:numRef>
              <c:f>'Int''l Comparison'!$A$96:$A$103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Comparison'!$E$96:$E$103</c:f>
              <c:numCache>
                <c:formatCode>0.0</c:formatCode>
                <c:ptCount val="8"/>
                <c:pt idx="0">
                  <c:v>11.557827715651502</c:v>
                </c:pt>
                <c:pt idx="1">
                  <c:v>8.8779038767895866</c:v>
                </c:pt>
                <c:pt idx="2">
                  <c:v>8.9910132158793523</c:v>
                </c:pt>
                <c:pt idx="3">
                  <c:v>7.8404537348578494</c:v>
                </c:pt>
                <c:pt idx="4">
                  <c:v>7.1476697457954925</c:v>
                </c:pt>
                <c:pt idx="5">
                  <c:v>8.6340786780047889</c:v>
                </c:pt>
                <c:pt idx="6">
                  <c:v>7.8360491368793204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'Int''l Comparison'!$F$95</c:f>
              <c:strCache>
                <c:ptCount val="1"/>
                <c:pt idx="0">
                  <c:v>Europe
 (excl. UK)</c:v>
                </c:pt>
              </c:strCache>
            </c:strRef>
          </c:tx>
          <c:marker>
            <c:symbol val="none"/>
          </c:marker>
          <c:cat>
            <c:numRef>
              <c:f>'Int''l Comparison'!$A$96:$A$103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Comparison'!$F$96:$F$103</c:f>
              <c:numCache>
                <c:formatCode>General</c:formatCode>
                <c:ptCount val="8"/>
                <c:pt idx="2">
                  <c:v>1.2</c:v>
                </c:pt>
                <c:pt idx="3">
                  <c:v>1.5</c:v>
                </c:pt>
                <c:pt idx="4" formatCode="0.0">
                  <c:v>4.2731641104487244</c:v>
                </c:pt>
                <c:pt idx="6" formatCode="0.0">
                  <c:v>1.7318685142809693</c:v>
                </c:pt>
                <c:pt idx="7" formatCode="0.0">
                  <c:v>3.4507766671814597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1154736"/>
        <c:axId val="271153560"/>
      </c:lineChart>
      <c:catAx>
        <c:axId val="27115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3560"/>
        <c:crosses val="autoZero"/>
        <c:auto val="1"/>
        <c:lblAlgn val="ctr"/>
        <c:lblOffset val="100"/>
        <c:noMultiLvlLbl val="0"/>
      </c:catAx>
      <c:valAx>
        <c:axId val="271153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AU" b="1"/>
                  <a:t>US</a:t>
                </a:r>
                <a:r>
                  <a:rPr lang="en-AU" b="1" baseline="0"/>
                  <a:t> Patents issued perUS$100m Research Expenditure</a:t>
                </a:r>
                <a:endParaRPr lang="en-AU" b="1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473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0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'Int''l Comparison'!$B$110</c:f>
              <c:strCache>
                <c:ptCount val="1"/>
                <c:pt idx="0">
                  <c:v>Australia</c:v>
                </c:pt>
              </c:strCache>
            </c:strRef>
          </c:tx>
          <c:marker>
            <c:symbol val="none"/>
          </c:marker>
          <c:cat>
            <c:numRef>
              <c:f>'Int''l Comparison'!$A$111:$A$118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Comparison'!$B$111:$B$118</c:f>
              <c:numCache>
                <c:formatCode>0.0</c:formatCode>
                <c:ptCount val="8"/>
                <c:pt idx="0">
                  <c:v>10.6</c:v>
                </c:pt>
                <c:pt idx="1">
                  <c:v>11.6</c:v>
                </c:pt>
                <c:pt idx="2">
                  <c:v>12.5</c:v>
                </c:pt>
                <c:pt idx="3">
                  <c:v>11.8</c:v>
                </c:pt>
                <c:pt idx="4">
                  <c:v>9.1999999999999993</c:v>
                </c:pt>
                <c:pt idx="5">
                  <c:v>9</c:v>
                </c:pt>
                <c:pt idx="6">
                  <c:v>8.5</c:v>
                </c:pt>
                <c:pt idx="7">
                  <c:v>8.3000000000000007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'Int''l Comparison'!$C$110</c:f>
              <c:strCache>
                <c:ptCount val="1"/>
                <c:pt idx="0">
                  <c:v>Canada</c:v>
                </c:pt>
              </c:strCache>
            </c:strRef>
          </c:tx>
          <c:marker>
            <c:symbol val="none"/>
          </c:marker>
          <c:cat>
            <c:numRef>
              <c:f>'Int''l Comparison'!$A$111:$A$118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Comparison'!$C$111:$C$118</c:f>
              <c:numCache>
                <c:formatCode>0.0</c:formatCode>
                <c:ptCount val="8"/>
                <c:pt idx="0">
                  <c:v>16.5</c:v>
                </c:pt>
                <c:pt idx="1">
                  <c:v>16.399999999999999</c:v>
                </c:pt>
                <c:pt idx="2">
                  <c:v>11.9</c:v>
                </c:pt>
                <c:pt idx="3">
                  <c:v>16</c:v>
                </c:pt>
                <c:pt idx="4">
                  <c:v>14.1</c:v>
                </c:pt>
                <c:pt idx="5">
                  <c:v>14.2</c:v>
                </c:pt>
                <c:pt idx="6">
                  <c:v>10.8</c:v>
                </c:pt>
                <c:pt idx="7">
                  <c:v>13.2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'Int''l Comparison'!$D$110</c:f>
              <c:strCache>
                <c:ptCount val="1"/>
                <c:pt idx="0">
                  <c:v>US</c:v>
                </c:pt>
              </c:strCache>
            </c:strRef>
          </c:tx>
          <c:marker>
            <c:symbol val="none"/>
          </c:marker>
          <c:cat>
            <c:numRef>
              <c:f>'Int''l Comparison'!$A$111:$A$118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Comparison'!$D$111:$D$118</c:f>
              <c:numCache>
                <c:formatCode>0.0</c:formatCode>
                <c:ptCount val="8"/>
                <c:pt idx="0">
                  <c:v>11.6</c:v>
                </c:pt>
                <c:pt idx="1">
                  <c:v>11.7</c:v>
                </c:pt>
                <c:pt idx="2">
                  <c:v>10.9</c:v>
                </c:pt>
                <c:pt idx="3">
                  <c:v>10.5</c:v>
                </c:pt>
                <c:pt idx="4">
                  <c:v>9.9</c:v>
                </c:pt>
                <c:pt idx="5">
                  <c:v>9.9</c:v>
                </c:pt>
                <c:pt idx="6">
                  <c:v>9.1</c:v>
                </c:pt>
                <c:pt idx="7">
                  <c:v>9.9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'Int''l Comparison'!$E$110</c:f>
              <c:strCache>
                <c:ptCount val="1"/>
                <c:pt idx="0">
                  <c:v>UK</c:v>
                </c:pt>
              </c:strCache>
            </c:strRef>
          </c:tx>
          <c:marker>
            <c:symbol val="none"/>
          </c:marker>
          <c:cat>
            <c:numRef>
              <c:f>'Int''l Comparison'!$A$111:$A$118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Comparison'!$E$111:$E$118</c:f>
              <c:numCache>
                <c:formatCode>0.0</c:formatCode>
                <c:ptCount val="8"/>
                <c:pt idx="0">
                  <c:v>34.1</c:v>
                </c:pt>
                <c:pt idx="1">
                  <c:v>41.5</c:v>
                </c:pt>
                <c:pt idx="2">
                  <c:v>45.7</c:v>
                </c:pt>
                <c:pt idx="3">
                  <c:v>42.4</c:v>
                </c:pt>
                <c:pt idx="4">
                  <c:v>48.9</c:v>
                </c:pt>
                <c:pt idx="5">
                  <c:v>50.2</c:v>
                </c:pt>
                <c:pt idx="6">
                  <c:v>52.6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'Int''l Comparison'!$F$110</c:f>
              <c:strCache>
                <c:ptCount val="1"/>
                <c:pt idx="0">
                  <c:v>Europe
 (excl. UK)</c:v>
                </c:pt>
              </c:strCache>
            </c:strRef>
          </c:tx>
          <c:marker>
            <c:symbol val="none"/>
          </c:marker>
          <c:cat>
            <c:numRef>
              <c:f>'Int''l Comparison'!$A$111:$A$118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</c:numCache>
            </c:numRef>
          </c:cat>
          <c:val>
            <c:numRef>
              <c:f>'Int''l Comparison'!$F$111:$F$118</c:f>
              <c:numCache>
                <c:formatCode>General</c:formatCode>
                <c:ptCount val="8"/>
                <c:pt idx="0" formatCode="0.0">
                  <c:v>14</c:v>
                </c:pt>
                <c:pt idx="1">
                  <c:v>15.8</c:v>
                </c:pt>
                <c:pt idx="2">
                  <c:v>12.8</c:v>
                </c:pt>
                <c:pt idx="3" formatCode="0.0">
                  <c:v>9</c:v>
                </c:pt>
                <c:pt idx="4" formatCode="0.0">
                  <c:v>9.1</c:v>
                </c:pt>
                <c:pt idx="6" formatCode="0.0">
                  <c:v>9.5</c:v>
                </c:pt>
                <c:pt idx="7" formatCode="0.0">
                  <c:v>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1152384"/>
        <c:axId val="271158264"/>
      </c:lineChart>
      <c:catAx>
        <c:axId val="27115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8264"/>
        <c:crosses val="autoZero"/>
        <c:auto val="1"/>
        <c:lblAlgn val="ctr"/>
        <c:lblOffset val="100"/>
        <c:noMultiLvlLbl val="0"/>
      </c:catAx>
      <c:valAx>
        <c:axId val="2711582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of LOAs Executed per  $US100m research expenditure</a:t>
                </a:r>
                <a:endParaRPr lang="en-AU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11523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KeywordsLookupField xmlns="c0b4bd0a-f6ac-422c-a0b2-ddc3a705a698"/>
    <CorePublishingDocumentChangeDescription xmlns="d580843d-216d-45a8-9226-4ce87fce8ec1" xsi:nil="true"/>
    <IPSCategory xmlns="d580843d-216d-45a8-9226-4ce87fce8ec1" xsi:nil="true"/>
    <CorePublishingComments xmlns="d580843d-216d-45a8-9226-4ce87fce8ec1" xsi:nil="true"/>
    <CorePublishingFileReference xmlns="d580843d-216d-45a8-9226-4ce87fce8ec1">23822</CorePublishingFileReference>
    <SubjectLookupField xmlns="c0b4bd0a-f6ac-422c-a0b2-ddc3a705a698"/>
    <PublishingExpirationDate xmlns="http://schemas.microsoft.com/sharepoint/v3" xsi:nil="true"/>
    <PublishingStartDate xmlns="http://schemas.microsoft.com/sharepoint/v3" xsi:nil="true"/>
    <CorePublishingDocumentContact xmlns="d580843d-216d-45a8-9226-4ce87fce8ec1">
      <UserInfo>
        <DisplayName>online</DisplayName>
        <AccountId>189</AccountId>
        <AccountType/>
      </UserInfo>
    </CorePublishingDocumentContact>
    <IncludeInNotificationsAndUpdates xmlns="d580843d-216d-45a8-9226-4ce87fce8ec1">true</IncludeInNotificationsAndUpdates>
    <IncludeInRSSFeeds xmlns="d580843d-216d-45a8-9226-4ce87fce8ec1">false</IncludeInRSSFeeds>
    <IncludeInContentRollups xmlns="d580843d-216d-45a8-9226-4ce87fce8ec1">false</IncludeInContentRollups>
    <DocumentRollupCategory xmlns="c0b4bd0a-f6ac-422c-a0b2-ddc3a705a698"/>
    <Survey_x0020_year xmlns="ce38ff00-81e0-4a2a-ab02-fc1e56a2e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32E8B485E70BCF4597356F588D2ECF64" ma:contentTypeVersion="79" ma:contentTypeDescription="Core Publishing Document, inherited from OOTB document." ma:contentTypeScope="" ma:versionID="387f12d8cf5c31f1226a3917102ba1aa">
  <xsd:schema xmlns:xsd="http://www.w3.org/2001/XMLSchema" xmlns:xs="http://www.w3.org/2001/XMLSchema" xmlns:p="http://schemas.microsoft.com/office/2006/metadata/properties" xmlns:ns1="http://schemas.microsoft.com/sharepoint/v3" xmlns:ns2="d580843d-216d-45a8-9226-4ce87fce8ec1" xmlns:ns3="c0b4bd0a-f6ac-422c-a0b2-ddc3a705a698" xmlns:ns4="ce38ff00-81e0-4a2a-ab02-fc1e56a2e679" targetNamespace="http://schemas.microsoft.com/office/2006/metadata/properties" ma:root="true" ma:fieldsID="856cca03d489173e4609413fa00b9057" ns1:_="" ns2:_="" ns3:_="" ns4:_="">
    <xsd:import namespace="http://schemas.microsoft.com/sharepoint/v3"/>
    <xsd:import namespace="d580843d-216d-45a8-9226-4ce87fce8ec1"/>
    <xsd:import namespace="c0b4bd0a-f6ac-422c-a0b2-ddc3a705a698"/>
    <xsd:import namespace="ce38ff00-81e0-4a2a-ab02-fc1e56a2e679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Survey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843d-216d-45a8-9226-4ce87fce8ec1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internalName="CorePublishingDocument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 ma:readOnly="fals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c0b4bd0a-f6ac-422c-a0b2-ddc3a705a698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8ff00-81e0-4a2a-ab02-fc1e56a2e679" elementFormDefault="qualified">
    <xsd:import namespace="http://schemas.microsoft.com/office/2006/documentManagement/types"/>
    <xsd:import namespace="http://schemas.microsoft.com/office/infopath/2007/PartnerControls"/>
    <xsd:element name="Survey_x0020_year" ma:index="23" nillable="true" ma:displayName="Survey year" ma:decimals="0" ma:internalName="Survey_x0020_year">
      <xsd:simpleType>
        <xsd:restriction base="dms:Number">
          <xsd:maxInclusive value="2050"/>
          <xsd:minInclusive value="199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1006-3E16-42B6-A408-ED8A5FF63D6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d580843d-216d-45a8-9226-4ce87fce8ec1"/>
    <ds:schemaRef ds:uri="ce38ff00-81e0-4a2a-ab02-fc1e56a2e679"/>
    <ds:schemaRef ds:uri="c0b4bd0a-f6ac-422c-a0b2-ddc3a705a6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8983A6-0DF1-4400-A998-3616540E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8E059-9709-431F-B6F8-96C44C43C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80843d-216d-45a8-9226-4ce87fce8ec1"/>
    <ds:schemaRef ds:uri="c0b4bd0a-f6ac-422c-a0b2-ddc3a705a698"/>
    <ds:schemaRef ds:uri="ce38ff00-81e0-4a2a-ab02-fc1e56a2e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02CC6-432D-4983-8AF4-D1402B07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Survey of Research Commercialisation 2010 and 2011</vt:lpstr>
    </vt:vector>
  </TitlesOfParts>
  <Company>DIISRTE</Company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Survey of Research Commercialisation 2010 and 2011</dc:title>
  <dc:creator>Raymundo, Rissa</dc:creator>
  <cp:lastModifiedBy>Bingham, Adam</cp:lastModifiedBy>
  <cp:revision>2</cp:revision>
  <dcterms:created xsi:type="dcterms:W3CDTF">2019-02-14T02:17:00Z</dcterms:created>
  <dcterms:modified xsi:type="dcterms:W3CDTF">2019-02-14T02:17:00Z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0x01010097F86F0C24D64525B252BB20BD9D45A70032E8B485E70BCF4597356F588D2ECF64</vt:lpwstr>
  </property>
  <property fmtid="{D5CDD505-2E9C-101B-9397-08002B2CF9AE}" pid="7" name="Order">
    <vt:r8>10900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