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332B3" w14:textId="77777777" w:rsidR="00EE6C16" w:rsidRDefault="00EE6C16" w:rsidP="00835885">
      <w:pPr>
        <w:pStyle w:val="Title"/>
        <w:rPr>
          <w:noProof/>
          <w:lang w:eastAsia="en-AU"/>
        </w:rPr>
      </w:pPr>
    </w:p>
    <w:p w14:paraId="66DC4AA9" w14:textId="77777777" w:rsidR="00C5054D" w:rsidRDefault="00EE6C16" w:rsidP="00C5054D">
      <w:pPr>
        <w:pStyle w:val="Title"/>
        <w:spacing w:before="0" w:after="0"/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D264E2F" wp14:editId="31923598">
            <wp:simplePos x="0" y="0"/>
            <wp:positionH relativeFrom="margin">
              <wp:posOffset>-771525</wp:posOffset>
            </wp:positionH>
            <wp:positionV relativeFrom="page">
              <wp:posOffset>3114675</wp:posOffset>
            </wp:positionV>
            <wp:extent cx="7271385" cy="7369680"/>
            <wp:effectExtent l="0" t="0" r="5715" b="3175"/>
            <wp:wrapNone/>
            <wp:docPr id="20" name="Picture 20" descr="Background graphic - decorative element only" title="Backgroun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rtmental_Word_update_slide_master_nologo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41"/>
                    <a:stretch/>
                  </pic:blipFill>
                  <pic:spPr bwMode="auto">
                    <a:xfrm>
                      <a:off x="0" y="0"/>
                      <a:ext cx="7272000" cy="7370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885" w:rsidRPr="00835885">
        <w:t xml:space="preserve">Offshore </w:t>
      </w:r>
      <w:r w:rsidR="00C5054D">
        <w:t>Petroleum</w:t>
      </w:r>
    </w:p>
    <w:p w14:paraId="2A6CDDB0" w14:textId="2C2912FB" w:rsidR="00835885" w:rsidRDefault="00835885" w:rsidP="00C5054D">
      <w:pPr>
        <w:pStyle w:val="Title"/>
        <w:spacing w:before="0" w:after="0"/>
      </w:pPr>
      <w:r w:rsidRPr="00835885">
        <w:t xml:space="preserve">Safety Review </w:t>
      </w:r>
    </w:p>
    <w:p w14:paraId="3EC9FC01" w14:textId="77777777" w:rsidR="00C5054D" w:rsidRDefault="00C5054D" w:rsidP="00C5054D">
      <w:pPr>
        <w:pStyle w:val="Title"/>
        <w:spacing w:before="0" w:after="0"/>
      </w:pPr>
    </w:p>
    <w:p w14:paraId="5894CB3A" w14:textId="0A97E0C2" w:rsidR="002F3CE7" w:rsidRDefault="00835885" w:rsidP="00C5054D">
      <w:pPr>
        <w:pStyle w:val="Title"/>
        <w:spacing w:before="0" w:after="0"/>
      </w:pPr>
      <w:r w:rsidRPr="00835885">
        <w:t>Consultation Plan</w:t>
      </w:r>
    </w:p>
    <w:p w14:paraId="10B854BF" w14:textId="77777777" w:rsidR="00C5054D" w:rsidRPr="00C5054D" w:rsidRDefault="00C5054D" w:rsidP="00C5054D"/>
    <w:p w14:paraId="5F456063" w14:textId="77777777" w:rsidR="00EE6C16" w:rsidRDefault="00835885" w:rsidP="00EE6C16">
      <w:pPr>
        <w:pStyle w:val="Subtitle"/>
      </w:pPr>
      <w:r>
        <w:t xml:space="preserve">Department of Industry, Innovation and Science </w:t>
      </w:r>
    </w:p>
    <w:p w14:paraId="08BEB1FC" w14:textId="77777777" w:rsidR="00835885" w:rsidRDefault="00835885" w:rsidP="00835885"/>
    <w:p w14:paraId="16BEC79F" w14:textId="77777777" w:rsidR="00835885" w:rsidRDefault="00835885" w:rsidP="00835885"/>
    <w:p w14:paraId="2FFCE5A5" w14:textId="77777777" w:rsidR="00835885" w:rsidRDefault="00835885" w:rsidP="00835885"/>
    <w:p w14:paraId="1402BE57" w14:textId="77777777" w:rsidR="00835885" w:rsidRDefault="00835885" w:rsidP="00835885"/>
    <w:p w14:paraId="484CC973" w14:textId="77777777" w:rsidR="00835885" w:rsidRDefault="00835885" w:rsidP="00835885"/>
    <w:p w14:paraId="44D9234F" w14:textId="77777777" w:rsidR="00835885" w:rsidRDefault="00835885" w:rsidP="00835885"/>
    <w:p w14:paraId="592C6211" w14:textId="46B3CC6B" w:rsidR="00835885" w:rsidRPr="00835885" w:rsidRDefault="00042291" w:rsidP="00835885">
      <w:r>
        <w:t xml:space="preserve">December 2018 </w:t>
      </w:r>
    </w:p>
    <w:p w14:paraId="16BB1440" w14:textId="77777777" w:rsidR="00EE6C16" w:rsidRPr="00835885" w:rsidRDefault="00835885">
      <w:pPr>
        <w:spacing w:before="0" w:after="160" w:line="259" w:lineRule="auto"/>
        <w:rPr>
          <w:rFonts w:eastAsiaTheme="majorEastAsia" w:cstheme="majorBidi"/>
          <w:color w:val="00283E"/>
          <w:sz w:val="20"/>
          <w:szCs w:val="20"/>
        </w:rPr>
      </w:pPr>
      <w:r w:rsidRPr="00835885">
        <w:rPr>
          <w:rStyle w:val="Hyperlink"/>
          <w:sz w:val="20"/>
          <w:szCs w:val="20"/>
        </w:rPr>
        <w:t xml:space="preserve">https://www.industry.gov.au/news-media/offshore-petroleum-safety-regime-review </w:t>
      </w:r>
      <w:r w:rsidR="00EE6C16" w:rsidRPr="00835885">
        <w:rPr>
          <w:sz w:val="20"/>
          <w:szCs w:val="20"/>
        </w:rPr>
        <w:br w:type="page"/>
      </w:r>
    </w:p>
    <w:bookmarkStart w:id="0" w:name="_Toc532215365" w:displacedByCustomXml="next"/>
    <w:bookmarkStart w:id="1" w:name="_Toc531621503" w:displacedByCustomXml="next"/>
    <w:bookmarkStart w:id="2" w:name="_Toc531880782" w:displacedByCustomXml="next"/>
    <w:sdt>
      <w:sdtPr>
        <w:rPr>
          <w:rFonts w:eastAsiaTheme="minorHAnsi" w:cstheme="minorBidi"/>
          <w:color w:val="auto"/>
          <w:sz w:val="22"/>
          <w:szCs w:val="22"/>
        </w:rPr>
        <w:id w:val="1576779045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  <w:noProof/>
        </w:rPr>
      </w:sdtEndPr>
      <w:sdtContent>
        <w:p w14:paraId="4B22F5CE" w14:textId="51740900" w:rsidR="00874401" w:rsidRPr="00874401" w:rsidRDefault="00EE6C16" w:rsidP="00874401">
          <w:pPr>
            <w:pStyle w:val="TOCHeading"/>
            <w:rPr>
              <w:noProof/>
            </w:rPr>
          </w:pPr>
          <w:r>
            <w:t>Contents</w:t>
          </w:r>
          <w:bookmarkEnd w:id="2"/>
          <w:bookmarkEnd w:id="1"/>
          <w:bookmarkEnd w:id="0"/>
          <w:r w:rsidRPr="00874401">
            <w:rPr>
              <w:rFonts w:asciiTheme="minorHAnsi" w:hAnsiTheme="minorHAnsi" w:cstheme="minorHAnsi"/>
            </w:rPr>
            <w:fldChar w:fldCharType="begin"/>
          </w:r>
          <w:r w:rsidRPr="00874401">
            <w:rPr>
              <w:rFonts w:asciiTheme="minorHAnsi" w:hAnsiTheme="minorHAnsi" w:cstheme="minorHAnsi"/>
            </w:rPr>
            <w:instrText xml:space="preserve"> TOC \o "1-3" \h \z \u </w:instrText>
          </w:r>
          <w:r w:rsidRPr="00874401">
            <w:rPr>
              <w:rFonts w:asciiTheme="minorHAnsi" w:hAnsiTheme="minorHAnsi" w:cstheme="minorHAnsi"/>
            </w:rPr>
            <w:fldChar w:fldCharType="separate"/>
          </w:r>
        </w:p>
        <w:p w14:paraId="173CCBBC" w14:textId="77777777" w:rsidR="00874401" w:rsidRPr="00874401" w:rsidRDefault="0039591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HAnsi"/>
              <w:noProof/>
              <w:lang w:eastAsia="en-AU"/>
            </w:rPr>
          </w:pPr>
          <w:hyperlink w:anchor="_Toc532215366" w:history="1">
            <w:r w:rsidR="00874401" w:rsidRPr="00874401">
              <w:rPr>
                <w:rStyle w:val="Hyperlink"/>
                <w:rFonts w:asciiTheme="minorHAnsi" w:hAnsiTheme="minorHAnsi" w:cstheme="minorHAnsi"/>
                <w:noProof/>
              </w:rPr>
              <w:t>Introduction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instrText xml:space="preserve"> PAGEREF _Toc532215366 \h </w:instrTex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260B45B" w14:textId="77777777" w:rsidR="00874401" w:rsidRPr="00874401" w:rsidRDefault="0039591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HAnsi"/>
              <w:noProof/>
              <w:lang w:eastAsia="en-AU"/>
            </w:rPr>
          </w:pPr>
          <w:hyperlink w:anchor="_Toc532215367" w:history="1">
            <w:r w:rsidR="00874401" w:rsidRPr="00874401">
              <w:rPr>
                <w:rStyle w:val="Hyperlink"/>
                <w:rFonts w:asciiTheme="minorHAnsi" w:hAnsiTheme="minorHAnsi" w:cstheme="minorHAnsi"/>
                <w:noProof/>
              </w:rPr>
              <w:t>What will be delivered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instrText xml:space="preserve"> PAGEREF _Toc532215367 \h </w:instrTex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2F3BE5C" w14:textId="77777777" w:rsidR="00874401" w:rsidRPr="00874401" w:rsidRDefault="0039591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HAnsi"/>
              <w:noProof/>
              <w:lang w:eastAsia="en-AU"/>
            </w:rPr>
          </w:pPr>
          <w:hyperlink w:anchor="_Toc532215368" w:history="1">
            <w:r w:rsidR="00874401" w:rsidRPr="00874401">
              <w:rPr>
                <w:rStyle w:val="Hyperlink"/>
                <w:rFonts w:asciiTheme="minorHAnsi" w:hAnsiTheme="minorHAnsi" w:cstheme="minorHAnsi"/>
                <w:noProof/>
              </w:rPr>
              <w:t>Consultation Plan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instrText xml:space="preserve"> PAGEREF _Toc532215368 \h </w:instrTex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BDA84D8" w14:textId="77777777" w:rsidR="00874401" w:rsidRPr="00874401" w:rsidRDefault="0039591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HAnsi"/>
              <w:noProof/>
              <w:lang w:eastAsia="en-AU"/>
            </w:rPr>
          </w:pPr>
          <w:hyperlink w:anchor="_Toc532215369" w:history="1">
            <w:r w:rsidR="00874401" w:rsidRPr="00874401">
              <w:rPr>
                <w:rStyle w:val="Hyperlink"/>
                <w:rFonts w:asciiTheme="minorHAnsi" w:hAnsiTheme="minorHAnsi" w:cstheme="minorHAnsi"/>
                <w:noProof/>
              </w:rPr>
              <w:t>Offshore Safety Review Workshops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instrText xml:space="preserve"> PAGEREF _Toc532215369 \h </w:instrTex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273FDE" w14:textId="77777777" w:rsidR="00874401" w:rsidRPr="00874401" w:rsidRDefault="0039591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HAnsi"/>
              <w:noProof/>
              <w:lang w:eastAsia="en-AU"/>
            </w:rPr>
          </w:pPr>
          <w:hyperlink w:anchor="_Toc532215370" w:history="1">
            <w:r w:rsidR="00874401" w:rsidRPr="00874401">
              <w:rPr>
                <w:rStyle w:val="Hyperlink"/>
                <w:rFonts w:asciiTheme="minorHAnsi" w:hAnsiTheme="minorHAnsi" w:cstheme="minorHAnsi"/>
                <w:noProof/>
              </w:rPr>
              <w:t>Safety Stakeholder Group (SSG)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instrText xml:space="preserve"> PAGEREF _Toc532215370 \h </w:instrTex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C9E29E" w14:textId="77777777" w:rsidR="00874401" w:rsidRPr="00874401" w:rsidRDefault="0039591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HAnsi"/>
              <w:noProof/>
              <w:lang w:eastAsia="en-AU"/>
            </w:rPr>
          </w:pPr>
          <w:hyperlink w:anchor="_Toc532215371" w:history="1">
            <w:r w:rsidR="00874401" w:rsidRPr="00874401">
              <w:rPr>
                <w:rStyle w:val="Hyperlink"/>
                <w:rFonts w:asciiTheme="minorHAnsi" w:hAnsiTheme="minorHAnsi" w:cstheme="minorHAnsi"/>
                <w:noProof/>
              </w:rPr>
              <w:t>Targeted Meetings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instrText xml:space="preserve"> PAGEREF _Toc532215371 \h </w:instrTex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079F5C" w14:textId="77777777" w:rsidR="00874401" w:rsidRPr="00874401" w:rsidRDefault="0039591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HAnsi"/>
              <w:noProof/>
              <w:lang w:eastAsia="en-AU"/>
            </w:rPr>
          </w:pPr>
          <w:hyperlink w:anchor="_Toc532215372" w:history="1">
            <w:r w:rsidR="00874401" w:rsidRPr="00874401">
              <w:rPr>
                <w:rStyle w:val="Hyperlink"/>
                <w:rFonts w:asciiTheme="minorHAnsi" w:hAnsiTheme="minorHAnsi" w:cstheme="minorHAnsi"/>
                <w:noProof/>
              </w:rPr>
              <w:t>Online surveys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instrText xml:space="preserve"> PAGEREF _Toc532215372 \h </w:instrTex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4799611" w14:textId="77777777" w:rsidR="00874401" w:rsidRPr="00874401" w:rsidRDefault="0039591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HAnsi"/>
              <w:noProof/>
              <w:lang w:eastAsia="en-AU"/>
            </w:rPr>
          </w:pPr>
          <w:hyperlink w:anchor="_Toc532215373" w:history="1">
            <w:r w:rsidR="00874401" w:rsidRPr="00874401">
              <w:rPr>
                <w:rStyle w:val="Hyperlink"/>
                <w:rFonts w:asciiTheme="minorHAnsi" w:hAnsiTheme="minorHAnsi" w:cstheme="minorHAnsi"/>
                <w:noProof/>
              </w:rPr>
              <w:t>Public Consultation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instrText xml:space="preserve"> PAGEREF _Toc532215373 \h </w:instrTex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7ED794" w14:textId="77777777" w:rsidR="00874401" w:rsidRPr="00874401" w:rsidRDefault="0039591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HAnsi"/>
              <w:noProof/>
              <w:lang w:eastAsia="en-AU"/>
            </w:rPr>
          </w:pPr>
          <w:hyperlink w:anchor="_Toc532215374" w:history="1">
            <w:r w:rsidR="00874401" w:rsidRPr="00874401">
              <w:rPr>
                <w:rStyle w:val="Hyperlink"/>
                <w:rFonts w:asciiTheme="minorHAnsi" w:hAnsiTheme="minorHAnsi" w:cstheme="minorHAnsi"/>
                <w:noProof/>
              </w:rPr>
              <w:t>How to stay updated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instrText xml:space="preserve"> PAGEREF _Toc532215374 \h </w:instrTex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874401" w:rsidRPr="008744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6D5EFE" w14:textId="77777777" w:rsidR="00EE6C16" w:rsidRPr="00874401" w:rsidRDefault="00EE6C16">
          <w:pPr>
            <w:rPr>
              <w:rFonts w:asciiTheme="minorHAnsi" w:hAnsiTheme="minorHAnsi" w:cstheme="minorHAnsi"/>
            </w:rPr>
          </w:pPr>
          <w:r w:rsidRPr="00874401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66E1F822" w14:textId="186F00D3" w:rsidR="00754A7D" w:rsidRDefault="00754A7D" w:rsidP="00754A7D">
      <w:pPr>
        <w:tabs>
          <w:tab w:val="center" w:pos="4513"/>
        </w:tabs>
        <w:spacing w:before="0" w:after="160" w:line="259" w:lineRule="auto"/>
      </w:pPr>
      <w:r>
        <w:tab/>
      </w:r>
    </w:p>
    <w:p w14:paraId="289C1E97" w14:textId="77777777" w:rsidR="00EE6C16" w:rsidRDefault="00EE6C16" w:rsidP="00754A7D">
      <w:pPr>
        <w:tabs>
          <w:tab w:val="center" w:pos="4513"/>
        </w:tabs>
        <w:spacing w:before="0" w:after="160" w:line="259" w:lineRule="auto"/>
        <w:rPr>
          <w:rFonts w:eastAsiaTheme="majorEastAsia" w:cstheme="majorBidi"/>
          <w:color w:val="00283E"/>
          <w:sz w:val="52"/>
          <w:szCs w:val="32"/>
        </w:rPr>
      </w:pPr>
      <w:r w:rsidRPr="00754A7D">
        <w:br w:type="page"/>
      </w:r>
      <w:r w:rsidR="00754A7D">
        <w:lastRenderedPageBreak/>
        <w:tab/>
      </w:r>
    </w:p>
    <w:p w14:paraId="05F92398" w14:textId="00C522EF" w:rsidR="007240FE" w:rsidRPr="00735ADA" w:rsidRDefault="003C5A32" w:rsidP="00C47E2E">
      <w:pPr>
        <w:pStyle w:val="Heading2"/>
        <w:spacing w:before="240" w:after="240" w:line="240" w:lineRule="auto"/>
      </w:pPr>
      <w:bookmarkStart w:id="3" w:name="_Toc531880783"/>
      <w:bookmarkStart w:id="4" w:name="_Toc532215366"/>
      <w:r w:rsidRPr="00735ADA">
        <w:t>Introduction</w:t>
      </w:r>
      <w:bookmarkEnd w:id="3"/>
      <w:bookmarkEnd w:id="4"/>
    </w:p>
    <w:p w14:paraId="2C1EE9F9" w14:textId="7D9DA485" w:rsidR="00F87A40" w:rsidRDefault="00835885" w:rsidP="00C47E2E">
      <w:pPr>
        <w:spacing w:line="240" w:lineRule="auto"/>
        <w:rPr>
          <w:rFonts w:asciiTheme="minorHAnsi" w:hAnsiTheme="minorHAnsi" w:cstheme="minorHAnsi"/>
        </w:rPr>
      </w:pPr>
      <w:r w:rsidRPr="009602AD">
        <w:rPr>
          <w:rFonts w:asciiTheme="minorHAnsi" w:hAnsiTheme="minorHAnsi" w:cstheme="minorHAnsi"/>
        </w:rPr>
        <w:t xml:space="preserve">The Department of Industry, Innovation and Science has commenced a review of the occupational health and safety (OHS) regime for offshore petroleum workers in Australian waters. </w:t>
      </w:r>
    </w:p>
    <w:p w14:paraId="0FD7520F" w14:textId="182A0A70" w:rsidR="003718EC" w:rsidRDefault="00A85CF3" w:rsidP="00C47E2E">
      <w:pPr>
        <w:spacing w:line="240" w:lineRule="auto"/>
        <w:rPr>
          <w:rFonts w:asciiTheme="minorHAnsi" w:hAnsiTheme="minorHAnsi" w:cstheme="minorHAnsi"/>
        </w:rPr>
      </w:pPr>
      <w:r w:rsidRPr="009602AD">
        <w:rPr>
          <w:rFonts w:asciiTheme="minorHAnsi" w:hAnsiTheme="minorHAnsi" w:cstheme="minorHAnsi"/>
        </w:rPr>
        <w:t>This review will ensure that the regime provides an effec</w:t>
      </w:r>
      <w:r w:rsidR="00A300E3">
        <w:rPr>
          <w:rFonts w:asciiTheme="minorHAnsi" w:hAnsiTheme="minorHAnsi" w:cstheme="minorHAnsi"/>
        </w:rPr>
        <w:t>tive framework for securing the</w:t>
      </w:r>
      <w:r w:rsidRPr="009602AD">
        <w:rPr>
          <w:rFonts w:asciiTheme="minorHAnsi" w:hAnsiTheme="minorHAnsi" w:cstheme="minorHAnsi"/>
        </w:rPr>
        <w:t xml:space="preserve"> health and safety of persons engaged in offshore petroleum operations, and represents leading practice that promotes and delivers safe activities. </w:t>
      </w:r>
      <w:r w:rsidR="00D0407F">
        <w:rPr>
          <w:rFonts w:asciiTheme="minorHAnsi" w:hAnsiTheme="minorHAnsi" w:cstheme="minorHAnsi"/>
        </w:rPr>
        <w:t>In line with good policy development, t</w:t>
      </w:r>
      <w:r w:rsidR="002C7A34">
        <w:rPr>
          <w:rFonts w:asciiTheme="minorHAnsi" w:hAnsiTheme="minorHAnsi" w:cstheme="minorHAnsi"/>
        </w:rPr>
        <w:t>he rev</w:t>
      </w:r>
      <w:r w:rsidR="00D0407F">
        <w:rPr>
          <w:rFonts w:asciiTheme="minorHAnsi" w:hAnsiTheme="minorHAnsi" w:cstheme="minorHAnsi"/>
        </w:rPr>
        <w:t>iew will be driven by an analysis of available options, be evidence-based and engage with all affected stakeholders.</w:t>
      </w:r>
      <w:r w:rsidR="002C7A34">
        <w:rPr>
          <w:rFonts w:asciiTheme="minorHAnsi" w:hAnsiTheme="minorHAnsi" w:cstheme="minorHAnsi"/>
        </w:rPr>
        <w:t xml:space="preserve"> </w:t>
      </w:r>
    </w:p>
    <w:p w14:paraId="683EBA5C" w14:textId="1E458FB3" w:rsidR="00FB728A" w:rsidRDefault="00835885" w:rsidP="00C47E2E">
      <w:pPr>
        <w:spacing w:line="240" w:lineRule="auto"/>
        <w:rPr>
          <w:rFonts w:asciiTheme="minorHAnsi" w:hAnsiTheme="minorHAnsi" w:cstheme="minorHAnsi"/>
        </w:rPr>
      </w:pPr>
      <w:r w:rsidRPr="009602AD">
        <w:rPr>
          <w:rFonts w:asciiTheme="minorHAnsi" w:hAnsiTheme="minorHAnsi" w:cstheme="minorHAnsi"/>
        </w:rPr>
        <w:t xml:space="preserve">The department is committed to ensuring that everyone involved in or affected by the offshore safety regime </w:t>
      </w:r>
      <w:r w:rsidR="00C5054D">
        <w:rPr>
          <w:rFonts w:asciiTheme="minorHAnsi" w:hAnsiTheme="minorHAnsi" w:cstheme="minorHAnsi"/>
        </w:rPr>
        <w:t>has an</w:t>
      </w:r>
      <w:r w:rsidRPr="009602AD">
        <w:rPr>
          <w:rFonts w:asciiTheme="minorHAnsi" w:hAnsiTheme="minorHAnsi" w:cstheme="minorHAnsi"/>
        </w:rPr>
        <w:t xml:space="preserve"> opportunity to participate in the Offshore</w:t>
      </w:r>
      <w:r w:rsidR="00C5054D">
        <w:rPr>
          <w:rFonts w:asciiTheme="minorHAnsi" w:hAnsiTheme="minorHAnsi" w:cstheme="minorHAnsi"/>
        </w:rPr>
        <w:t xml:space="preserve"> Petroleum</w:t>
      </w:r>
      <w:r w:rsidRPr="009602AD">
        <w:rPr>
          <w:rFonts w:asciiTheme="minorHAnsi" w:hAnsiTheme="minorHAnsi" w:cstheme="minorHAnsi"/>
        </w:rPr>
        <w:t xml:space="preserve"> Safety Review</w:t>
      </w:r>
      <w:r w:rsidR="00F87A40">
        <w:rPr>
          <w:rFonts w:asciiTheme="minorHAnsi" w:hAnsiTheme="minorHAnsi" w:cstheme="minorHAnsi"/>
        </w:rPr>
        <w:t>.</w:t>
      </w:r>
      <w:r w:rsidR="00720E73">
        <w:rPr>
          <w:rFonts w:asciiTheme="minorHAnsi" w:hAnsiTheme="minorHAnsi" w:cstheme="minorHAnsi"/>
        </w:rPr>
        <w:t xml:space="preserve"> </w:t>
      </w:r>
    </w:p>
    <w:p w14:paraId="559D299C" w14:textId="4E40695F" w:rsidR="00BC5873" w:rsidRDefault="00F21A3D" w:rsidP="00C47E2E">
      <w:pPr>
        <w:pStyle w:val="Heading2"/>
        <w:spacing w:before="240" w:after="240" w:line="240" w:lineRule="auto"/>
      </w:pPr>
      <w:bookmarkStart w:id="5" w:name="_Toc531880784"/>
      <w:bookmarkStart w:id="6" w:name="_Toc532215367"/>
      <w:r>
        <w:t>What will be delivered</w:t>
      </w:r>
      <w:bookmarkEnd w:id="5"/>
      <w:bookmarkEnd w:id="6"/>
    </w:p>
    <w:p w14:paraId="642C4B6B" w14:textId="6420785D" w:rsidR="003718EC" w:rsidRDefault="003718EC" w:rsidP="00C47E2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part of the review process, a Discussion Paper and a P</w:t>
      </w:r>
      <w:r w:rsidR="00F24218">
        <w:rPr>
          <w:rFonts w:asciiTheme="minorHAnsi" w:hAnsiTheme="minorHAnsi" w:cstheme="minorHAnsi"/>
        </w:rPr>
        <w:t>olicy Framework will be published</w:t>
      </w:r>
      <w:r>
        <w:rPr>
          <w:rFonts w:asciiTheme="minorHAnsi" w:hAnsiTheme="minorHAnsi" w:cstheme="minorHAnsi"/>
        </w:rPr>
        <w:t xml:space="preserve"> by the department for public consultation. </w:t>
      </w:r>
    </w:p>
    <w:p w14:paraId="0900F295" w14:textId="50710B4A" w:rsidR="00C43BD9" w:rsidRDefault="00163F85" w:rsidP="00C47E2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3718EC">
        <w:rPr>
          <w:rFonts w:asciiTheme="minorHAnsi" w:hAnsiTheme="minorHAnsi" w:cstheme="minorHAnsi"/>
        </w:rPr>
        <w:t xml:space="preserve">Discussion Paper </w:t>
      </w:r>
      <w:r w:rsidR="00C5054D">
        <w:rPr>
          <w:rFonts w:asciiTheme="minorHAnsi" w:hAnsiTheme="minorHAnsi" w:cstheme="minorHAnsi"/>
        </w:rPr>
        <w:t xml:space="preserve">provides an overview of the current state of play, </w:t>
      </w:r>
      <w:r w:rsidR="00F24218">
        <w:rPr>
          <w:rFonts w:asciiTheme="minorHAnsi" w:hAnsiTheme="minorHAnsi" w:cstheme="minorHAnsi"/>
        </w:rPr>
        <w:t>identif</w:t>
      </w:r>
      <w:r w:rsidR="00AA1AF0">
        <w:rPr>
          <w:rFonts w:asciiTheme="minorHAnsi" w:hAnsiTheme="minorHAnsi" w:cstheme="minorHAnsi"/>
        </w:rPr>
        <w:t>ies</w:t>
      </w:r>
      <w:r w:rsidR="00F24218">
        <w:rPr>
          <w:rFonts w:asciiTheme="minorHAnsi" w:hAnsiTheme="minorHAnsi" w:cstheme="minorHAnsi"/>
        </w:rPr>
        <w:t xml:space="preserve"> known key issues and </w:t>
      </w:r>
      <w:r w:rsidR="00631E3E">
        <w:rPr>
          <w:rFonts w:asciiTheme="minorHAnsi" w:hAnsiTheme="minorHAnsi" w:cstheme="minorHAnsi"/>
        </w:rPr>
        <w:t>challenges</w:t>
      </w:r>
      <w:r w:rsidR="00F24218">
        <w:rPr>
          <w:rFonts w:asciiTheme="minorHAnsi" w:hAnsiTheme="minorHAnsi" w:cstheme="minorHAnsi"/>
        </w:rPr>
        <w:t xml:space="preserve">, </w:t>
      </w:r>
      <w:r w:rsidR="00631E3E">
        <w:rPr>
          <w:rFonts w:asciiTheme="minorHAnsi" w:hAnsiTheme="minorHAnsi" w:cstheme="minorHAnsi"/>
        </w:rPr>
        <w:t>and invites stakeholders to consider their experience and provide views supported by evidence where possible</w:t>
      </w:r>
      <w:r w:rsidR="00F24218">
        <w:rPr>
          <w:rFonts w:asciiTheme="minorHAnsi" w:hAnsiTheme="minorHAnsi" w:cstheme="minorHAnsi"/>
        </w:rPr>
        <w:t>.  A Discussion Pap</w:t>
      </w:r>
      <w:r w:rsidR="00C43BD9">
        <w:rPr>
          <w:rFonts w:asciiTheme="minorHAnsi" w:hAnsiTheme="minorHAnsi" w:cstheme="minorHAnsi"/>
        </w:rPr>
        <w:t xml:space="preserve">er does not propose </w:t>
      </w:r>
      <w:r w:rsidR="00F24218">
        <w:rPr>
          <w:rFonts w:asciiTheme="minorHAnsi" w:hAnsiTheme="minorHAnsi" w:cstheme="minorHAnsi"/>
        </w:rPr>
        <w:t>solutions</w:t>
      </w:r>
      <w:r w:rsidR="00631E3E">
        <w:rPr>
          <w:rFonts w:asciiTheme="minorHAnsi" w:hAnsiTheme="minorHAnsi" w:cstheme="minorHAnsi"/>
        </w:rPr>
        <w:t xml:space="preserve"> or </w:t>
      </w:r>
      <w:r w:rsidR="007C3E06">
        <w:rPr>
          <w:rFonts w:asciiTheme="minorHAnsi" w:hAnsiTheme="minorHAnsi" w:cstheme="minorHAnsi"/>
        </w:rPr>
        <w:t>options</w:t>
      </w:r>
      <w:r w:rsidR="00631E3E">
        <w:rPr>
          <w:rFonts w:asciiTheme="minorHAnsi" w:hAnsiTheme="minorHAnsi" w:cstheme="minorHAnsi"/>
        </w:rPr>
        <w:t>. I</w:t>
      </w:r>
      <w:r w:rsidR="00F24218">
        <w:rPr>
          <w:rFonts w:asciiTheme="minorHAnsi" w:hAnsiTheme="minorHAnsi" w:cstheme="minorHAnsi"/>
        </w:rPr>
        <w:t>nstead</w:t>
      </w:r>
      <w:r w:rsidR="00631E3E">
        <w:rPr>
          <w:rFonts w:asciiTheme="minorHAnsi" w:hAnsiTheme="minorHAnsi" w:cstheme="minorHAnsi"/>
        </w:rPr>
        <w:t>,</w:t>
      </w:r>
      <w:r w:rsidR="00F24218">
        <w:rPr>
          <w:rFonts w:asciiTheme="minorHAnsi" w:hAnsiTheme="minorHAnsi" w:cstheme="minorHAnsi"/>
        </w:rPr>
        <w:t xml:space="preserve"> </w:t>
      </w:r>
      <w:r w:rsidR="00C43BD9">
        <w:rPr>
          <w:rFonts w:asciiTheme="minorHAnsi" w:hAnsiTheme="minorHAnsi" w:cstheme="minorHAnsi"/>
        </w:rPr>
        <w:t>views</w:t>
      </w:r>
      <w:r w:rsidR="00631E3E">
        <w:rPr>
          <w:rFonts w:asciiTheme="minorHAnsi" w:hAnsiTheme="minorHAnsi" w:cstheme="minorHAnsi"/>
        </w:rPr>
        <w:t xml:space="preserve"> and evidence provided by </w:t>
      </w:r>
      <w:r w:rsidR="00C43BD9">
        <w:rPr>
          <w:rFonts w:asciiTheme="minorHAnsi" w:hAnsiTheme="minorHAnsi" w:cstheme="minorHAnsi"/>
        </w:rPr>
        <w:t xml:space="preserve">stakeholders </w:t>
      </w:r>
      <w:r w:rsidR="00631E3E">
        <w:rPr>
          <w:rFonts w:asciiTheme="minorHAnsi" w:hAnsiTheme="minorHAnsi" w:cstheme="minorHAnsi"/>
        </w:rPr>
        <w:t>inform the development of options for areas of improvement that feed into the</w:t>
      </w:r>
      <w:r w:rsidR="00C43BD9">
        <w:rPr>
          <w:rFonts w:asciiTheme="minorHAnsi" w:hAnsiTheme="minorHAnsi" w:cstheme="minorHAnsi"/>
        </w:rPr>
        <w:t xml:space="preserve"> Policy Framework. </w:t>
      </w:r>
    </w:p>
    <w:p w14:paraId="78E89E4D" w14:textId="1BCAF80B" w:rsidR="00DE074F" w:rsidRDefault="00C43BD9" w:rsidP="00C47E2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Policy Framework </w:t>
      </w:r>
      <w:r w:rsidR="00631E3E">
        <w:rPr>
          <w:rFonts w:asciiTheme="minorHAnsi" w:hAnsiTheme="minorHAnsi" w:cstheme="minorHAnsi"/>
        </w:rPr>
        <w:t>outlines the proposed policy position</w:t>
      </w:r>
      <w:r w:rsidR="00735ADA">
        <w:rPr>
          <w:rFonts w:asciiTheme="minorHAnsi" w:hAnsiTheme="minorHAnsi" w:cstheme="minorHAnsi"/>
        </w:rPr>
        <w:t xml:space="preserve"> of the Government</w:t>
      </w:r>
      <w:r w:rsidR="00631E3E">
        <w:rPr>
          <w:rFonts w:asciiTheme="minorHAnsi" w:hAnsiTheme="minorHAnsi" w:cstheme="minorHAnsi"/>
        </w:rPr>
        <w:t xml:space="preserve"> and identifies areas for improvement, where relevant</w:t>
      </w:r>
      <w:r w:rsidR="001C5437">
        <w:rPr>
          <w:rFonts w:asciiTheme="minorHAnsi" w:hAnsiTheme="minorHAnsi" w:cstheme="minorHAnsi"/>
        </w:rPr>
        <w:t xml:space="preserve">. </w:t>
      </w:r>
      <w:r w:rsidR="00735ADA">
        <w:rPr>
          <w:rFonts w:asciiTheme="minorHAnsi" w:hAnsiTheme="minorHAnsi" w:cstheme="minorHAnsi"/>
        </w:rPr>
        <w:t xml:space="preserve">The Policy Framework describes the policy intent of these areas for improvement and how they might be addressed through regulatory amendment if appropriate. </w:t>
      </w:r>
      <w:r>
        <w:rPr>
          <w:rFonts w:asciiTheme="minorHAnsi" w:hAnsiTheme="minorHAnsi" w:cstheme="minorHAnsi"/>
        </w:rPr>
        <w:t xml:space="preserve">The document is </w:t>
      </w:r>
      <w:r w:rsidR="00735ADA">
        <w:rPr>
          <w:rFonts w:asciiTheme="minorHAnsi" w:hAnsiTheme="minorHAnsi" w:cstheme="minorHAnsi"/>
        </w:rPr>
        <w:t>prepared</w:t>
      </w:r>
      <w:r>
        <w:rPr>
          <w:rFonts w:asciiTheme="minorHAnsi" w:hAnsiTheme="minorHAnsi" w:cstheme="minorHAnsi"/>
        </w:rPr>
        <w:t xml:space="preserve"> after c</w:t>
      </w:r>
      <w:r w:rsidR="00735ADA">
        <w:rPr>
          <w:rFonts w:asciiTheme="minorHAnsi" w:hAnsiTheme="minorHAnsi" w:cstheme="minorHAnsi"/>
        </w:rPr>
        <w:t>onsideration of</w:t>
      </w:r>
      <w:r>
        <w:rPr>
          <w:rFonts w:asciiTheme="minorHAnsi" w:hAnsiTheme="minorHAnsi" w:cstheme="minorHAnsi"/>
        </w:rPr>
        <w:t xml:space="preserve"> a variety of information sources, including submissions on the Discussion Paper and </w:t>
      </w:r>
      <w:r w:rsidR="00735ADA">
        <w:rPr>
          <w:rFonts w:asciiTheme="minorHAnsi" w:hAnsiTheme="minorHAnsi" w:cstheme="minorHAnsi"/>
        </w:rPr>
        <w:t xml:space="preserve">feedback from </w:t>
      </w:r>
      <w:r w:rsidR="001C5437">
        <w:rPr>
          <w:rFonts w:asciiTheme="minorHAnsi" w:hAnsiTheme="minorHAnsi" w:cstheme="minorHAnsi"/>
        </w:rPr>
        <w:t xml:space="preserve">stakeholder </w:t>
      </w:r>
      <w:r>
        <w:rPr>
          <w:rFonts w:asciiTheme="minorHAnsi" w:hAnsiTheme="minorHAnsi" w:cstheme="minorHAnsi"/>
        </w:rPr>
        <w:t>meetings</w:t>
      </w:r>
      <w:r w:rsidR="00735ADA">
        <w:rPr>
          <w:rFonts w:asciiTheme="minorHAnsi" w:hAnsiTheme="minorHAnsi" w:cstheme="minorHAnsi"/>
        </w:rPr>
        <w:t>, and evidence-based data and analysis</w:t>
      </w:r>
      <w:r>
        <w:rPr>
          <w:rFonts w:asciiTheme="minorHAnsi" w:hAnsiTheme="minorHAnsi" w:cstheme="minorHAnsi"/>
        </w:rPr>
        <w:t>.</w:t>
      </w:r>
      <w:r w:rsidR="00F24218">
        <w:rPr>
          <w:rFonts w:asciiTheme="minorHAnsi" w:hAnsiTheme="minorHAnsi" w:cstheme="minorHAnsi"/>
        </w:rPr>
        <w:t xml:space="preserve">  </w:t>
      </w:r>
      <w:r w:rsidR="003718EC">
        <w:rPr>
          <w:rFonts w:asciiTheme="minorHAnsi" w:hAnsiTheme="minorHAnsi" w:cstheme="minorHAnsi"/>
        </w:rPr>
        <w:t xml:space="preserve">  </w:t>
      </w:r>
    </w:p>
    <w:p w14:paraId="3E435511" w14:textId="141A0D5D" w:rsidR="00DE074F" w:rsidRPr="00735ADA" w:rsidRDefault="00DE074F" w:rsidP="00C47E2E">
      <w:pPr>
        <w:spacing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A</w:t>
      </w:r>
      <w:r w:rsidRPr="004E39B0">
        <w:rPr>
          <w:rFonts w:asciiTheme="minorHAnsi" w:hAnsiTheme="minorHAnsi" w:cstheme="minorHAnsi"/>
        </w:rPr>
        <w:t xml:space="preserve">fter analysing public comments and </w:t>
      </w:r>
      <w:r>
        <w:rPr>
          <w:rFonts w:asciiTheme="minorHAnsi" w:hAnsiTheme="minorHAnsi" w:cstheme="minorHAnsi"/>
        </w:rPr>
        <w:t>finalising</w:t>
      </w:r>
      <w:r w:rsidRPr="004E39B0">
        <w:rPr>
          <w:rFonts w:asciiTheme="minorHAnsi" w:hAnsiTheme="minorHAnsi" w:cstheme="minorHAnsi"/>
        </w:rPr>
        <w:t xml:space="preserve"> the Policy Framework, Ministerial policy approval</w:t>
      </w:r>
      <w:r w:rsidR="00735ADA">
        <w:rPr>
          <w:rFonts w:asciiTheme="minorHAnsi" w:hAnsiTheme="minorHAnsi" w:cstheme="minorHAnsi"/>
        </w:rPr>
        <w:t xml:space="preserve"> will be sought</w:t>
      </w:r>
      <w:r w:rsidRPr="004E39B0">
        <w:rPr>
          <w:rFonts w:asciiTheme="minorHAnsi" w:hAnsiTheme="minorHAnsi" w:cstheme="minorHAnsi"/>
        </w:rPr>
        <w:t xml:space="preserve">. </w:t>
      </w:r>
      <w:r w:rsidRPr="003C6410">
        <w:rPr>
          <w:rFonts w:asciiTheme="minorHAnsi" w:hAnsiTheme="minorHAnsi" w:cstheme="minorHAnsi"/>
        </w:rPr>
        <w:t>Once</w:t>
      </w:r>
      <w:r>
        <w:rPr>
          <w:rFonts w:asciiTheme="minorHAnsi" w:hAnsiTheme="minorHAnsi" w:cstheme="minorHAnsi"/>
        </w:rPr>
        <w:t xml:space="preserve"> this</w:t>
      </w:r>
      <w:r w:rsidRPr="003C6410">
        <w:rPr>
          <w:rFonts w:asciiTheme="minorHAnsi" w:hAnsiTheme="minorHAnsi" w:cstheme="minorHAnsi"/>
        </w:rPr>
        <w:t xml:space="preserve"> is granted, government processes will be undertaken by the department </w:t>
      </w:r>
      <w:r>
        <w:rPr>
          <w:rFonts w:asciiTheme="minorHAnsi" w:hAnsiTheme="minorHAnsi" w:cstheme="minorHAnsi"/>
        </w:rPr>
        <w:t>to ensure the policy is</w:t>
      </w:r>
      <w:r w:rsidRPr="003C6410">
        <w:rPr>
          <w:rFonts w:asciiTheme="minorHAnsi" w:hAnsiTheme="minorHAnsi" w:cstheme="minorHAnsi"/>
        </w:rPr>
        <w:t xml:space="preserve"> </w:t>
      </w:r>
      <w:r w:rsidR="00735ADA">
        <w:rPr>
          <w:rFonts w:asciiTheme="minorHAnsi" w:hAnsiTheme="minorHAnsi" w:cstheme="minorHAnsi"/>
        </w:rPr>
        <w:t>reflected</w:t>
      </w:r>
      <w:r>
        <w:rPr>
          <w:rFonts w:asciiTheme="minorHAnsi" w:hAnsiTheme="minorHAnsi" w:cstheme="minorHAnsi"/>
        </w:rPr>
        <w:t xml:space="preserve"> and enacted </w:t>
      </w:r>
      <w:r w:rsidRPr="003C6410">
        <w:rPr>
          <w:rFonts w:asciiTheme="minorHAnsi" w:hAnsiTheme="minorHAnsi" w:cstheme="minorHAnsi"/>
        </w:rPr>
        <w:t>in legislation</w:t>
      </w:r>
      <w:r w:rsidR="00C66474">
        <w:rPr>
          <w:rFonts w:asciiTheme="minorHAnsi" w:hAnsiTheme="minorHAnsi" w:cstheme="minorHAnsi"/>
        </w:rPr>
        <w:t xml:space="preserve"> and regulations</w:t>
      </w:r>
      <w:r w:rsidRPr="003C6410">
        <w:rPr>
          <w:rFonts w:asciiTheme="minorHAnsi" w:hAnsiTheme="minorHAnsi" w:cstheme="minorHAnsi"/>
        </w:rPr>
        <w:t>.</w:t>
      </w:r>
      <w:r w:rsidRPr="00E7027D">
        <w:rPr>
          <w:rFonts w:asciiTheme="minorHAnsi" w:hAnsiTheme="minorHAnsi" w:cstheme="minorHAnsi"/>
          <w:i/>
        </w:rPr>
        <w:t xml:space="preserve">   </w:t>
      </w:r>
    </w:p>
    <w:p w14:paraId="195A6E03" w14:textId="7BC65D33" w:rsidR="00392429" w:rsidRDefault="00392429" w:rsidP="00C47E2E">
      <w:pPr>
        <w:pStyle w:val="Heading2"/>
        <w:spacing w:before="240" w:after="240" w:line="240" w:lineRule="auto"/>
      </w:pPr>
      <w:bookmarkStart w:id="7" w:name="_Toc531880785"/>
      <w:bookmarkStart w:id="8" w:name="_Toc532215368"/>
      <w:r>
        <w:t xml:space="preserve">Consultation </w:t>
      </w:r>
      <w:r w:rsidR="003C5A32">
        <w:t>Plan</w:t>
      </w:r>
      <w:bookmarkEnd w:id="7"/>
      <w:bookmarkEnd w:id="8"/>
    </w:p>
    <w:p w14:paraId="25FA02CF" w14:textId="724E9CDC" w:rsidR="00CE7760" w:rsidRDefault="00AA1AF0" w:rsidP="00C47E2E">
      <w:pPr>
        <w:spacing w:line="240" w:lineRule="auto"/>
        <w:rPr>
          <w:rFonts w:asciiTheme="minorHAnsi" w:hAnsiTheme="minorHAnsi" w:cstheme="minorHAnsi"/>
        </w:rPr>
        <w:sectPr w:rsidR="00CE7760" w:rsidSect="007240F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>This</w:t>
      </w:r>
      <w:r w:rsidRPr="001C5437">
        <w:rPr>
          <w:rFonts w:asciiTheme="minorHAnsi" w:hAnsiTheme="minorHAnsi" w:cstheme="minorHAnsi"/>
        </w:rPr>
        <w:t xml:space="preserve"> </w:t>
      </w:r>
      <w:r w:rsidR="001C5437" w:rsidRPr="001C5437">
        <w:rPr>
          <w:rFonts w:asciiTheme="minorHAnsi" w:hAnsiTheme="minorHAnsi" w:cstheme="minorHAnsi"/>
        </w:rPr>
        <w:t>Consultation Plan</w:t>
      </w:r>
      <w:r w:rsidR="001C5437">
        <w:rPr>
          <w:rFonts w:asciiTheme="minorHAnsi" w:hAnsiTheme="minorHAnsi" w:cstheme="minorHAnsi"/>
        </w:rPr>
        <w:t xml:space="preserve"> outline</w:t>
      </w:r>
      <w:r>
        <w:rPr>
          <w:rFonts w:asciiTheme="minorHAnsi" w:hAnsiTheme="minorHAnsi" w:cstheme="minorHAnsi"/>
        </w:rPr>
        <w:t>s</w:t>
      </w:r>
      <w:r w:rsidR="001C5437">
        <w:rPr>
          <w:rFonts w:asciiTheme="minorHAnsi" w:hAnsiTheme="minorHAnsi" w:cstheme="minorHAnsi"/>
        </w:rPr>
        <w:t xml:space="preserve"> </w:t>
      </w:r>
      <w:r w:rsidR="001C5437" w:rsidRPr="001C5437">
        <w:rPr>
          <w:rFonts w:asciiTheme="minorHAnsi" w:hAnsiTheme="minorHAnsi" w:cstheme="minorHAnsi"/>
        </w:rPr>
        <w:t xml:space="preserve">how the department will consult with stakeholders </w:t>
      </w:r>
      <w:r w:rsidR="001C5437">
        <w:rPr>
          <w:rFonts w:asciiTheme="minorHAnsi" w:hAnsiTheme="minorHAnsi" w:cstheme="minorHAnsi"/>
        </w:rPr>
        <w:t xml:space="preserve">throughout the review process. This </w:t>
      </w:r>
      <w:r w:rsidR="00E2467B">
        <w:rPr>
          <w:rFonts w:asciiTheme="minorHAnsi" w:hAnsiTheme="minorHAnsi" w:cstheme="minorHAnsi"/>
        </w:rPr>
        <w:t xml:space="preserve">document </w:t>
      </w:r>
      <w:r w:rsidR="00C66474">
        <w:rPr>
          <w:rFonts w:asciiTheme="minorHAnsi" w:hAnsiTheme="minorHAnsi" w:cstheme="minorHAnsi"/>
        </w:rPr>
        <w:t xml:space="preserve">outlines </w:t>
      </w:r>
      <w:r w:rsidR="00E2467B">
        <w:rPr>
          <w:rFonts w:asciiTheme="minorHAnsi" w:hAnsiTheme="minorHAnsi" w:cstheme="minorHAnsi"/>
        </w:rPr>
        <w:t>t</w:t>
      </w:r>
      <w:r w:rsidR="00C66474">
        <w:rPr>
          <w:rFonts w:asciiTheme="minorHAnsi" w:hAnsiTheme="minorHAnsi" w:cstheme="minorHAnsi"/>
        </w:rPr>
        <w:t>he</w:t>
      </w:r>
      <w:r w:rsidR="00E2467B">
        <w:rPr>
          <w:rFonts w:asciiTheme="minorHAnsi" w:hAnsiTheme="minorHAnsi" w:cstheme="minorHAnsi"/>
        </w:rPr>
        <w:t xml:space="preserve"> </w:t>
      </w:r>
      <w:r w:rsidR="001C5437">
        <w:rPr>
          <w:rFonts w:asciiTheme="minorHAnsi" w:hAnsiTheme="minorHAnsi" w:cstheme="minorHAnsi"/>
        </w:rPr>
        <w:t xml:space="preserve">consultation methods </w:t>
      </w:r>
      <w:r w:rsidR="00C66474">
        <w:rPr>
          <w:rFonts w:asciiTheme="minorHAnsi" w:hAnsiTheme="minorHAnsi" w:cstheme="minorHAnsi"/>
        </w:rPr>
        <w:t>to</w:t>
      </w:r>
      <w:r w:rsidR="00E2467B">
        <w:rPr>
          <w:rFonts w:asciiTheme="minorHAnsi" w:hAnsiTheme="minorHAnsi" w:cstheme="minorHAnsi"/>
        </w:rPr>
        <w:t xml:space="preserve"> be used in the review, </w:t>
      </w:r>
      <w:r w:rsidR="001C5437">
        <w:rPr>
          <w:rFonts w:asciiTheme="minorHAnsi" w:hAnsiTheme="minorHAnsi" w:cstheme="minorHAnsi"/>
        </w:rPr>
        <w:t>a</w:t>
      </w:r>
      <w:r w:rsidR="00C66474">
        <w:rPr>
          <w:rFonts w:asciiTheme="minorHAnsi" w:hAnsiTheme="minorHAnsi" w:cstheme="minorHAnsi"/>
        </w:rPr>
        <w:t xml:space="preserve">nd the points in the process when </w:t>
      </w:r>
      <w:r w:rsidR="00E2467B">
        <w:rPr>
          <w:rFonts w:asciiTheme="minorHAnsi" w:hAnsiTheme="minorHAnsi" w:cstheme="minorHAnsi"/>
        </w:rPr>
        <w:t>consultation</w:t>
      </w:r>
      <w:r w:rsidR="001C5437">
        <w:rPr>
          <w:rFonts w:asciiTheme="minorHAnsi" w:hAnsiTheme="minorHAnsi" w:cstheme="minorHAnsi"/>
        </w:rPr>
        <w:t xml:space="preserve"> wil</w:t>
      </w:r>
      <w:r w:rsidR="000108C0">
        <w:rPr>
          <w:rFonts w:asciiTheme="minorHAnsi" w:hAnsiTheme="minorHAnsi" w:cstheme="minorHAnsi"/>
        </w:rPr>
        <w:t xml:space="preserve">l </w:t>
      </w:r>
      <w:r w:rsidR="00C66474">
        <w:rPr>
          <w:rFonts w:asciiTheme="minorHAnsi" w:hAnsiTheme="minorHAnsi" w:cstheme="minorHAnsi"/>
        </w:rPr>
        <w:t>take place. C</w:t>
      </w:r>
      <w:r w:rsidR="00392429" w:rsidRPr="009602AD">
        <w:rPr>
          <w:rFonts w:asciiTheme="minorHAnsi" w:hAnsiTheme="minorHAnsi" w:cstheme="minorHAnsi"/>
        </w:rPr>
        <w:t>onsultation op</w:t>
      </w:r>
      <w:r w:rsidR="00C66474">
        <w:rPr>
          <w:rFonts w:asciiTheme="minorHAnsi" w:hAnsiTheme="minorHAnsi" w:cstheme="minorHAnsi"/>
        </w:rPr>
        <w:t>portunities are described in</w:t>
      </w:r>
      <w:r w:rsidR="000108C0">
        <w:rPr>
          <w:rFonts w:asciiTheme="minorHAnsi" w:hAnsiTheme="minorHAnsi" w:cstheme="minorHAnsi"/>
        </w:rPr>
        <w:t xml:space="preserve"> greater detail later in this document and are </w:t>
      </w:r>
      <w:r w:rsidR="00392429" w:rsidRPr="009602AD">
        <w:rPr>
          <w:rFonts w:asciiTheme="minorHAnsi" w:hAnsiTheme="minorHAnsi" w:cstheme="minorHAnsi"/>
        </w:rPr>
        <w:t xml:space="preserve">outlined </w:t>
      </w:r>
      <w:r w:rsidR="001C5437">
        <w:rPr>
          <w:rFonts w:asciiTheme="minorHAnsi" w:hAnsiTheme="minorHAnsi" w:cstheme="minorHAnsi"/>
        </w:rPr>
        <w:t>in the diagram</w:t>
      </w:r>
      <w:r w:rsidR="000108C0">
        <w:rPr>
          <w:rFonts w:asciiTheme="minorHAnsi" w:hAnsiTheme="minorHAnsi" w:cstheme="minorHAnsi"/>
        </w:rPr>
        <w:t>s</w:t>
      </w:r>
      <w:r w:rsidR="00C66474" w:rsidRPr="00C66474">
        <w:rPr>
          <w:rFonts w:asciiTheme="minorHAnsi" w:hAnsiTheme="minorHAnsi" w:cstheme="minorHAnsi"/>
        </w:rPr>
        <w:t xml:space="preserve"> </w:t>
      </w:r>
      <w:r w:rsidR="00C66474">
        <w:rPr>
          <w:rFonts w:asciiTheme="minorHAnsi" w:hAnsiTheme="minorHAnsi" w:cstheme="minorHAnsi"/>
        </w:rPr>
        <w:t>below</w:t>
      </w:r>
      <w:r w:rsidR="00117696">
        <w:rPr>
          <w:rFonts w:asciiTheme="minorHAnsi" w:hAnsiTheme="minorHAnsi" w:cstheme="minorHAnsi"/>
        </w:rPr>
        <w:t>.</w:t>
      </w:r>
    </w:p>
    <w:p w14:paraId="2059FB6B" w14:textId="77777777" w:rsidR="001D1C17" w:rsidRDefault="001D1C17" w:rsidP="001D1C17">
      <w:pPr>
        <w:rPr>
          <w:rFonts w:asciiTheme="minorHAnsi" w:hAnsiTheme="minorHAnsi" w:cstheme="minorHAnsi"/>
          <w:b/>
        </w:rPr>
      </w:pPr>
    </w:p>
    <w:p w14:paraId="56DCDD96" w14:textId="7CC7B7EE" w:rsidR="001D1C17" w:rsidRDefault="001D1C17" w:rsidP="001D1C17">
      <w:pPr>
        <w:rPr>
          <w:rFonts w:asciiTheme="minorHAnsi" w:hAnsiTheme="minorHAnsi" w:cstheme="minorHAnsi"/>
          <w:b/>
        </w:rPr>
      </w:pPr>
      <w:r w:rsidRPr="001D1C17">
        <w:rPr>
          <w:rFonts w:asciiTheme="minorHAnsi" w:hAnsiTheme="minorHAnsi" w:cstheme="minorHAnsi"/>
          <w:b/>
        </w:rPr>
        <w:t>Offshore Petroleum Safety Review – Consultation timeline</w:t>
      </w:r>
    </w:p>
    <w:p w14:paraId="05D5F940" w14:textId="77777777" w:rsidR="001D1C17" w:rsidRPr="001D1C17" w:rsidRDefault="001D1C17" w:rsidP="001D1C17">
      <w:pPr>
        <w:rPr>
          <w:rFonts w:asciiTheme="minorHAnsi" w:hAnsiTheme="minorHAnsi" w:cstheme="minorHAnsi"/>
          <w:b/>
        </w:rPr>
      </w:pPr>
    </w:p>
    <w:p w14:paraId="7F6CC75F" w14:textId="77777777" w:rsidR="001D1C17" w:rsidRDefault="001D1C17" w:rsidP="003226F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AU"/>
        </w:rPr>
        <w:drawing>
          <wp:inline distT="0" distB="0" distL="0" distR="0" wp14:anchorId="394479B6" wp14:editId="2E3768F4">
            <wp:extent cx="7712381" cy="1473859"/>
            <wp:effectExtent l="0" t="0" r="3175" b="0"/>
            <wp:docPr id="21" name="Picture 21" descr="August 2018 to Q2 2019 delivery of discussion paper." title="Timelin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209" cy="147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C6D9D" w14:textId="77777777" w:rsidR="001D1C17" w:rsidRDefault="001D1C17" w:rsidP="003226F1">
      <w:pPr>
        <w:jc w:val="center"/>
        <w:rPr>
          <w:rFonts w:asciiTheme="minorHAnsi" w:hAnsiTheme="minorHAnsi" w:cstheme="minorHAnsi"/>
        </w:rPr>
      </w:pPr>
    </w:p>
    <w:p w14:paraId="523455A4" w14:textId="2D9AA663" w:rsidR="001D1C17" w:rsidRDefault="001D1C17" w:rsidP="003226F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AU"/>
        </w:rPr>
        <w:drawing>
          <wp:inline distT="0" distB="0" distL="0" distR="0" wp14:anchorId="20EDFD35" wp14:editId="3FCBD9D8">
            <wp:extent cx="7272068" cy="1520597"/>
            <wp:effectExtent l="0" t="0" r="5080" b="3810"/>
            <wp:docPr id="38" name="Picture 38" descr="June 2019 to after Q3 2019 delivery of policy framework." title="Timelin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504" cy="1524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F8E9C" w14:textId="77777777" w:rsidR="001D1C17" w:rsidRDefault="001D1C17" w:rsidP="003226F1">
      <w:pPr>
        <w:jc w:val="center"/>
        <w:rPr>
          <w:rFonts w:asciiTheme="minorHAnsi" w:hAnsiTheme="minorHAnsi" w:cstheme="minorHAnsi"/>
        </w:rPr>
        <w:sectPr w:rsidR="001D1C17" w:rsidSect="00CE7760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227FF4F" w14:textId="2435881B" w:rsidR="00CE7760" w:rsidRPr="00CE7760" w:rsidRDefault="00CE7760" w:rsidP="00CE7760">
      <w:pPr>
        <w:rPr>
          <w:rFonts w:asciiTheme="minorHAnsi" w:hAnsiTheme="minorHAnsi" w:cstheme="minorHAnsi"/>
        </w:rPr>
      </w:pPr>
    </w:p>
    <w:p w14:paraId="1471EB4C" w14:textId="77777777" w:rsidR="00835885" w:rsidRPr="00C47E2E" w:rsidRDefault="00835885" w:rsidP="00C47E2E">
      <w:pPr>
        <w:pStyle w:val="Heading3"/>
      </w:pPr>
      <w:bookmarkStart w:id="9" w:name="_Toc531880786"/>
      <w:bookmarkStart w:id="10" w:name="_Toc532215369"/>
      <w:r w:rsidRPr="00C47E2E">
        <w:t>Offshore Safety Review Workshops</w:t>
      </w:r>
      <w:bookmarkEnd w:id="9"/>
      <w:bookmarkEnd w:id="10"/>
      <w:r w:rsidRPr="00C47E2E">
        <w:t xml:space="preserve">  </w:t>
      </w:r>
    </w:p>
    <w:p w14:paraId="715C89DD" w14:textId="14CFE48F" w:rsidR="00835885" w:rsidRPr="009602AD" w:rsidRDefault="00835885" w:rsidP="00C47E2E">
      <w:pPr>
        <w:spacing w:line="240" w:lineRule="auto"/>
        <w:rPr>
          <w:rFonts w:asciiTheme="minorHAnsi" w:hAnsiTheme="minorHAnsi" w:cstheme="minorHAnsi"/>
        </w:rPr>
      </w:pPr>
      <w:r w:rsidRPr="009602AD">
        <w:rPr>
          <w:rFonts w:asciiTheme="minorHAnsi" w:hAnsiTheme="minorHAnsi" w:cstheme="minorHAnsi"/>
        </w:rPr>
        <w:t>Offshore Safety Review workshops were held in Melbourne on 13 August 2018 and in Perth on 22</w:t>
      </w:r>
      <w:r w:rsidR="00C66474">
        <w:rPr>
          <w:rFonts w:asciiTheme="minorHAnsi" w:hAnsiTheme="minorHAnsi" w:cstheme="minorHAnsi"/>
        </w:rPr>
        <w:t> </w:t>
      </w:r>
      <w:r w:rsidRPr="009602AD">
        <w:rPr>
          <w:rFonts w:asciiTheme="minorHAnsi" w:hAnsiTheme="minorHAnsi" w:cstheme="minorHAnsi"/>
        </w:rPr>
        <w:t>October 2018</w:t>
      </w:r>
      <w:r w:rsidR="004533A0">
        <w:rPr>
          <w:rFonts w:asciiTheme="minorHAnsi" w:hAnsiTheme="minorHAnsi" w:cstheme="minorHAnsi"/>
        </w:rPr>
        <w:t xml:space="preserve"> </w:t>
      </w:r>
      <w:r w:rsidR="00C66474">
        <w:rPr>
          <w:rFonts w:asciiTheme="minorHAnsi" w:hAnsiTheme="minorHAnsi" w:cstheme="minorHAnsi"/>
        </w:rPr>
        <w:t xml:space="preserve">early in </w:t>
      </w:r>
      <w:r w:rsidR="004533A0">
        <w:rPr>
          <w:rFonts w:asciiTheme="minorHAnsi" w:hAnsiTheme="minorHAnsi" w:cstheme="minorHAnsi"/>
        </w:rPr>
        <w:t>the review</w:t>
      </w:r>
      <w:r w:rsidR="00C66474">
        <w:rPr>
          <w:rFonts w:asciiTheme="minorHAnsi" w:hAnsiTheme="minorHAnsi" w:cstheme="minorHAnsi"/>
        </w:rPr>
        <w:t xml:space="preserve"> process</w:t>
      </w:r>
      <w:r w:rsidR="00BE14EE">
        <w:rPr>
          <w:rFonts w:asciiTheme="minorHAnsi" w:hAnsiTheme="minorHAnsi" w:cstheme="minorHAnsi"/>
        </w:rPr>
        <w:t xml:space="preserve">, </w:t>
      </w:r>
      <w:r w:rsidRPr="009602AD">
        <w:rPr>
          <w:rFonts w:asciiTheme="minorHAnsi" w:hAnsiTheme="minorHAnsi" w:cstheme="minorHAnsi"/>
        </w:rPr>
        <w:t xml:space="preserve">to </w:t>
      </w:r>
      <w:r w:rsidR="00C66474">
        <w:rPr>
          <w:rFonts w:asciiTheme="minorHAnsi" w:hAnsiTheme="minorHAnsi" w:cstheme="minorHAnsi"/>
        </w:rPr>
        <w:t>identify</w:t>
      </w:r>
      <w:r w:rsidRPr="009602AD">
        <w:rPr>
          <w:rFonts w:asciiTheme="minorHAnsi" w:hAnsiTheme="minorHAnsi" w:cstheme="minorHAnsi"/>
        </w:rPr>
        <w:t xml:space="preserve"> issues and concerns stakeholders </w:t>
      </w:r>
      <w:r w:rsidR="00C47E2E">
        <w:rPr>
          <w:rFonts w:asciiTheme="minorHAnsi" w:hAnsiTheme="minorHAnsi" w:cstheme="minorHAnsi"/>
        </w:rPr>
        <w:t>have</w:t>
      </w:r>
      <w:r w:rsidR="00720E73">
        <w:rPr>
          <w:rFonts w:asciiTheme="minorHAnsi" w:hAnsiTheme="minorHAnsi" w:cstheme="minorHAnsi"/>
        </w:rPr>
        <w:t xml:space="preserve"> </w:t>
      </w:r>
      <w:r w:rsidRPr="009602AD">
        <w:rPr>
          <w:rFonts w:asciiTheme="minorHAnsi" w:hAnsiTheme="minorHAnsi" w:cstheme="minorHAnsi"/>
        </w:rPr>
        <w:t xml:space="preserve">with the </w:t>
      </w:r>
      <w:r w:rsidR="00C66474">
        <w:rPr>
          <w:rFonts w:asciiTheme="minorHAnsi" w:hAnsiTheme="minorHAnsi" w:cstheme="minorHAnsi"/>
        </w:rPr>
        <w:t xml:space="preserve">current safety </w:t>
      </w:r>
      <w:r w:rsidRPr="009602AD">
        <w:rPr>
          <w:rFonts w:asciiTheme="minorHAnsi" w:hAnsiTheme="minorHAnsi" w:cstheme="minorHAnsi"/>
        </w:rPr>
        <w:t>regime.</w:t>
      </w:r>
      <w:r w:rsidR="00487B74">
        <w:rPr>
          <w:rFonts w:asciiTheme="minorHAnsi" w:hAnsiTheme="minorHAnsi" w:cstheme="minorHAnsi"/>
        </w:rPr>
        <w:t xml:space="preserve"> </w:t>
      </w:r>
      <w:r w:rsidRPr="009602AD">
        <w:rPr>
          <w:rFonts w:asciiTheme="minorHAnsi" w:hAnsiTheme="minorHAnsi" w:cstheme="minorHAnsi"/>
        </w:rPr>
        <w:t xml:space="preserve">Both workshops were well attended by a variety of stakeholders and the workshop reports are published on the department’s </w:t>
      </w:r>
      <w:hyperlink r:id="rId21" w:history="1">
        <w:r w:rsidRPr="00206FB2">
          <w:rPr>
            <w:rStyle w:val="Hyperlink"/>
            <w:rFonts w:asciiTheme="minorHAnsi" w:hAnsiTheme="minorHAnsi" w:cstheme="minorHAnsi"/>
          </w:rPr>
          <w:t>website</w:t>
        </w:r>
      </w:hyperlink>
      <w:r w:rsidRPr="009602AD">
        <w:rPr>
          <w:rFonts w:asciiTheme="minorHAnsi" w:hAnsiTheme="minorHAnsi" w:cstheme="minorHAnsi"/>
        </w:rPr>
        <w:t>.</w:t>
      </w:r>
      <w:r w:rsidR="00392429">
        <w:rPr>
          <w:rFonts w:asciiTheme="minorHAnsi" w:hAnsiTheme="minorHAnsi" w:cstheme="minorHAnsi"/>
        </w:rPr>
        <w:t xml:space="preserve"> </w:t>
      </w:r>
    </w:p>
    <w:p w14:paraId="3E59E09F" w14:textId="07B53464" w:rsidR="007806B7" w:rsidRPr="009602AD" w:rsidRDefault="0033678C" w:rsidP="00C47E2E">
      <w:pPr>
        <w:pStyle w:val="Heading3"/>
      </w:pPr>
      <w:bookmarkStart w:id="11" w:name="_Toc531880787"/>
      <w:bookmarkStart w:id="12" w:name="_Toc532215370"/>
      <w:r w:rsidRPr="009602AD">
        <w:t>Safety Stakeholder Group</w:t>
      </w:r>
      <w:r w:rsidR="00A85CF3" w:rsidRPr="009602AD">
        <w:t xml:space="preserve"> (SSG)</w:t>
      </w:r>
      <w:bookmarkEnd w:id="11"/>
      <w:bookmarkEnd w:id="12"/>
      <w:r w:rsidRPr="009602AD">
        <w:t xml:space="preserve"> </w:t>
      </w:r>
    </w:p>
    <w:p w14:paraId="1BAA4A4B" w14:textId="3221B059" w:rsidR="003A5810" w:rsidRDefault="004013BF" w:rsidP="00C47E2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9602AD">
        <w:rPr>
          <w:rFonts w:asciiTheme="minorHAnsi" w:hAnsiTheme="minorHAnsi" w:cstheme="minorHAnsi"/>
        </w:rPr>
        <w:t xml:space="preserve"> </w:t>
      </w:r>
      <w:r w:rsidR="00A85CF3" w:rsidRPr="009602AD">
        <w:rPr>
          <w:rFonts w:asciiTheme="minorHAnsi" w:hAnsiTheme="minorHAnsi" w:cstheme="minorHAnsi"/>
        </w:rPr>
        <w:t xml:space="preserve">Safety Stakeholder Group (SSG) </w:t>
      </w:r>
      <w:r w:rsidR="00751AC9">
        <w:rPr>
          <w:rFonts w:asciiTheme="minorHAnsi" w:hAnsiTheme="minorHAnsi" w:cstheme="minorHAnsi"/>
        </w:rPr>
        <w:t xml:space="preserve">is an important consultation avenue </w:t>
      </w:r>
      <w:r w:rsidR="00AA1AF0">
        <w:rPr>
          <w:rFonts w:asciiTheme="minorHAnsi" w:hAnsiTheme="minorHAnsi" w:cstheme="minorHAnsi"/>
        </w:rPr>
        <w:t xml:space="preserve">that </w:t>
      </w:r>
      <w:r w:rsidR="00BE14EE">
        <w:rPr>
          <w:rFonts w:asciiTheme="minorHAnsi" w:hAnsiTheme="minorHAnsi" w:cstheme="minorHAnsi"/>
        </w:rPr>
        <w:t>allows</w:t>
      </w:r>
      <w:r w:rsidR="00B05870">
        <w:rPr>
          <w:rFonts w:asciiTheme="minorHAnsi" w:hAnsiTheme="minorHAnsi" w:cstheme="minorHAnsi"/>
        </w:rPr>
        <w:t xml:space="preserve"> key</w:t>
      </w:r>
      <w:r w:rsidR="00C66474">
        <w:rPr>
          <w:rFonts w:asciiTheme="minorHAnsi" w:hAnsiTheme="minorHAnsi" w:cstheme="minorHAnsi"/>
        </w:rPr>
        <w:t xml:space="preserve"> </w:t>
      </w:r>
      <w:r w:rsidR="00236C1F" w:rsidRPr="009602AD">
        <w:rPr>
          <w:rFonts w:asciiTheme="minorHAnsi" w:hAnsiTheme="minorHAnsi" w:cstheme="minorHAnsi"/>
        </w:rPr>
        <w:t>stakeholders with signifi</w:t>
      </w:r>
      <w:r w:rsidR="003A5810">
        <w:rPr>
          <w:rFonts w:asciiTheme="minorHAnsi" w:hAnsiTheme="minorHAnsi" w:cstheme="minorHAnsi"/>
        </w:rPr>
        <w:t>cant interest in offshore petroleum safety</w:t>
      </w:r>
      <w:r w:rsidR="00B05870">
        <w:rPr>
          <w:rFonts w:asciiTheme="minorHAnsi" w:hAnsiTheme="minorHAnsi" w:cstheme="minorHAnsi"/>
        </w:rPr>
        <w:t xml:space="preserve"> to be involved</w:t>
      </w:r>
      <w:r w:rsidR="00BE14EE">
        <w:rPr>
          <w:rFonts w:asciiTheme="minorHAnsi" w:hAnsiTheme="minorHAnsi" w:cstheme="minorHAnsi"/>
        </w:rPr>
        <w:t xml:space="preserve"> in the </w:t>
      </w:r>
      <w:r w:rsidR="00BE6630">
        <w:rPr>
          <w:rFonts w:asciiTheme="minorHAnsi" w:hAnsiTheme="minorHAnsi" w:cstheme="minorHAnsi"/>
        </w:rPr>
        <w:t xml:space="preserve">offshore safety </w:t>
      </w:r>
      <w:r w:rsidR="00BE14EE">
        <w:rPr>
          <w:rFonts w:asciiTheme="minorHAnsi" w:hAnsiTheme="minorHAnsi" w:cstheme="minorHAnsi"/>
        </w:rPr>
        <w:t>review process</w:t>
      </w:r>
      <w:r w:rsidR="00BC5873">
        <w:rPr>
          <w:rFonts w:asciiTheme="minorHAnsi" w:hAnsiTheme="minorHAnsi" w:cstheme="minorHAnsi"/>
        </w:rPr>
        <w:t>.</w:t>
      </w:r>
      <w:r w:rsidR="00BE6630">
        <w:rPr>
          <w:rFonts w:asciiTheme="minorHAnsi" w:hAnsiTheme="minorHAnsi" w:cstheme="minorHAnsi"/>
        </w:rPr>
        <w:t xml:space="preserve"> </w:t>
      </w:r>
      <w:r w:rsidR="003A5810">
        <w:rPr>
          <w:rFonts w:asciiTheme="minorHAnsi" w:hAnsiTheme="minorHAnsi" w:cstheme="minorHAnsi"/>
        </w:rPr>
        <w:t xml:space="preserve"> </w:t>
      </w:r>
    </w:p>
    <w:p w14:paraId="614CC48F" w14:textId="40FF5BE8" w:rsidR="003A5810" w:rsidRDefault="003A5810" w:rsidP="00C47E2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SSG is consultative group that </w:t>
      </w:r>
      <w:r w:rsidRPr="009602AD">
        <w:rPr>
          <w:rFonts w:asciiTheme="minorHAnsi" w:hAnsiTheme="minorHAnsi" w:cstheme="minorHAnsi"/>
        </w:rPr>
        <w:t>allow</w:t>
      </w:r>
      <w:r>
        <w:rPr>
          <w:rFonts w:asciiTheme="minorHAnsi" w:hAnsiTheme="minorHAnsi" w:cstheme="minorHAnsi"/>
        </w:rPr>
        <w:t xml:space="preserve">s </w:t>
      </w:r>
      <w:r w:rsidRPr="009602AD">
        <w:rPr>
          <w:rFonts w:asciiTheme="minorHAnsi" w:hAnsiTheme="minorHAnsi" w:cstheme="minorHAnsi"/>
        </w:rPr>
        <w:t>ideas and issues to be tested and discussed through information sharing and constructive engagement.</w:t>
      </w:r>
      <w:r>
        <w:rPr>
          <w:rFonts w:asciiTheme="minorHAnsi" w:hAnsiTheme="minorHAnsi" w:cstheme="minorHAnsi"/>
        </w:rPr>
        <w:t xml:space="preserve"> The SSG is not a decision making body.</w:t>
      </w:r>
    </w:p>
    <w:p w14:paraId="72B60A02" w14:textId="42ABC963" w:rsidR="003A5810" w:rsidRDefault="00BE6630" w:rsidP="003A5810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SSG </w:t>
      </w:r>
      <w:r w:rsidR="00BC5873">
        <w:rPr>
          <w:rFonts w:asciiTheme="minorHAnsi" w:hAnsiTheme="minorHAnsi" w:cstheme="minorHAnsi"/>
        </w:rPr>
        <w:t xml:space="preserve">members </w:t>
      </w:r>
      <w:r w:rsidR="003A5810">
        <w:rPr>
          <w:rFonts w:asciiTheme="minorHAnsi" w:hAnsiTheme="minorHAnsi" w:cstheme="minorHAnsi"/>
        </w:rPr>
        <w:t>have been nominated by their member organisation and some represent</w:t>
      </w:r>
      <w:r w:rsidR="00BC5873">
        <w:rPr>
          <w:rFonts w:asciiTheme="minorHAnsi" w:hAnsiTheme="minorHAnsi" w:cstheme="minorHAnsi"/>
        </w:rPr>
        <w:t xml:space="preserve"> their wider </w:t>
      </w:r>
      <w:r>
        <w:rPr>
          <w:rFonts w:asciiTheme="minorHAnsi" w:hAnsiTheme="minorHAnsi" w:cstheme="minorHAnsi"/>
        </w:rPr>
        <w:t>stakeholder</w:t>
      </w:r>
      <w:r w:rsidR="003A5810">
        <w:rPr>
          <w:rFonts w:asciiTheme="minorHAnsi" w:hAnsiTheme="minorHAnsi" w:cstheme="minorHAnsi"/>
        </w:rPr>
        <w:t xml:space="preserve"> </w:t>
      </w:r>
      <w:r w:rsidR="00BC5873">
        <w:rPr>
          <w:rFonts w:asciiTheme="minorHAnsi" w:hAnsiTheme="minorHAnsi" w:cstheme="minorHAnsi"/>
        </w:rPr>
        <w:t>group</w:t>
      </w:r>
      <w:r w:rsidR="003A5810">
        <w:rPr>
          <w:rFonts w:asciiTheme="minorHAnsi" w:hAnsiTheme="minorHAnsi" w:cstheme="minorHAnsi"/>
        </w:rPr>
        <w:t xml:space="preserve"> or affiliated members.</w:t>
      </w:r>
      <w:r>
        <w:rPr>
          <w:rFonts w:asciiTheme="minorHAnsi" w:hAnsiTheme="minorHAnsi" w:cstheme="minorHAnsi"/>
        </w:rPr>
        <w:t xml:space="preserve"> </w:t>
      </w:r>
      <w:r w:rsidR="003A5810" w:rsidRPr="009602AD">
        <w:rPr>
          <w:rFonts w:asciiTheme="minorHAnsi" w:hAnsiTheme="minorHAnsi" w:cstheme="minorHAnsi"/>
        </w:rPr>
        <w:t xml:space="preserve">SSG members commit to </w:t>
      </w:r>
      <w:r w:rsidR="003A5810" w:rsidRPr="00E017F7">
        <w:rPr>
          <w:rFonts w:asciiTheme="minorHAnsi" w:hAnsiTheme="minorHAnsi" w:cstheme="minorHAnsi"/>
        </w:rPr>
        <w:t xml:space="preserve">keeping their own employees/members/workgroup informed, where appropriate, of the review’s progress, including deadlines for submissions and opportunities for engagement in public consultation processes. </w:t>
      </w:r>
      <w:r w:rsidR="003A5810">
        <w:rPr>
          <w:rFonts w:asciiTheme="minorHAnsi" w:hAnsiTheme="minorHAnsi" w:cstheme="minorHAnsi"/>
        </w:rPr>
        <w:t xml:space="preserve">They also provide advice and assistance to the department in contacting the people they represent. </w:t>
      </w:r>
    </w:p>
    <w:p w14:paraId="444D6789" w14:textId="63B001E1" w:rsidR="004013BF" w:rsidRDefault="00DC0CB4" w:rsidP="00C47E2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SSG </w:t>
      </w:r>
      <w:r w:rsidR="004013BF">
        <w:rPr>
          <w:rFonts w:asciiTheme="minorHAnsi" w:hAnsiTheme="minorHAnsi" w:cstheme="minorHAnsi"/>
        </w:rPr>
        <w:t xml:space="preserve">meetings </w:t>
      </w:r>
      <w:r w:rsidR="00913381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held approximately every two months</w:t>
      </w:r>
      <w:r w:rsidR="003A581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with meeting notes</w:t>
      </w:r>
      <w:r w:rsidR="00E64488">
        <w:rPr>
          <w:rFonts w:asciiTheme="minorHAnsi" w:hAnsiTheme="minorHAnsi" w:cstheme="minorHAnsi"/>
        </w:rPr>
        <w:t xml:space="preserve"> published on the department’s </w:t>
      </w:r>
      <w:hyperlink r:id="rId22" w:history="1">
        <w:r w:rsidR="00E64488" w:rsidRPr="00206FB2">
          <w:rPr>
            <w:rStyle w:val="Hyperlink"/>
            <w:rFonts w:asciiTheme="minorHAnsi" w:hAnsiTheme="minorHAnsi" w:cstheme="minorHAnsi"/>
          </w:rPr>
          <w:t>website</w:t>
        </w:r>
      </w:hyperlink>
      <w:r w:rsidR="00E64488">
        <w:rPr>
          <w:rFonts w:asciiTheme="minorHAnsi" w:hAnsiTheme="minorHAnsi" w:cstheme="minorHAnsi"/>
        </w:rPr>
        <w:t xml:space="preserve"> and emailed to interested stakeholders</w:t>
      </w:r>
      <w:r w:rsidR="007464F7">
        <w:rPr>
          <w:rFonts w:asciiTheme="minorHAnsi" w:hAnsiTheme="minorHAnsi" w:cstheme="minorHAnsi"/>
        </w:rPr>
        <w:t xml:space="preserve">.  </w:t>
      </w:r>
      <w:r w:rsidR="00BE6630">
        <w:rPr>
          <w:rFonts w:asciiTheme="minorHAnsi" w:hAnsiTheme="minorHAnsi" w:cstheme="minorHAnsi"/>
        </w:rPr>
        <w:t xml:space="preserve">The first </w:t>
      </w:r>
      <w:r w:rsidR="002728AC">
        <w:rPr>
          <w:rFonts w:asciiTheme="minorHAnsi" w:hAnsiTheme="minorHAnsi" w:cstheme="minorHAnsi"/>
        </w:rPr>
        <w:t xml:space="preserve">SSG </w:t>
      </w:r>
      <w:r w:rsidR="00BE6630">
        <w:rPr>
          <w:rFonts w:asciiTheme="minorHAnsi" w:hAnsiTheme="minorHAnsi" w:cstheme="minorHAnsi"/>
        </w:rPr>
        <w:t xml:space="preserve">meeting </w:t>
      </w:r>
      <w:r w:rsidR="00206FB2">
        <w:rPr>
          <w:rFonts w:asciiTheme="minorHAnsi" w:hAnsiTheme="minorHAnsi" w:cstheme="minorHAnsi"/>
        </w:rPr>
        <w:t xml:space="preserve">was </w:t>
      </w:r>
      <w:r w:rsidR="00BE6630">
        <w:rPr>
          <w:rFonts w:asciiTheme="minorHAnsi" w:hAnsiTheme="minorHAnsi" w:cstheme="minorHAnsi"/>
        </w:rPr>
        <w:t>held in October 2018.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1E02EF" w:rsidRPr="00A715DF" w14:paraId="313269D8" w14:textId="77777777" w:rsidTr="005530FC">
        <w:trPr>
          <w:trHeight w:val="315"/>
        </w:trPr>
        <w:tc>
          <w:tcPr>
            <w:tcW w:w="5670" w:type="dxa"/>
            <w:shd w:val="clear" w:color="auto" w:fill="A0DCDC" w:themeFill="accent4" w:themeFillTint="99"/>
            <w:vAlign w:val="center"/>
          </w:tcPr>
          <w:p w14:paraId="6889C989" w14:textId="7B28605B" w:rsidR="001E02EF" w:rsidRPr="00A715DF" w:rsidRDefault="00A715DF" w:rsidP="00A715DF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SSG </w:t>
            </w:r>
            <w:r w:rsidR="001E02EF" w:rsidRPr="00A7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Member</w:t>
            </w:r>
          </w:p>
        </w:tc>
        <w:tc>
          <w:tcPr>
            <w:tcW w:w="3544" w:type="dxa"/>
            <w:shd w:val="clear" w:color="auto" w:fill="A0DCDC" w:themeFill="accent4" w:themeFillTint="99"/>
          </w:tcPr>
          <w:p w14:paraId="090573A6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Representing </w:t>
            </w:r>
          </w:p>
        </w:tc>
      </w:tr>
      <w:tr w:rsidR="001E02EF" w:rsidRPr="00A715DF" w14:paraId="6CD83A69" w14:textId="77777777" w:rsidTr="005530FC">
        <w:trPr>
          <w:trHeight w:val="70"/>
        </w:trPr>
        <w:tc>
          <w:tcPr>
            <w:tcW w:w="5670" w:type="dxa"/>
            <w:shd w:val="clear" w:color="000000" w:fill="FFFFFF"/>
            <w:vAlign w:val="center"/>
            <w:hideMark/>
          </w:tcPr>
          <w:p w14:paraId="76134255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Commonwealth Department of Industry, Innovation and Science </w:t>
            </w:r>
          </w:p>
        </w:tc>
        <w:tc>
          <w:tcPr>
            <w:tcW w:w="3544" w:type="dxa"/>
            <w:shd w:val="clear" w:color="000000" w:fill="FFFFFF"/>
          </w:tcPr>
          <w:p w14:paraId="5BE49FED" w14:textId="3F49A601" w:rsidR="001E02EF" w:rsidRPr="00A715DF" w:rsidRDefault="001E02EF" w:rsidP="004E7870">
            <w:pPr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bCs/>
                <w:sz w:val="20"/>
                <w:szCs w:val="20"/>
              </w:rPr>
              <w:t>Commonwealth (Regulatory oversight for OHS of offshore petroleum activities)</w:t>
            </w:r>
          </w:p>
        </w:tc>
      </w:tr>
      <w:tr w:rsidR="001E02EF" w:rsidRPr="00A715DF" w14:paraId="1751A4F9" w14:textId="77777777" w:rsidTr="005530FC">
        <w:trPr>
          <w:trHeight w:val="70"/>
        </w:trPr>
        <w:tc>
          <w:tcPr>
            <w:tcW w:w="5670" w:type="dxa"/>
            <w:shd w:val="clear" w:color="000000" w:fill="FFFFFF"/>
          </w:tcPr>
          <w:p w14:paraId="3E45BCE4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Commonwealth Department of Jobs and Small Business</w:t>
            </w:r>
          </w:p>
        </w:tc>
        <w:tc>
          <w:tcPr>
            <w:tcW w:w="3544" w:type="dxa"/>
            <w:shd w:val="clear" w:color="000000" w:fill="FFFFFF"/>
          </w:tcPr>
          <w:p w14:paraId="146C3C4A" w14:textId="62547235" w:rsidR="001E02EF" w:rsidRPr="00A715DF" w:rsidRDefault="001E02EF" w:rsidP="002728A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Commonwealth (Regulatory oversight for </w:t>
            </w:r>
            <w:r w:rsidR="002728AC">
              <w:rPr>
                <w:rFonts w:asciiTheme="minorHAnsi" w:hAnsiTheme="minorHAnsi" w:cstheme="minorHAnsi"/>
                <w:bCs/>
                <w:sz w:val="20"/>
                <w:szCs w:val="20"/>
              </w:rPr>
              <w:t>national</w:t>
            </w:r>
            <w:r w:rsidR="004E78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715DF">
              <w:rPr>
                <w:rFonts w:asciiTheme="minorHAnsi" w:hAnsiTheme="minorHAnsi" w:cstheme="minorHAnsi"/>
                <w:bCs/>
                <w:sz w:val="20"/>
                <w:szCs w:val="20"/>
              </w:rPr>
              <w:t>WHS)</w:t>
            </w:r>
          </w:p>
        </w:tc>
      </w:tr>
      <w:tr w:rsidR="001E02EF" w:rsidRPr="00A715DF" w14:paraId="493222F0" w14:textId="77777777" w:rsidTr="005530FC">
        <w:trPr>
          <w:trHeight w:val="70"/>
        </w:trPr>
        <w:tc>
          <w:tcPr>
            <w:tcW w:w="5670" w:type="dxa"/>
            <w:shd w:val="clear" w:color="000000" w:fill="FFFFFF"/>
            <w:vAlign w:val="bottom"/>
          </w:tcPr>
          <w:p w14:paraId="32329FE0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Australian Maritime and Safety Authority (AMSA)</w:t>
            </w:r>
          </w:p>
        </w:tc>
        <w:tc>
          <w:tcPr>
            <w:tcW w:w="3544" w:type="dxa"/>
            <w:shd w:val="clear" w:color="000000" w:fill="FFFFFF"/>
          </w:tcPr>
          <w:p w14:paraId="5B2C2FC9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Regulator (Maritime safety)</w:t>
            </w:r>
          </w:p>
        </w:tc>
      </w:tr>
      <w:tr w:rsidR="001E02EF" w:rsidRPr="00A715DF" w14:paraId="6B8FD559" w14:textId="77777777" w:rsidTr="005530FC">
        <w:trPr>
          <w:trHeight w:val="143"/>
        </w:trPr>
        <w:tc>
          <w:tcPr>
            <w:tcW w:w="5670" w:type="dxa"/>
            <w:shd w:val="clear" w:color="auto" w:fill="auto"/>
            <w:vAlign w:val="center"/>
            <w:hideMark/>
          </w:tcPr>
          <w:p w14:paraId="237320C3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National Offshore Petroleum Safety and Environmental Management Authority (NOPSEMA)</w:t>
            </w:r>
          </w:p>
        </w:tc>
        <w:tc>
          <w:tcPr>
            <w:tcW w:w="3544" w:type="dxa"/>
          </w:tcPr>
          <w:p w14:paraId="12BCAEEF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Regulator (Offshore Petroleum)</w:t>
            </w:r>
          </w:p>
        </w:tc>
      </w:tr>
      <w:tr w:rsidR="001E02EF" w:rsidRPr="00A715DF" w14:paraId="099F002D" w14:textId="77777777" w:rsidTr="005530FC">
        <w:trPr>
          <w:trHeight w:val="70"/>
        </w:trPr>
        <w:tc>
          <w:tcPr>
            <w:tcW w:w="5670" w:type="dxa"/>
            <w:shd w:val="clear" w:color="auto" w:fill="auto"/>
            <w:vAlign w:val="center"/>
            <w:hideMark/>
          </w:tcPr>
          <w:p w14:paraId="07F89EF6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Work Safe Victoria</w:t>
            </w:r>
          </w:p>
        </w:tc>
        <w:tc>
          <w:tcPr>
            <w:tcW w:w="3544" w:type="dxa"/>
          </w:tcPr>
          <w:p w14:paraId="67F6FEEF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Victorian Government</w:t>
            </w:r>
          </w:p>
        </w:tc>
      </w:tr>
      <w:tr w:rsidR="001E02EF" w:rsidRPr="00A715DF" w14:paraId="311F98E5" w14:textId="77777777" w:rsidTr="005530FC">
        <w:trPr>
          <w:trHeight w:val="70"/>
        </w:trPr>
        <w:tc>
          <w:tcPr>
            <w:tcW w:w="5670" w:type="dxa"/>
            <w:shd w:val="clear" w:color="auto" w:fill="auto"/>
            <w:vAlign w:val="center"/>
            <w:hideMark/>
          </w:tcPr>
          <w:p w14:paraId="33D680A9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New South Wales Resources Regulator</w:t>
            </w:r>
          </w:p>
        </w:tc>
        <w:tc>
          <w:tcPr>
            <w:tcW w:w="3544" w:type="dxa"/>
          </w:tcPr>
          <w:p w14:paraId="4712A3B8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New South Wales Government</w:t>
            </w:r>
          </w:p>
        </w:tc>
      </w:tr>
      <w:tr w:rsidR="001E02EF" w:rsidRPr="00A715DF" w14:paraId="45FC08D2" w14:textId="77777777" w:rsidTr="005530FC">
        <w:trPr>
          <w:trHeight w:val="70"/>
        </w:trPr>
        <w:tc>
          <w:tcPr>
            <w:tcW w:w="5670" w:type="dxa"/>
            <w:shd w:val="clear" w:color="auto" w:fill="auto"/>
            <w:vAlign w:val="center"/>
            <w:hideMark/>
          </w:tcPr>
          <w:p w14:paraId="243954DF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Western Australian Department of Mines, Industry Regulation and Safety</w:t>
            </w:r>
          </w:p>
        </w:tc>
        <w:tc>
          <w:tcPr>
            <w:tcW w:w="3544" w:type="dxa"/>
          </w:tcPr>
          <w:p w14:paraId="4679B405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 xml:space="preserve">Western Australian Government </w:t>
            </w:r>
          </w:p>
        </w:tc>
      </w:tr>
      <w:tr w:rsidR="001E02EF" w:rsidRPr="00A715DF" w14:paraId="6F271E3E" w14:textId="77777777" w:rsidTr="005530FC">
        <w:trPr>
          <w:trHeight w:val="70"/>
        </w:trPr>
        <w:tc>
          <w:tcPr>
            <w:tcW w:w="5670" w:type="dxa"/>
            <w:shd w:val="clear" w:color="auto" w:fill="auto"/>
            <w:vAlign w:val="center"/>
            <w:hideMark/>
          </w:tcPr>
          <w:p w14:paraId="70EB346E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Australian Petroleum Production &amp; Exploration Association (APPEA)</w:t>
            </w:r>
          </w:p>
        </w:tc>
        <w:tc>
          <w:tcPr>
            <w:tcW w:w="3544" w:type="dxa"/>
          </w:tcPr>
          <w:p w14:paraId="0A475F7E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Australia’s oil and gas exploration and production industry</w:t>
            </w:r>
          </w:p>
        </w:tc>
      </w:tr>
      <w:tr w:rsidR="001E02EF" w:rsidRPr="00A715DF" w14:paraId="118184D1" w14:textId="77777777" w:rsidTr="005530FC">
        <w:trPr>
          <w:trHeight w:val="70"/>
        </w:trPr>
        <w:tc>
          <w:tcPr>
            <w:tcW w:w="5670" w:type="dxa"/>
            <w:shd w:val="clear" w:color="auto" w:fill="auto"/>
            <w:vAlign w:val="center"/>
            <w:hideMark/>
          </w:tcPr>
          <w:p w14:paraId="4AC01693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Quadrant Energy (Santos)</w:t>
            </w:r>
          </w:p>
        </w:tc>
        <w:tc>
          <w:tcPr>
            <w:tcW w:w="3544" w:type="dxa"/>
          </w:tcPr>
          <w:p w14:paraId="462EEE87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 xml:space="preserve">Australia’s offshore oil and gas operators </w:t>
            </w:r>
          </w:p>
        </w:tc>
      </w:tr>
      <w:tr w:rsidR="001E02EF" w:rsidRPr="00A715DF" w14:paraId="67562197" w14:textId="77777777" w:rsidTr="005530FC">
        <w:trPr>
          <w:trHeight w:val="201"/>
        </w:trPr>
        <w:tc>
          <w:tcPr>
            <w:tcW w:w="5670" w:type="dxa"/>
            <w:shd w:val="clear" w:color="auto" w:fill="auto"/>
            <w:vAlign w:val="center"/>
            <w:hideMark/>
          </w:tcPr>
          <w:p w14:paraId="30D0FC40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Australian Council of Trade Unions (ACTU)</w:t>
            </w:r>
          </w:p>
        </w:tc>
        <w:tc>
          <w:tcPr>
            <w:tcW w:w="3544" w:type="dxa"/>
          </w:tcPr>
          <w:p w14:paraId="5C69F12D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 xml:space="preserve">Offshore workers – union members, all offshore workers </w:t>
            </w:r>
          </w:p>
        </w:tc>
      </w:tr>
      <w:tr w:rsidR="001E02EF" w:rsidRPr="00A715DF" w14:paraId="702A6BE1" w14:textId="77777777" w:rsidTr="005530FC">
        <w:trPr>
          <w:trHeight w:val="78"/>
        </w:trPr>
        <w:tc>
          <w:tcPr>
            <w:tcW w:w="5670" w:type="dxa"/>
            <w:shd w:val="clear" w:color="auto" w:fill="auto"/>
            <w:vAlign w:val="center"/>
            <w:hideMark/>
          </w:tcPr>
          <w:p w14:paraId="6E537A51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Health and Safety Representative (HSR)</w:t>
            </w:r>
          </w:p>
        </w:tc>
        <w:tc>
          <w:tcPr>
            <w:tcW w:w="3544" w:type="dxa"/>
          </w:tcPr>
          <w:p w14:paraId="138854D0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HSRs, offshore workers</w:t>
            </w:r>
          </w:p>
        </w:tc>
      </w:tr>
      <w:tr w:rsidR="001E02EF" w:rsidRPr="00A715DF" w14:paraId="42CBF2B9" w14:textId="77777777" w:rsidTr="005530FC">
        <w:trPr>
          <w:trHeight w:val="70"/>
        </w:trPr>
        <w:tc>
          <w:tcPr>
            <w:tcW w:w="5670" w:type="dxa"/>
            <w:shd w:val="clear" w:color="auto" w:fill="auto"/>
            <w:vAlign w:val="bottom"/>
            <w:hideMark/>
          </w:tcPr>
          <w:p w14:paraId="2679790C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>International Association of Drilling Contractors (IADC)</w:t>
            </w:r>
          </w:p>
        </w:tc>
        <w:tc>
          <w:tcPr>
            <w:tcW w:w="3544" w:type="dxa"/>
          </w:tcPr>
          <w:p w14:paraId="1D2580D3" w14:textId="77777777" w:rsidR="001E02EF" w:rsidRPr="00A715DF" w:rsidRDefault="001E02EF" w:rsidP="00A715DF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15DF">
              <w:rPr>
                <w:rFonts w:asciiTheme="minorHAnsi" w:hAnsiTheme="minorHAnsi" w:cstheme="minorHAnsi"/>
                <w:sz w:val="20"/>
                <w:szCs w:val="20"/>
              </w:rPr>
              <w:t xml:space="preserve">IADC members, third-party contractors </w:t>
            </w:r>
          </w:p>
        </w:tc>
      </w:tr>
    </w:tbl>
    <w:p w14:paraId="2CE1E5A4" w14:textId="45355684" w:rsidR="009602AD" w:rsidRDefault="0010430C" w:rsidP="00D04A07">
      <w:pPr>
        <w:pStyle w:val="Heading3"/>
        <w:spacing w:before="240" w:after="240" w:line="240" w:lineRule="auto"/>
      </w:pPr>
      <w:bookmarkStart w:id="13" w:name="_Toc532215371"/>
      <w:bookmarkStart w:id="14" w:name="_Toc531880788"/>
      <w:r>
        <w:lastRenderedPageBreak/>
        <w:t>Targeted</w:t>
      </w:r>
      <w:r w:rsidR="00667E87">
        <w:t xml:space="preserve"> Meetings</w:t>
      </w:r>
      <w:bookmarkEnd w:id="13"/>
      <w:r>
        <w:t xml:space="preserve"> </w:t>
      </w:r>
      <w:bookmarkEnd w:id="14"/>
    </w:p>
    <w:p w14:paraId="4B5D814D" w14:textId="168FC045" w:rsidR="009464BA" w:rsidRDefault="0010430C" w:rsidP="00D04A0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Targeted</w:t>
      </w:r>
      <w:r w:rsidR="00DC0CB4">
        <w:rPr>
          <w:rFonts w:asciiTheme="minorHAnsi" w:hAnsiTheme="minorHAnsi" w:cstheme="minorHAnsi"/>
        </w:rPr>
        <w:t xml:space="preserve"> </w:t>
      </w:r>
      <w:r w:rsidR="009464BA">
        <w:rPr>
          <w:rFonts w:asciiTheme="minorHAnsi" w:hAnsiTheme="minorHAnsi" w:cstheme="minorHAnsi"/>
        </w:rPr>
        <w:t>meetings</w:t>
      </w:r>
      <w:r w:rsidR="00DC0CB4">
        <w:rPr>
          <w:rFonts w:asciiTheme="minorHAnsi" w:hAnsiTheme="minorHAnsi" w:cstheme="minorHAnsi"/>
        </w:rPr>
        <w:t xml:space="preserve"> </w:t>
      </w:r>
      <w:r w:rsidR="006E2A99">
        <w:rPr>
          <w:rFonts w:asciiTheme="minorHAnsi" w:hAnsiTheme="minorHAnsi" w:cstheme="minorHAnsi"/>
        </w:rPr>
        <w:t>will be h</w:t>
      </w:r>
      <w:r w:rsidR="00437C78">
        <w:rPr>
          <w:rFonts w:asciiTheme="minorHAnsi" w:hAnsiTheme="minorHAnsi" w:cstheme="minorHAnsi"/>
        </w:rPr>
        <w:t>eld to</w:t>
      </w:r>
      <w:r w:rsidR="009464BA">
        <w:rPr>
          <w:rFonts w:asciiTheme="minorHAnsi" w:hAnsiTheme="minorHAnsi" w:cstheme="minorHAnsi"/>
        </w:rPr>
        <w:t xml:space="preserve"> complement the SSG and public consultation periods. These meetings will </w:t>
      </w:r>
      <w:r w:rsidR="00C66474">
        <w:rPr>
          <w:rFonts w:asciiTheme="minorHAnsi" w:hAnsiTheme="minorHAnsi" w:cstheme="minorHAnsi"/>
        </w:rPr>
        <w:t>include</w:t>
      </w:r>
      <w:r w:rsidR="009464BA">
        <w:rPr>
          <w:rFonts w:asciiTheme="minorHAnsi" w:hAnsiTheme="minorHAnsi" w:cstheme="minorHAnsi"/>
        </w:rPr>
        <w:t xml:space="preserve">: </w:t>
      </w:r>
    </w:p>
    <w:p w14:paraId="2313F7EC" w14:textId="3E6ADC59" w:rsidR="009464BA" w:rsidRDefault="009464BA" w:rsidP="009464BA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Meetings with people from the same stakeholder representative type to discuss issues directly relevant to their group.</w:t>
      </w:r>
    </w:p>
    <w:p w14:paraId="2D6931CF" w14:textId="77777777" w:rsidR="009464BA" w:rsidRDefault="009464BA" w:rsidP="00D04A07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Meetings to discuss specific topics with a range of stakeholders that have a direct interest in that particular topic.</w:t>
      </w:r>
      <w:r w:rsidRPr="009464BA">
        <w:rPr>
          <w:rFonts w:asciiTheme="minorHAnsi" w:hAnsiTheme="minorHAnsi" w:cstheme="minorHAnsi"/>
        </w:rPr>
        <w:t xml:space="preserve"> </w:t>
      </w:r>
    </w:p>
    <w:p w14:paraId="29D05428" w14:textId="3D06092F" w:rsidR="004013BF" w:rsidRPr="009464BA" w:rsidRDefault="0030150B" w:rsidP="009464BA">
      <w:pPr>
        <w:spacing w:line="240" w:lineRule="auto"/>
        <w:rPr>
          <w:rFonts w:asciiTheme="minorHAnsi" w:hAnsiTheme="minorHAnsi" w:cstheme="minorHAnsi"/>
        </w:rPr>
      </w:pPr>
      <w:r w:rsidRPr="009464BA">
        <w:rPr>
          <w:rFonts w:asciiTheme="minorHAnsi" w:hAnsiTheme="minorHAnsi" w:cstheme="minorHAnsi"/>
        </w:rPr>
        <w:t>In 2019</w:t>
      </w:r>
      <w:r w:rsidR="009464BA">
        <w:rPr>
          <w:rFonts w:asciiTheme="minorHAnsi" w:hAnsiTheme="minorHAnsi" w:cstheme="minorHAnsi"/>
        </w:rPr>
        <w:t>,</w:t>
      </w:r>
      <w:r w:rsidRPr="009464BA">
        <w:rPr>
          <w:rFonts w:asciiTheme="minorHAnsi" w:hAnsiTheme="minorHAnsi" w:cstheme="minorHAnsi"/>
        </w:rPr>
        <w:t xml:space="preserve"> </w:t>
      </w:r>
      <w:r w:rsidR="009464BA">
        <w:rPr>
          <w:rFonts w:asciiTheme="minorHAnsi" w:hAnsiTheme="minorHAnsi" w:cstheme="minorHAnsi"/>
        </w:rPr>
        <w:t>targeted meetings</w:t>
      </w:r>
      <w:r w:rsidR="0010430C" w:rsidRPr="009464BA">
        <w:rPr>
          <w:rFonts w:asciiTheme="minorHAnsi" w:hAnsiTheme="minorHAnsi" w:cstheme="minorHAnsi"/>
        </w:rPr>
        <w:t xml:space="preserve"> </w:t>
      </w:r>
      <w:r w:rsidR="00625A81" w:rsidRPr="009464BA">
        <w:rPr>
          <w:rFonts w:asciiTheme="minorHAnsi" w:hAnsiTheme="minorHAnsi" w:cstheme="minorHAnsi"/>
        </w:rPr>
        <w:t xml:space="preserve">will </w:t>
      </w:r>
      <w:r w:rsidR="00167E9E" w:rsidRPr="009464BA">
        <w:rPr>
          <w:rFonts w:asciiTheme="minorHAnsi" w:hAnsiTheme="minorHAnsi" w:cstheme="minorHAnsi"/>
        </w:rPr>
        <w:t xml:space="preserve">be held </w:t>
      </w:r>
      <w:r w:rsidR="009464BA">
        <w:rPr>
          <w:rFonts w:asciiTheme="minorHAnsi" w:hAnsiTheme="minorHAnsi" w:cstheme="minorHAnsi"/>
        </w:rPr>
        <w:t xml:space="preserve">on an as-needed basis </w:t>
      </w:r>
      <w:r w:rsidR="00625A81" w:rsidRPr="009464BA">
        <w:rPr>
          <w:rFonts w:asciiTheme="minorHAnsi" w:hAnsiTheme="minorHAnsi" w:cstheme="minorHAnsi"/>
        </w:rPr>
        <w:t>to assist with the development and</w:t>
      </w:r>
      <w:r w:rsidR="0010430C" w:rsidRPr="009464BA">
        <w:rPr>
          <w:rFonts w:asciiTheme="minorHAnsi" w:hAnsiTheme="minorHAnsi" w:cstheme="minorHAnsi"/>
        </w:rPr>
        <w:t xml:space="preserve"> finalisation of the Discussion Paper</w:t>
      </w:r>
      <w:r w:rsidR="00625A81" w:rsidRPr="009464BA">
        <w:rPr>
          <w:rFonts w:asciiTheme="minorHAnsi" w:hAnsiTheme="minorHAnsi" w:cstheme="minorHAnsi"/>
        </w:rPr>
        <w:t xml:space="preserve"> and subsequent Policy Framework</w:t>
      </w:r>
      <w:r w:rsidR="0010430C" w:rsidRPr="009464BA">
        <w:rPr>
          <w:rFonts w:asciiTheme="minorHAnsi" w:hAnsiTheme="minorHAnsi" w:cstheme="minorHAnsi"/>
        </w:rPr>
        <w:t>.</w:t>
      </w:r>
      <w:r w:rsidR="00D32DDF" w:rsidRPr="009464BA">
        <w:rPr>
          <w:rFonts w:asciiTheme="minorHAnsi" w:hAnsiTheme="minorHAnsi" w:cstheme="minorHAnsi"/>
        </w:rPr>
        <w:t xml:space="preserve"> </w:t>
      </w:r>
    </w:p>
    <w:p w14:paraId="5F32FE23" w14:textId="0C724A42" w:rsidR="0018068C" w:rsidRPr="00487B74" w:rsidRDefault="00D32DDF" w:rsidP="00D04A0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These meetings will be confidential, unless otherwise</w:t>
      </w:r>
      <w:r w:rsidR="009464BA">
        <w:rPr>
          <w:rFonts w:asciiTheme="minorHAnsi" w:hAnsiTheme="minorHAnsi" w:cstheme="minorHAnsi"/>
        </w:rPr>
        <w:t xml:space="preserve"> stated or agreed</w:t>
      </w:r>
      <w:r>
        <w:rPr>
          <w:rFonts w:asciiTheme="minorHAnsi" w:hAnsiTheme="minorHAnsi" w:cstheme="minorHAnsi"/>
        </w:rPr>
        <w:t xml:space="preserve">, </w:t>
      </w:r>
      <w:r w:rsidR="00C66474">
        <w:rPr>
          <w:rFonts w:asciiTheme="minorHAnsi" w:hAnsiTheme="minorHAnsi" w:cstheme="minorHAnsi"/>
        </w:rPr>
        <w:t>to encourage st</w:t>
      </w:r>
      <w:r>
        <w:rPr>
          <w:rFonts w:asciiTheme="minorHAnsi" w:hAnsiTheme="minorHAnsi" w:cstheme="minorHAnsi"/>
        </w:rPr>
        <w:t>akeholders</w:t>
      </w:r>
      <w:r w:rsidR="00C66474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share their </w:t>
      </w:r>
      <w:r w:rsidR="00D604FA">
        <w:rPr>
          <w:rFonts w:asciiTheme="minorHAnsi" w:hAnsiTheme="minorHAnsi" w:cstheme="minorHAnsi"/>
        </w:rPr>
        <w:t xml:space="preserve">views and concerns with the department. </w:t>
      </w:r>
    </w:p>
    <w:p w14:paraId="6B084BD0" w14:textId="5D4BA834" w:rsidR="00667E87" w:rsidRDefault="00667E87" w:rsidP="00D04A07">
      <w:pPr>
        <w:pStyle w:val="Heading3"/>
        <w:spacing w:before="240" w:after="240" w:line="240" w:lineRule="auto"/>
      </w:pPr>
      <w:bookmarkStart w:id="15" w:name="_Toc532215372"/>
      <w:bookmarkStart w:id="16" w:name="_Toc531880789"/>
      <w:r>
        <w:t>Online surveys</w:t>
      </w:r>
      <w:bookmarkEnd w:id="15"/>
      <w:r>
        <w:t xml:space="preserve"> </w:t>
      </w:r>
      <w:bookmarkEnd w:id="16"/>
    </w:p>
    <w:p w14:paraId="3779429E" w14:textId="154A99A2" w:rsidR="00523C33" w:rsidRDefault="00523C33" w:rsidP="00523C3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</w:t>
      </w:r>
      <w:r w:rsidRPr="004E39B0">
        <w:rPr>
          <w:rFonts w:asciiTheme="minorHAnsi" w:hAnsiTheme="minorHAnsi" w:cstheme="minorHAnsi"/>
        </w:rPr>
        <w:t xml:space="preserve"> will </w:t>
      </w:r>
      <w:r>
        <w:rPr>
          <w:rFonts w:asciiTheme="minorHAnsi" w:hAnsiTheme="minorHAnsi" w:cstheme="minorHAnsi"/>
        </w:rPr>
        <w:t>use</w:t>
      </w:r>
      <w:r w:rsidRPr="004E39B0">
        <w:rPr>
          <w:rFonts w:asciiTheme="minorHAnsi" w:hAnsiTheme="minorHAnsi" w:cstheme="minorHAnsi"/>
        </w:rPr>
        <w:t xml:space="preserve"> online surveys </w:t>
      </w:r>
      <w:r>
        <w:rPr>
          <w:rFonts w:asciiTheme="minorHAnsi" w:hAnsiTheme="minorHAnsi" w:cstheme="minorHAnsi"/>
        </w:rPr>
        <w:t>as part of the consultation process</w:t>
      </w:r>
      <w:r w:rsidRPr="004E39B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as</w:t>
      </w:r>
      <w:r w:rsidRPr="004E39B0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n</w:t>
      </w:r>
      <w:r w:rsidRPr="004E39B0">
        <w:rPr>
          <w:rFonts w:asciiTheme="minorHAnsi" w:hAnsiTheme="minorHAnsi" w:cstheme="minorHAnsi"/>
        </w:rPr>
        <w:t xml:space="preserve"> efficient and effective way </w:t>
      </w:r>
      <w:r>
        <w:rPr>
          <w:rFonts w:asciiTheme="minorHAnsi" w:hAnsiTheme="minorHAnsi" w:cstheme="minorHAnsi"/>
        </w:rPr>
        <w:t xml:space="preserve">to engage with stakeholders, in particular </w:t>
      </w:r>
      <w:r w:rsidRPr="004E39B0">
        <w:rPr>
          <w:rFonts w:asciiTheme="minorHAnsi" w:hAnsiTheme="minorHAnsi" w:cstheme="minorHAnsi"/>
        </w:rPr>
        <w:t>the offshore workforce</w:t>
      </w:r>
      <w:r w:rsidR="00C66474">
        <w:rPr>
          <w:rFonts w:asciiTheme="minorHAnsi" w:hAnsiTheme="minorHAnsi" w:cstheme="minorHAnsi"/>
        </w:rPr>
        <w:t>, who may not be able to attend other consultation opportunities in person</w:t>
      </w:r>
      <w:r>
        <w:rPr>
          <w:rFonts w:asciiTheme="minorHAnsi" w:hAnsiTheme="minorHAnsi" w:cstheme="minorHAnsi"/>
        </w:rPr>
        <w:t xml:space="preserve">. </w:t>
      </w:r>
    </w:p>
    <w:p w14:paraId="3EC8C6A3" w14:textId="1CA0FB02" w:rsidR="00523C33" w:rsidRDefault="00C66474" w:rsidP="00523C3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Hearing</w:t>
      </w:r>
      <w:r w:rsidR="00B644C5">
        <w:rPr>
          <w:rFonts w:asciiTheme="minorHAnsi" w:hAnsiTheme="minorHAnsi" w:cstheme="minorHAnsi"/>
        </w:rPr>
        <w:t xml:space="preserve"> offshore workers’</w:t>
      </w:r>
      <w:r w:rsidR="00B644C5" w:rsidRPr="004E39B0">
        <w:rPr>
          <w:rFonts w:asciiTheme="minorHAnsi" w:hAnsiTheme="minorHAnsi" w:cstheme="minorHAnsi"/>
        </w:rPr>
        <w:t xml:space="preserve"> views on offshore safety</w:t>
      </w:r>
      <w:r>
        <w:rPr>
          <w:rFonts w:asciiTheme="minorHAnsi" w:hAnsiTheme="minorHAnsi" w:cstheme="minorHAnsi"/>
        </w:rPr>
        <w:t>,</w:t>
      </w:r>
      <w:r w:rsidR="00B644C5" w:rsidRPr="004E39B0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learning from their </w:t>
      </w:r>
      <w:r w:rsidR="00B644C5">
        <w:rPr>
          <w:rFonts w:asciiTheme="minorHAnsi" w:hAnsiTheme="minorHAnsi" w:cstheme="minorHAnsi"/>
        </w:rPr>
        <w:t>real</w:t>
      </w:r>
      <w:r>
        <w:rPr>
          <w:rFonts w:asciiTheme="minorHAnsi" w:hAnsiTheme="minorHAnsi" w:cstheme="minorHAnsi"/>
        </w:rPr>
        <w:t>-</w:t>
      </w:r>
      <w:r w:rsidR="00B644C5">
        <w:rPr>
          <w:rFonts w:asciiTheme="minorHAnsi" w:hAnsiTheme="minorHAnsi" w:cstheme="minorHAnsi"/>
        </w:rPr>
        <w:t>life experience</w:t>
      </w:r>
      <w:r>
        <w:rPr>
          <w:rFonts w:asciiTheme="minorHAnsi" w:hAnsiTheme="minorHAnsi" w:cstheme="minorHAnsi"/>
        </w:rPr>
        <w:t>s</w:t>
      </w:r>
      <w:r w:rsidR="00B644C5">
        <w:rPr>
          <w:rFonts w:asciiTheme="minorHAnsi" w:hAnsiTheme="minorHAnsi" w:cstheme="minorHAnsi"/>
        </w:rPr>
        <w:t xml:space="preserve"> </w:t>
      </w:r>
      <w:r w:rsidR="00B644C5" w:rsidRPr="004E39B0">
        <w:rPr>
          <w:rFonts w:asciiTheme="minorHAnsi" w:hAnsiTheme="minorHAnsi" w:cstheme="minorHAnsi"/>
        </w:rPr>
        <w:t>work</w:t>
      </w:r>
      <w:r w:rsidR="00B644C5">
        <w:rPr>
          <w:rFonts w:asciiTheme="minorHAnsi" w:hAnsiTheme="minorHAnsi" w:cstheme="minorHAnsi"/>
        </w:rPr>
        <w:t>ing</w:t>
      </w:r>
      <w:r w:rsidR="00B644C5" w:rsidRPr="004E39B0">
        <w:rPr>
          <w:rFonts w:asciiTheme="minorHAnsi" w:hAnsiTheme="minorHAnsi" w:cstheme="minorHAnsi"/>
        </w:rPr>
        <w:t xml:space="preserve"> within the regime</w:t>
      </w:r>
      <w:r>
        <w:rPr>
          <w:rFonts w:asciiTheme="minorHAnsi" w:hAnsiTheme="minorHAnsi" w:cstheme="minorHAnsi"/>
        </w:rPr>
        <w:t xml:space="preserve"> is critical to the review.</w:t>
      </w:r>
      <w:r w:rsidR="00B644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</w:t>
      </w:r>
      <w:r w:rsidR="00B644C5">
        <w:rPr>
          <w:rFonts w:asciiTheme="minorHAnsi" w:hAnsiTheme="minorHAnsi" w:cstheme="minorHAnsi"/>
        </w:rPr>
        <w:t>owever</w:t>
      </w:r>
      <w:r>
        <w:rPr>
          <w:rFonts w:asciiTheme="minorHAnsi" w:hAnsiTheme="minorHAnsi" w:cstheme="minorHAnsi"/>
        </w:rPr>
        <w:t>,</w:t>
      </w:r>
      <w:r w:rsidR="00B644C5">
        <w:rPr>
          <w:rFonts w:asciiTheme="minorHAnsi" w:hAnsiTheme="minorHAnsi" w:cstheme="minorHAnsi"/>
        </w:rPr>
        <w:t xml:space="preserve"> we recognise that t</w:t>
      </w:r>
      <w:r w:rsidR="00523C33">
        <w:rPr>
          <w:rFonts w:asciiTheme="minorHAnsi" w:hAnsiTheme="minorHAnsi" w:cstheme="minorHAnsi"/>
        </w:rPr>
        <w:t>ime pressures and the remote nature of working offshore means that some stakeholders have limited availability and ability to engage in face-to-face or virtual meetings with the department</w:t>
      </w:r>
      <w:r w:rsidR="00B644C5">
        <w:rPr>
          <w:rFonts w:asciiTheme="minorHAnsi" w:hAnsiTheme="minorHAnsi" w:cstheme="minorHAnsi"/>
        </w:rPr>
        <w:t>.</w:t>
      </w:r>
    </w:p>
    <w:p w14:paraId="5945900A" w14:textId="7D607BD7" w:rsidR="00523C33" w:rsidRPr="00D04A07" w:rsidRDefault="00B644C5" w:rsidP="00523C3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Online surveys will be used to provide offshore workers with</w:t>
      </w:r>
      <w:r w:rsidR="00523C33">
        <w:rPr>
          <w:rFonts w:asciiTheme="minorHAnsi" w:hAnsiTheme="minorHAnsi" w:cstheme="minorHAnsi"/>
        </w:rPr>
        <w:t xml:space="preserve"> </w:t>
      </w:r>
      <w:r w:rsidR="00523C33" w:rsidRPr="00652893">
        <w:rPr>
          <w:rFonts w:asciiTheme="minorHAnsi" w:hAnsiTheme="minorHAnsi" w:cstheme="minorHAnsi"/>
        </w:rPr>
        <w:t>a less intrusive and time</w:t>
      </w:r>
      <w:r w:rsidR="00523C33">
        <w:rPr>
          <w:rFonts w:asciiTheme="minorHAnsi" w:hAnsiTheme="minorHAnsi" w:cstheme="minorHAnsi"/>
        </w:rPr>
        <w:t>-</w:t>
      </w:r>
      <w:r w:rsidR="00523C33" w:rsidRPr="00652893">
        <w:rPr>
          <w:rFonts w:asciiTheme="minorHAnsi" w:hAnsiTheme="minorHAnsi" w:cstheme="minorHAnsi"/>
        </w:rPr>
        <w:t xml:space="preserve">consuming method of </w:t>
      </w:r>
      <w:r w:rsidR="00523C33">
        <w:rPr>
          <w:rFonts w:asciiTheme="minorHAnsi" w:hAnsiTheme="minorHAnsi" w:cstheme="minorHAnsi"/>
        </w:rPr>
        <w:t>engagement</w:t>
      </w:r>
      <w:r w:rsidR="00523C33" w:rsidRPr="0065289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523C33" w:rsidRPr="004E39B0">
        <w:rPr>
          <w:rFonts w:asciiTheme="minorHAnsi" w:hAnsiTheme="minorHAnsi" w:cstheme="minorHAnsi"/>
        </w:rPr>
        <w:t xml:space="preserve">Workers will be able </w:t>
      </w:r>
      <w:r w:rsidR="00523C33">
        <w:rPr>
          <w:rFonts w:asciiTheme="minorHAnsi" w:hAnsiTheme="minorHAnsi" w:cstheme="minorHAnsi"/>
        </w:rPr>
        <w:t>complete</w:t>
      </w:r>
      <w:r w:rsidR="00523C33" w:rsidRPr="004E39B0">
        <w:rPr>
          <w:rFonts w:asciiTheme="minorHAnsi" w:hAnsiTheme="minorHAnsi" w:cstheme="minorHAnsi"/>
        </w:rPr>
        <w:t xml:space="preserve"> </w:t>
      </w:r>
      <w:r w:rsidR="00523C33">
        <w:rPr>
          <w:rFonts w:asciiTheme="minorHAnsi" w:hAnsiTheme="minorHAnsi" w:cstheme="minorHAnsi"/>
        </w:rPr>
        <w:t xml:space="preserve">anonymous </w:t>
      </w:r>
      <w:r w:rsidR="00523C33" w:rsidRPr="004E39B0">
        <w:rPr>
          <w:rFonts w:asciiTheme="minorHAnsi" w:hAnsiTheme="minorHAnsi" w:cstheme="minorHAnsi"/>
        </w:rPr>
        <w:t>surveys</w:t>
      </w:r>
      <w:r w:rsidR="00523C33">
        <w:rPr>
          <w:rFonts w:asciiTheme="minorHAnsi" w:hAnsiTheme="minorHAnsi" w:cstheme="minorHAnsi"/>
        </w:rPr>
        <w:t>,</w:t>
      </w:r>
      <w:r w:rsidR="00523C33" w:rsidRPr="004E39B0">
        <w:rPr>
          <w:rFonts w:asciiTheme="minorHAnsi" w:hAnsiTheme="minorHAnsi" w:cstheme="minorHAnsi"/>
        </w:rPr>
        <w:t xml:space="preserve"> vote in polls and provide comments. The department will </w:t>
      </w:r>
      <w:r w:rsidR="00523C33">
        <w:rPr>
          <w:rFonts w:asciiTheme="minorHAnsi" w:hAnsiTheme="minorHAnsi" w:cstheme="minorHAnsi"/>
        </w:rPr>
        <w:t>work with</w:t>
      </w:r>
      <w:r w:rsidR="00523C33" w:rsidRPr="004E39B0">
        <w:rPr>
          <w:rFonts w:asciiTheme="minorHAnsi" w:hAnsiTheme="minorHAnsi" w:cstheme="minorHAnsi"/>
        </w:rPr>
        <w:t xml:space="preserve"> oil and gas operators, </w:t>
      </w:r>
      <w:r>
        <w:rPr>
          <w:rFonts w:asciiTheme="minorHAnsi" w:hAnsiTheme="minorHAnsi" w:cstheme="minorHAnsi"/>
        </w:rPr>
        <w:t>third-party contractors</w:t>
      </w:r>
      <w:r w:rsidR="00523C33" w:rsidRPr="004E39B0">
        <w:rPr>
          <w:rFonts w:asciiTheme="minorHAnsi" w:hAnsiTheme="minorHAnsi" w:cstheme="minorHAnsi"/>
        </w:rPr>
        <w:t xml:space="preserve"> and unions to facilitate </w:t>
      </w:r>
      <w:r w:rsidR="00523C33">
        <w:rPr>
          <w:rFonts w:asciiTheme="minorHAnsi" w:hAnsiTheme="minorHAnsi" w:cstheme="minorHAnsi"/>
        </w:rPr>
        <w:t>the involvement of the</w:t>
      </w:r>
      <w:r w:rsidR="00523C33" w:rsidRPr="004E39B0">
        <w:rPr>
          <w:rFonts w:asciiTheme="minorHAnsi" w:hAnsiTheme="minorHAnsi" w:cstheme="minorHAnsi"/>
        </w:rPr>
        <w:t xml:space="preserve"> offs</w:t>
      </w:r>
      <w:r>
        <w:rPr>
          <w:rFonts w:asciiTheme="minorHAnsi" w:hAnsiTheme="minorHAnsi" w:cstheme="minorHAnsi"/>
        </w:rPr>
        <w:t>hore workforce in these online mechanisms</w:t>
      </w:r>
      <w:r w:rsidR="00523C33">
        <w:rPr>
          <w:rFonts w:asciiTheme="minorHAnsi" w:hAnsiTheme="minorHAnsi" w:cstheme="minorHAnsi"/>
        </w:rPr>
        <w:t>.</w:t>
      </w:r>
      <w:r w:rsidR="00523C33" w:rsidRPr="004E39B0">
        <w:rPr>
          <w:rFonts w:asciiTheme="minorHAnsi" w:hAnsiTheme="minorHAnsi" w:cstheme="minorHAnsi"/>
        </w:rPr>
        <w:t xml:space="preserve"> </w:t>
      </w:r>
    </w:p>
    <w:p w14:paraId="4874600C" w14:textId="33959329" w:rsidR="00667E87" w:rsidRDefault="00667E87" w:rsidP="00D04A07">
      <w:pPr>
        <w:pStyle w:val="Heading3"/>
        <w:spacing w:before="240" w:after="240" w:line="240" w:lineRule="auto"/>
      </w:pPr>
      <w:bookmarkStart w:id="17" w:name="_Toc531880790"/>
      <w:bookmarkStart w:id="18" w:name="_Toc532215373"/>
      <w:r>
        <w:t>Public Consultation</w:t>
      </w:r>
      <w:bookmarkEnd w:id="17"/>
      <w:bookmarkEnd w:id="18"/>
      <w:r>
        <w:t xml:space="preserve"> </w:t>
      </w:r>
    </w:p>
    <w:p w14:paraId="45F0157D" w14:textId="15F69595" w:rsidR="005E2A57" w:rsidRDefault="001103E2" w:rsidP="00D04A07">
      <w:pPr>
        <w:spacing w:line="240" w:lineRule="auto"/>
        <w:rPr>
          <w:rFonts w:asciiTheme="minorHAnsi" w:hAnsiTheme="minorHAnsi" w:cstheme="minorHAnsi"/>
        </w:rPr>
      </w:pPr>
      <w:r w:rsidRPr="004E39B0">
        <w:rPr>
          <w:rFonts w:asciiTheme="minorHAnsi" w:hAnsiTheme="minorHAnsi" w:cstheme="minorHAnsi"/>
        </w:rPr>
        <w:t xml:space="preserve">There will be two formal public consultation rounds as part of the Review. </w:t>
      </w:r>
      <w:r w:rsidR="00302AF9">
        <w:rPr>
          <w:rFonts w:asciiTheme="minorHAnsi" w:hAnsiTheme="minorHAnsi" w:cstheme="minorHAnsi"/>
        </w:rPr>
        <w:t xml:space="preserve">During each public consultation period, a document will be published by the department, seeking feedback from stakeholders on the issues presented in the document through written submission. Public consultation periods </w:t>
      </w:r>
      <w:r w:rsidR="003D67FC">
        <w:rPr>
          <w:rFonts w:asciiTheme="minorHAnsi" w:hAnsiTheme="minorHAnsi" w:cstheme="minorHAnsi"/>
        </w:rPr>
        <w:t>generally run</w:t>
      </w:r>
      <w:r w:rsidR="00302AF9">
        <w:rPr>
          <w:rFonts w:asciiTheme="minorHAnsi" w:hAnsiTheme="minorHAnsi" w:cstheme="minorHAnsi"/>
        </w:rPr>
        <w:t xml:space="preserve"> </w:t>
      </w:r>
      <w:r w:rsidR="003D67FC">
        <w:rPr>
          <w:rFonts w:asciiTheme="minorHAnsi" w:hAnsiTheme="minorHAnsi" w:cstheme="minorHAnsi"/>
        </w:rPr>
        <w:t>for 4-6 weeks.</w:t>
      </w:r>
    </w:p>
    <w:p w14:paraId="39D4A74F" w14:textId="2D77A76A" w:rsidR="00156D62" w:rsidRPr="004E39B0" w:rsidRDefault="001103E2" w:rsidP="00D04A07">
      <w:pPr>
        <w:spacing w:line="240" w:lineRule="auto"/>
        <w:rPr>
          <w:rFonts w:asciiTheme="minorHAnsi" w:hAnsiTheme="minorHAnsi" w:cstheme="minorHAnsi"/>
        </w:rPr>
      </w:pPr>
      <w:r w:rsidRPr="004E39B0">
        <w:rPr>
          <w:rFonts w:asciiTheme="minorHAnsi" w:hAnsiTheme="minorHAnsi" w:cstheme="minorHAnsi"/>
        </w:rPr>
        <w:t>The first</w:t>
      </w:r>
      <w:r w:rsidR="003D67FC">
        <w:rPr>
          <w:rFonts w:asciiTheme="minorHAnsi" w:hAnsiTheme="minorHAnsi" w:cstheme="minorHAnsi"/>
        </w:rPr>
        <w:t xml:space="preserve"> public consultation period</w:t>
      </w:r>
      <w:r w:rsidRPr="004E39B0">
        <w:rPr>
          <w:rFonts w:asciiTheme="minorHAnsi" w:hAnsiTheme="minorHAnsi" w:cstheme="minorHAnsi"/>
        </w:rPr>
        <w:t xml:space="preserve"> </w:t>
      </w:r>
      <w:r w:rsidR="003D67FC">
        <w:rPr>
          <w:rFonts w:asciiTheme="minorHAnsi" w:hAnsiTheme="minorHAnsi" w:cstheme="minorHAnsi"/>
        </w:rPr>
        <w:t xml:space="preserve">will be held </w:t>
      </w:r>
      <w:r w:rsidR="00067FDD">
        <w:rPr>
          <w:rFonts w:asciiTheme="minorHAnsi" w:hAnsiTheme="minorHAnsi" w:cstheme="minorHAnsi"/>
        </w:rPr>
        <w:t>in the second quarter of</w:t>
      </w:r>
      <w:r w:rsidRPr="004E39B0">
        <w:rPr>
          <w:rFonts w:asciiTheme="minorHAnsi" w:hAnsiTheme="minorHAnsi" w:cstheme="minorHAnsi"/>
        </w:rPr>
        <w:t xml:space="preserve"> 2019 to seek views on the Discussion Paper.</w:t>
      </w:r>
      <w:r w:rsidR="0026773E" w:rsidRPr="0026773E">
        <w:rPr>
          <w:rFonts w:asciiTheme="minorHAnsi" w:hAnsiTheme="minorHAnsi" w:cstheme="minorHAnsi"/>
        </w:rPr>
        <w:t xml:space="preserve"> </w:t>
      </w:r>
      <w:r w:rsidR="00067FDD">
        <w:rPr>
          <w:rFonts w:asciiTheme="minorHAnsi" w:hAnsiTheme="minorHAnsi" w:cstheme="minorHAnsi"/>
        </w:rPr>
        <w:t xml:space="preserve"> S</w:t>
      </w:r>
      <w:r w:rsidR="0026773E" w:rsidRPr="004E39B0">
        <w:rPr>
          <w:rFonts w:asciiTheme="minorHAnsi" w:hAnsiTheme="minorHAnsi" w:cstheme="minorHAnsi"/>
        </w:rPr>
        <w:t>takeholders</w:t>
      </w:r>
      <w:r w:rsidR="00067FDD">
        <w:rPr>
          <w:rFonts w:asciiTheme="minorHAnsi" w:hAnsiTheme="minorHAnsi" w:cstheme="minorHAnsi"/>
        </w:rPr>
        <w:t xml:space="preserve"> will be asked to</w:t>
      </w:r>
      <w:r w:rsidR="0026773E" w:rsidRPr="004E39B0">
        <w:rPr>
          <w:rFonts w:asciiTheme="minorHAnsi" w:hAnsiTheme="minorHAnsi" w:cstheme="minorHAnsi"/>
        </w:rPr>
        <w:t xml:space="preserve"> </w:t>
      </w:r>
      <w:r w:rsidR="003D67FC">
        <w:rPr>
          <w:rFonts w:asciiTheme="minorHAnsi" w:hAnsiTheme="minorHAnsi" w:cstheme="minorHAnsi"/>
        </w:rPr>
        <w:t>provide written submissions</w:t>
      </w:r>
      <w:r w:rsidR="0026773E" w:rsidRPr="004E39B0">
        <w:rPr>
          <w:rFonts w:asciiTheme="minorHAnsi" w:hAnsiTheme="minorHAnsi" w:cstheme="minorHAnsi"/>
        </w:rPr>
        <w:t xml:space="preserve"> on the Discussion Paper</w:t>
      </w:r>
      <w:r w:rsidR="003D67FC">
        <w:rPr>
          <w:rFonts w:asciiTheme="minorHAnsi" w:hAnsiTheme="minorHAnsi" w:cstheme="minorHAnsi"/>
        </w:rPr>
        <w:t>,</w:t>
      </w:r>
      <w:r w:rsidR="0026773E" w:rsidRPr="004E39B0">
        <w:rPr>
          <w:rFonts w:asciiTheme="minorHAnsi" w:hAnsiTheme="minorHAnsi" w:cstheme="minorHAnsi"/>
        </w:rPr>
        <w:t xml:space="preserve"> a</w:t>
      </w:r>
      <w:r w:rsidR="00067FDD">
        <w:rPr>
          <w:rFonts w:asciiTheme="minorHAnsi" w:hAnsiTheme="minorHAnsi" w:cstheme="minorHAnsi"/>
        </w:rPr>
        <w:t>nd</w:t>
      </w:r>
      <w:r w:rsidR="0026773E" w:rsidRPr="004E39B0">
        <w:rPr>
          <w:rFonts w:asciiTheme="minorHAnsi" w:hAnsiTheme="minorHAnsi" w:cstheme="minorHAnsi"/>
        </w:rPr>
        <w:t xml:space="preserve"> </w:t>
      </w:r>
      <w:r w:rsidR="003D67FC">
        <w:rPr>
          <w:rFonts w:asciiTheme="minorHAnsi" w:hAnsiTheme="minorHAnsi" w:cstheme="minorHAnsi"/>
        </w:rPr>
        <w:t>comments</w:t>
      </w:r>
      <w:r w:rsidR="00636698">
        <w:rPr>
          <w:rFonts w:asciiTheme="minorHAnsi" w:hAnsiTheme="minorHAnsi" w:cstheme="minorHAnsi"/>
        </w:rPr>
        <w:t xml:space="preserve"> and evidence provided</w:t>
      </w:r>
      <w:r w:rsidR="00636698" w:rsidRPr="004E39B0">
        <w:rPr>
          <w:rFonts w:asciiTheme="minorHAnsi" w:hAnsiTheme="minorHAnsi" w:cstheme="minorHAnsi"/>
        </w:rPr>
        <w:t xml:space="preserve"> </w:t>
      </w:r>
      <w:r w:rsidR="0026773E" w:rsidRPr="004E39B0">
        <w:rPr>
          <w:rFonts w:asciiTheme="minorHAnsi" w:hAnsiTheme="minorHAnsi" w:cstheme="minorHAnsi"/>
        </w:rPr>
        <w:t xml:space="preserve">will </w:t>
      </w:r>
      <w:r w:rsidR="00636698">
        <w:rPr>
          <w:rFonts w:asciiTheme="minorHAnsi" w:hAnsiTheme="minorHAnsi" w:cstheme="minorHAnsi"/>
        </w:rPr>
        <w:t>inform</w:t>
      </w:r>
      <w:r w:rsidR="00636698" w:rsidRPr="004E39B0">
        <w:rPr>
          <w:rFonts w:asciiTheme="minorHAnsi" w:hAnsiTheme="minorHAnsi" w:cstheme="minorHAnsi"/>
        </w:rPr>
        <w:t xml:space="preserve"> </w:t>
      </w:r>
      <w:r w:rsidR="0026773E" w:rsidRPr="004E39B0">
        <w:rPr>
          <w:rFonts w:asciiTheme="minorHAnsi" w:hAnsiTheme="minorHAnsi" w:cstheme="minorHAnsi"/>
        </w:rPr>
        <w:t xml:space="preserve">the </w:t>
      </w:r>
      <w:r w:rsidR="00636698">
        <w:rPr>
          <w:rFonts w:asciiTheme="minorHAnsi" w:hAnsiTheme="minorHAnsi" w:cstheme="minorHAnsi"/>
        </w:rPr>
        <w:t>development</w:t>
      </w:r>
      <w:r w:rsidR="00636698" w:rsidRPr="004E39B0">
        <w:rPr>
          <w:rFonts w:asciiTheme="minorHAnsi" w:hAnsiTheme="minorHAnsi" w:cstheme="minorHAnsi"/>
        </w:rPr>
        <w:t xml:space="preserve"> </w:t>
      </w:r>
      <w:r w:rsidR="00636698">
        <w:rPr>
          <w:rFonts w:asciiTheme="minorHAnsi" w:hAnsiTheme="minorHAnsi" w:cstheme="minorHAnsi"/>
        </w:rPr>
        <w:t>of</w:t>
      </w:r>
      <w:r w:rsidR="00636698" w:rsidRPr="004E39B0">
        <w:rPr>
          <w:rFonts w:asciiTheme="minorHAnsi" w:hAnsiTheme="minorHAnsi" w:cstheme="minorHAnsi"/>
        </w:rPr>
        <w:t xml:space="preserve"> </w:t>
      </w:r>
      <w:r w:rsidR="003D67FC">
        <w:rPr>
          <w:rFonts w:asciiTheme="minorHAnsi" w:hAnsiTheme="minorHAnsi" w:cstheme="minorHAnsi"/>
        </w:rPr>
        <w:t xml:space="preserve">the policy </w:t>
      </w:r>
      <w:r w:rsidR="00067FDD">
        <w:rPr>
          <w:rFonts w:asciiTheme="minorHAnsi" w:hAnsiTheme="minorHAnsi" w:cstheme="minorHAnsi"/>
        </w:rPr>
        <w:t>r</w:t>
      </w:r>
      <w:r w:rsidR="003D67FC">
        <w:rPr>
          <w:rFonts w:asciiTheme="minorHAnsi" w:hAnsiTheme="minorHAnsi" w:cstheme="minorHAnsi"/>
        </w:rPr>
        <w:t>ecommendations</w:t>
      </w:r>
      <w:r w:rsidR="0026773E" w:rsidRPr="004E39B0">
        <w:rPr>
          <w:rFonts w:asciiTheme="minorHAnsi" w:hAnsiTheme="minorHAnsi" w:cstheme="minorHAnsi"/>
        </w:rPr>
        <w:t>.</w:t>
      </w:r>
    </w:p>
    <w:p w14:paraId="51F2BE2B" w14:textId="77777777" w:rsidR="0058210B" w:rsidRDefault="00156D62" w:rsidP="00D04A07">
      <w:pPr>
        <w:spacing w:line="240" w:lineRule="auto"/>
        <w:rPr>
          <w:rFonts w:asciiTheme="minorHAnsi" w:hAnsiTheme="minorHAnsi" w:cstheme="minorHAnsi"/>
        </w:rPr>
      </w:pPr>
      <w:r w:rsidRPr="004E39B0">
        <w:rPr>
          <w:rFonts w:asciiTheme="minorHAnsi" w:hAnsiTheme="minorHAnsi" w:cstheme="minorHAnsi"/>
        </w:rPr>
        <w:t xml:space="preserve">Following </w:t>
      </w:r>
      <w:r w:rsidR="00940609" w:rsidRPr="004E39B0">
        <w:rPr>
          <w:rFonts w:asciiTheme="minorHAnsi" w:hAnsiTheme="minorHAnsi" w:cstheme="minorHAnsi"/>
        </w:rPr>
        <w:t xml:space="preserve">analysis of </w:t>
      </w:r>
      <w:r w:rsidR="003D67FC">
        <w:rPr>
          <w:rFonts w:asciiTheme="minorHAnsi" w:hAnsiTheme="minorHAnsi" w:cstheme="minorHAnsi"/>
        </w:rPr>
        <w:t>the written submissions</w:t>
      </w:r>
      <w:r w:rsidR="00940609" w:rsidRPr="004E39B0">
        <w:rPr>
          <w:rFonts w:asciiTheme="minorHAnsi" w:hAnsiTheme="minorHAnsi" w:cstheme="minorHAnsi"/>
        </w:rPr>
        <w:t xml:space="preserve"> and discussions with stakeholders</w:t>
      </w:r>
      <w:r w:rsidR="003D67FC">
        <w:rPr>
          <w:rFonts w:asciiTheme="minorHAnsi" w:hAnsiTheme="minorHAnsi" w:cstheme="minorHAnsi"/>
        </w:rPr>
        <w:t xml:space="preserve"> through targeted meetings</w:t>
      </w:r>
      <w:r w:rsidR="00940609" w:rsidRPr="004E39B0">
        <w:rPr>
          <w:rFonts w:asciiTheme="minorHAnsi" w:hAnsiTheme="minorHAnsi" w:cstheme="minorHAnsi"/>
        </w:rPr>
        <w:t>, the department will pr</w:t>
      </w:r>
      <w:r w:rsidR="00636698">
        <w:rPr>
          <w:rFonts w:asciiTheme="minorHAnsi" w:hAnsiTheme="minorHAnsi" w:cstheme="minorHAnsi"/>
        </w:rPr>
        <w:t>epare</w:t>
      </w:r>
      <w:r w:rsidR="00940609" w:rsidRPr="004E39B0">
        <w:rPr>
          <w:rFonts w:asciiTheme="minorHAnsi" w:hAnsiTheme="minorHAnsi" w:cstheme="minorHAnsi"/>
        </w:rPr>
        <w:t xml:space="preserve"> a Policy Framework</w:t>
      </w:r>
      <w:r w:rsidR="00BC5233" w:rsidRPr="004E39B0">
        <w:rPr>
          <w:rFonts w:asciiTheme="minorHAnsi" w:hAnsiTheme="minorHAnsi" w:cstheme="minorHAnsi"/>
        </w:rPr>
        <w:t>.</w:t>
      </w:r>
      <w:r w:rsidR="0058210B">
        <w:rPr>
          <w:rFonts w:asciiTheme="minorHAnsi" w:hAnsiTheme="minorHAnsi" w:cstheme="minorHAnsi"/>
        </w:rPr>
        <w:t xml:space="preserve"> </w:t>
      </w:r>
    </w:p>
    <w:p w14:paraId="156D6430" w14:textId="78443099" w:rsidR="002C7A34" w:rsidRPr="004E39B0" w:rsidRDefault="0058210B" w:rsidP="00D04A0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BC5233" w:rsidRPr="004E39B0">
        <w:rPr>
          <w:rFonts w:asciiTheme="minorHAnsi" w:hAnsiTheme="minorHAnsi" w:cstheme="minorHAnsi"/>
        </w:rPr>
        <w:t xml:space="preserve"> second public consultation</w:t>
      </w:r>
      <w:r w:rsidR="003D67FC">
        <w:rPr>
          <w:rFonts w:asciiTheme="minorHAnsi" w:hAnsiTheme="minorHAnsi" w:cstheme="minorHAnsi"/>
        </w:rPr>
        <w:t xml:space="preserve"> period will be held in </w:t>
      </w:r>
      <w:r w:rsidR="00067FDD">
        <w:rPr>
          <w:rFonts w:asciiTheme="minorHAnsi" w:hAnsiTheme="minorHAnsi" w:cstheme="minorHAnsi"/>
        </w:rPr>
        <w:t>the third quarter of</w:t>
      </w:r>
      <w:r w:rsidR="003D67FC">
        <w:rPr>
          <w:rFonts w:asciiTheme="minorHAnsi" w:hAnsiTheme="minorHAnsi" w:cstheme="minorHAnsi"/>
        </w:rPr>
        <w:t xml:space="preserve"> 2019 to seek views on </w:t>
      </w:r>
      <w:r w:rsidR="0026773E">
        <w:rPr>
          <w:rFonts w:asciiTheme="minorHAnsi" w:hAnsiTheme="minorHAnsi" w:cstheme="minorHAnsi"/>
        </w:rPr>
        <w:t xml:space="preserve">the </w:t>
      </w:r>
      <w:r w:rsidR="00067FDD">
        <w:rPr>
          <w:rFonts w:asciiTheme="minorHAnsi" w:hAnsiTheme="minorHAnsi" w:cstheme="minorHAnsi"/>
        </w:rPr>
        <w:t xml:space="preserve">proposed </w:t>
      </w:r>
      <w:r w:rsidR="0026773E">
        <w:rPr>
          <w:rFonts w:asciiTheme="minorHAnsi" w:hAnsiTheme="minorHAnsi" w:cstheme="minorHAnsi"/>
        </w:rPr>
        <w:t>Policy Framewo</w:t>
      </w:r>
      <w:r w:rsidR="003D67FC">
        <w:rPr>
          <w:rFonts w:asciiTheme="minorHAnsi" w:hAnsiTheme="minorHAnsi" w:cstheme="minorHAnsi"/>
        </w:rPr>
        <w:t>rk</w:t>
      </w:r>
      <w:r w:rsidR="00FA57BC">
        <w:rPr>
          <w:rFonts w:asciiTheme="minorHAnsi" w:hAnsiTheme="minorHAnsi" w:cstheme="minorHAnsi"/>
        </w:rPr>
        <w:t>.</w:t>
      </w:r>
    </w:p>
    <w:p w14:paraId="32E5AA68" w14:textId="77777777" w:rsidR="001103E2" w:rsidRPr="00E7027D" w:rsidRDefault="001103E2" w:rsidP="00D04A07">
      <w:pPr>
        <w:spacing w:line="240" w:lineRule="auto"/>
        <w:rPr>
          <w:i/>
        </w:rPr>
      </w:pPr>
    </w:p>
    <w:p w14:paraId="0AEE9E29" w14:textId="201ED07B" w:rsidR="00667E87" w:rsidRDefault="00216F30" w:rsidP="00874401">
      <w:pPr>
        <w:pStyle w:val="Heading2"/>
      </w:pPr>
      <w:bookmarkStart w:id="19" w:name="_Toc532215374"/>
      <w:bookmarkStart w:id="20" w:name="_Toc531880791"/>
      <w:r>
        <w:lastRenderedPageBreak/>
        <w:t>How to stay updated</w:t>
      </w:r>
      <w:bookmarkEnd w:id="19"/>
      <w:r>
        <w:t xml:space="preserve"> </w:t>
      </w:r>
      <w:bookmarkEnd w:id="20"/>
    </w:p>
    <w:p w14:paraId="2C40A86E" w14:textId="6B094CEC" w:rsidR="000826D0" w:rsidRDefault="00AA1BBD" w:rsidP="00D04A07">
      <w:pPr>
        <w:spacing w:line="240" w:lineRule="auto"/>
        <w:rPr>
          <w:rFonts w:asciiTheme="minorHAnsi" w:hAnsiTheme="minorHAnsi" w:cstheme="minorHAnsi"/>
        </w:rPr>
      </w:pPr>
      <w:r w:rsidRPr="00C26272">
        <w:rPr>
          <w:rFonts w:asciiTheme="minorHAnsi" w:hAnsiTheme="minorHAnsi" w:cstheme="minorHAnsi"/>
        </w:rPr>
        <w:t>The department wants to e</w:t>
      </w:r>
      <w:r w:rsidR="000826D0" w:rsidRPr="00C26272">
        <w:rPr>
          <w:rFonts w:asciiTheme="minorHAnsi" w:hAnsiTheme="minorHAnsi" w:cstheme="minorHAnsi"/>
        </w:rPr>
        <w:t>nsur</w:t>
      </w:r>
      <w:r w:rsidRPr="00C26272">
        <w:rPr>
          <w:rFonts w:asciiTheme="minorHAnsi" w:hAnsiTheme="minorHAnsi" w:cstheme="minorHAnsi"/>
        </w:rPr>
        <w:t>e</w:t>
      </w:r>
      <w:r w:rsidR="000826D0" w:rsidRPr="00C26272">
        <w:rPr>
          <w:rFonts w:asciiTheme="minorHAnsi" w:hAnsiTheme="minorHAnsi" w:cstheme="minorHAnsi"/>
        </w:rPr>
        <w:t xml:space="preserve"> all interested people and organisations are aware of the review</w:t>
      </w:r>
      <w:r>
        <w:rPr>
          <w:rFonts w:asciiTheme="minorHAnsi" w:hAnsiTheme="minorHAnsi" w:cstheme="minorHAnsi"/>
        </w:rPr>
        <w:t>, regularly receive information and progress updates</w:t>
      </w:r>
      <w:r w:rsidR="00067FD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know how and when to be involved in the consultation process</w:t>
      </w:r>
      <w:r w:rsidR="000826D0" w:rsidRPr="00C26272">
        <w:rPr>
          <w:rFonts w:asciiTheme="minorHAnsi" w:hAnsiTheme="minorHAnsi" w:cstheme="minorHAnsi"/>
        </w:rPr>
        <w:t>.</w:t>
      </w:r>
    </w:p>
    <w:p w14:paraId="044C9E46" w14:textId="15C0113D" w:rsidR="00AA1BBD" w:rsidRPr="00AC195E" w:rsidRDefault="00AA1BBD" w:rsidP="00D04A07">
      <w:pPr>
        <w:spacing w:line="240" w:lineRule="auto"/>
        <w:rPr>
          <w:rFonts w:asciiTheme="minorHAnsi" w:hAnsiTheme="minorHAnsi" w:cstheme="minorHAnsi"/>
        </w:rPr>
      </w:pPr>
      <w:r w:rsidRPr="00AC195E">
        <w:rPr>
          <w:rFonts w:asciiTheme="minorHAnsi" w:hAnsiTheme="minorHAnsi" w:cstheme="minorHAnsi"/>
        </w:rPr>
        <w:t>As an offshore safety stakeholder you can:</w:t>
      </w:r>
    </w:p>
    <w:p w14:paraId="7A45ECC1" w14:textId="60889ED7" w:rsidR="006E2A99" w:rsidRPr="00AC195E" w:rsidRDefault="006E2A99" w:rsidP="00AC195E">
      <w:pPr>
        <w:pStyle w:val="ListParagraph"/>
        <w:numPr>
          <w:ilvl w:val="0"/>
          <w:numId w:val="23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AC195E">
        <w:rPr>
          <w:rFonts w:asciiTheme="minorHAnsi" w:hAnsiTheme="minorHAnsi" w:cstheme="minorHAnsi"/>
        </w:rPr>
        <w:t xml:space="preserve">Indicate </w:t>
      </w:r>
      <w:r w:rsidR="00E62217" w:rsidRPr="00AC195E">
        <w:rPr>
          <w:rFonts w:asciiTheme="minorHAnsi" w:hAnsiTheme="minorHAnsi" w:cstheme="minorHAnsi"/>
        </w:rPr>
        <w:t xml:space="preserve">your </w:t>
      </w:r>
      <w:r w:rsidRPr="00AC195E">
        <w:rPr>
          <w:rFonts w:asciiTheme="minorHAnsi" w:hAnsiTheme="minorHAnsi" w:cstheme="minorHAnsi"/>
        </w:rPr>
        <w:t xml:space="preserve">particular interest in a topic and advise the department that </w:t>
      </w:r>
      <w:r w:rsidR="00AC195E" w:rsidRPr="00AC195E">
        <w:rPr>
          <w:rFonts w:asciiTheme="minorHAnsi" w:hAnsiTheme="minorHAnsi" w:cstheme="minorHAnsi"/>
        </w:rPr>
        <w:t>you</w:t>
      </w:r>
      <w:r w:rsidRPr="00AC195E">
        <w:rPr>
          <w:rFonts w:asciiTheme="minorHAnsi" w:hAnsiTheme="minorHAnsi" w:cstheme="minorHAnsi"/>
        </w:rPr>
        <w:t xml:space="preserve"> wish to be further engaged where appropriate.</w:t>
      </w:r>
    </w:p>
    <w:p w14:paraId="06878A7E" w14:textId="6DC24704" w:rsidR="002172E5" w:rsidRPr="00AC195E" w:rsidRDefault="00AA1BBD" w:rsidP="00AC195E">
      <w:pPr>
        <w:pStyle w:val="ListParagraph"/>
        <w:numPr>
          <w:ilvl w:val="0"/>
          <w:numId w:val="23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AC195E">
        <w:rPr>
          <w:rFonts w:asciiTheme="minorHAnsi" w:hAnsiTheme="minorHAnsi" w:cstheme="minorHAnsi"/>
        </w:rPr>
        <w:t xml:space="preserve">Provide the department with your email address to receive information on the review, meetings notes from Safety Stakeholder Group meetings and updates on </w:t>
      </w:r>
      <w:r w:rsidR="00AC195E" w:rsidRPr="00AC195E">
        <w:rPr>
          <w:rFonts w:asciiTheme="minorHAnsi" w:hAnsiTheme="minorHAnsi" w:cstheme="minorHAnsi"/>
        </w:rPr>
        <w:t xml:space="preserve">upcoming ways to </w:t>
      </w:r>
      <w:r w:rsidRPr="00AC195E">
        <w:rPr>
          <w:rFonts w:asciiTheme="minorHAnsi" w:hAnsiTheme="minorHAnsi" w:cstheme="minorHAnsi"/>
        </w:rPr>
        <w:t xml:space="preserve">be involved. </w:t>
      </w:r>
    </w:p>
    <w:p w14:paraId="5DCD5422" w14:textId="53A7279F" w:rsidR="002172E5" w:rsidRPr="00AC195E" w:rsidRDefault="00AA1BBD" w:rsidP="00AC195E">
      <w:pPr>
        <w:pStyle w:val="ListParagraph"/>
        <w:numPr>
          <w:ilvl w:val="0"/>
          <w:numId w:val="23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AC195E">
        <w:rPr>
          <w:rFonts w:asciiTheme="minorHAnsi" w:hAnsiTheme="minorHAnsi" w:cstheme="minorHAnsi"/>
        </w:rPr>
        <w:t xml:space="preserve">Contact your </w:t>
      </w:r>
      <w:r w:rsidR="002172E5" w:rsidRPr="00AC195E">
        <w:rPr>
          <w:rFonts w:asciiTheme="minorHAnsi" w:hAnsiTheme="minorHAnsi" w:cstheme="minorHAnsi"/>
        </w:rPr>
        <w:t>Safety Stakeholder Group</w:t>
      </w:r>
      <w:r w:rsidRPr="00AC195E">
        <w:rPr>
          <w:rFonts w:asciiTheme="minorHAnsi" w:hAnsiTheme="minorHAnsi" w:cstheme="minorHAnsi"/>
        </w:rPr>
        <w:t xml:space="preserve"> representative member or organisation to discuss any offshore safety related issue relevant to the review.</w:t>
      </w:r>
      <w:r w:rsidR="00E62217" w:rsidRPr="00AC195E">
        <w:rPr>
          <w:rFonts w:asciiTheme="minorHAnsi" w:hAnsiTheme="minorHAnsi" w:cstheme="minorHAnsi"/>
        </w:rPr>
        <w:t xml:space="preserve"> </w:t>
      </w:r>
      <w:r w:rsidR="00DE074F" w:rsidRPr="00AC195E">
        <w:rPr>
          <w:rFonts w:asciiTheme="minorHAnsi" w:hAnsiTheme="minorHAnsi" w:cstheme="minorHAnsi"/>
        </w:rPr>
        <w:t>The department will provide contact names and details for any representative on request</w:t>
      </w:r>
      <w:r w:rsidR="00AC195E" w:rsidRPr="00AC195E">
        <w:rPr>
          <w:rFonts w:asciiTheme="minorHAnsi" w:hAnsiTheme="minorHAnsi" w:cstheme="minorHAnsi"/>
        </w:rPr>
        <w:t>.</w:t>
      </w:r>
    </w:p>
    <w:p w14:paraId="3080B622" w14:textId="61C4DDB0" w:rsidR="000826D0" w:rsidRPr="00AC195E" w:rsidRDefault="00AA1BBD" w:rsidP="00AC195E">
      <w:pPr>
        <w:pStyle w:val="ListParagraph"/>
        <w:numPr>
          <w:ilvl w:val="0"/>
          <w:numId w:val="23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AC195E">
        <w:rPr>
          <w:rFonts w:asciiTheme="minorHAnsi" w:hAnsiTheme="minorHAnsi" w:cstheme="minorHAnsi"/>
        </w:rPr>
        <w:t xml:space="preserve">Subscribe to </w:t>
      </w:r>
      <w:r w:rsidR="000826D0" w:rsidRPr="00AC195E">
        <w:rPr>
          <w:rFonts w:asciiTheme="minorHAnsi" w:hAnsiTheme="minorHAnsi" w:cstheme="minorHAnsi"/>
        </w:rPr>
        <w:t>Australian Petroleum News</w:t>
      </w:r>
      <w:r w:rsidRPr="00AC195E">
        <w:rPr>
          <w:rFonts w:asciiTheme="minorHAnsi" w:hAnsiTheme="minorHAnsi" w:cstheme="minorHAnsi"/>
        </w:rPr>
        <w:t>, a departmental newsletter covering</w:t>
      </w:r>
      <w:r w:rsidR="000826D0" w:rsidRPr="00AC195E">
        <w:rPr>
          <w:rFonts w:asciiTheme="minorHAnsi" w:hAnsiTheme="minorHAnsi" w:cstheme="minorHAnsi"/>
        </w:rPr>
        <w:t xml:space="preserve"> </w:t>
      </w:r>
      <w:r w:rsidRPr="00AC195E">
        <w:rPr>
          <w:rFonts w:asciiTheme="minorHAnsi" w:hAnsiTheme="minorHAnsi" w:cstheme="minorHAnsi"/>
        </w:rPr>
        <w:t xml:space="preserve">offshore oil and gas matters, including offshore safety. </w:t>
      </w:r>
      <w:r w:rsidR="00E62217" w:rsidRPr="00AC195E">
        <w:rPr>
          <w:rFonts w:asciiTheme="minorHAnsi" w:hAnsiTheme="minorHAnsi" w:cstheme="minorHAnsi"/>
        </w:rPr>
        <w:t xml:space="preserve">Subscribe at </w:t>
      </w:r>
      <w:hyperlink r:id="rId23" w:history="1">
        <w:r w:rsidR="00E62217" w:rsidRPr="00AC195E">
          <w:rPr>
            <w:rStyle w:val="Hyperlink"/>
            <w:rFonts w:asciiTheme="minorHAnsi" w:hAnsiTheme="minorHAnsi" w:cstheme="minorHAnsi"/>
            <w:color w:val="auto"/>
          </w:rPr>
          <w:t>https://www.industry.gov.au/subscribe-to-australian-petroleum-news</w:t>
        </w:r>
      </w:hyperlink>
      <w:r w:rsidR="00E62217" w:rsidRPr="00AC195E">
        <w:rPr>
          <w:rFonts w:asciiTheme="minorHAnsi" w:hAnsiTheme="minorHAnsi" w:cstheme="minorHAnsi"/>
        </w:rPr>
        <w:t xml:space="preserve"> </w:t>
      </w:r>
    </w:p>
    <w:p w14:paraId="54D806D3" w14:textId="5A7FECA6" w:rsidR="000826D0" w:rsidRPr="00F657FF" w:rsidRDefault="00AA1BBD" w:rsidP="00AC195E">
      <w:pPr>
        <w:pStyle w:val="ListParagraph"/>
        <w:numPr>
          <w:ilvl w:val="0"/>
          <w:numId w:val="23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F657FF">
        <w:rPr>
          <w:rFonts w:asciiTheme="minorHAnsi" w:hAnsiTheme="minorHAnsi" w:cstheme="minorHAnsi"/>
          <w:color w:val="000000" w:themeColor="text1"/>
        </w:rPr>
        <w:t xml:space="preserve">Follow </w:t>
      </w:r>
      <w:r w:rsidR="00BC572D" w:rsidRPr="00F657FF">
        <w:rPr>
          <w:rFonts w:asciiTheme="minorHAnsi" w:hAnsiTheme="minorHAnsi" w:cstheme="minorHAnsi"/>
          <w:color w:val="000000" w:themeColor="text1"/>
        </w:rPr>
        <w:t>the department on Twitter</w:t>
      </w:r>
      <w:r w:rsidR="000826D0" w:rsidRPr="00F657FF">
        <w:rPr>
          <w:rFonts w:asciiTheme="minorHAnsi" w:hAnsiTheme="minorHAnsi" w:cstheme="minorHAnsi"/>
          <w:color w:val="000000" w:themeColor="text1"/>
        </w:rPr>
        <w:t xml:space="preserve"> (@ResourcesGovAu)</w:t>
      </w:r>
      <w:r w:rsidR="003B41DC" w:rsidRPr="00F657FF">
        <w:rPr>
          <w:rFonts w:asciiTheme="minorHAnsi" w:hAnsiTheme="minorHAnsi" w:cstheme="minorHAnsi"/>
          <w:color w:val="000000" w:themeColor="text1"/>
        </w:rPr>
        <w:t>.</w:t>
      </w:r>
    </w:p>
    <w:p w14:paraId="303D010D" w14:textId="1CC40063" w:rsidR="00BC572D" w:rsidRPr="00F657FF" w:rsidRDefault="00BC572D" w:rsidP="00AC195E">
      <w:pPr>
        <w:pStyle w:val="ListParagraph"/>
        <w:spacing w:line="240" w:lineRule="auto"/>
        <w:ind w:left="714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F657FF">
        <w:rPr>
          <w:rFonts w:asciiTheme="minorHAnsi" w:hAnsiTheme="minorHAnsi" w:cstheme="minorHAnsi"/>
          <w:color w:val="000000" w:themeColor="text1"/>
        </w:rPr>
        <w:t xml:space="preserve">Visit the department’s </w:t>
      </w:r>
      <w:hyperlink r:id="rId24" w:history="1">
        <w:r w:rsidRPr="00F657FF">
          <w:rPr>
            <w:rStyle w:val="Hyperlink"/>
            <w:rFonts w:asciiTheme="minorHAnsi" w:hAnsiTheme="minorHAnsi" w:cstheme="minorHAnsi"/>
            <w:color w:val="000000" w:themeColor="text1"/>
          </w:rPr>
          <w:t>website</w:t>
        </w:r>
      </w:hyperlink>
      <w:r w:rsidRPr="00F657FF">
        <w:rPr>
          <w:rStyle w:val="Hyperlink"/>
          <w:rFonts w:asciiTheme="minorHAnsi" w:hAnsiTheme="minorHAnsi" w:cstheme="minorHAnsi"/>
          <w:color w:val="000000" w:themeColor="text1"/>
        </w:rPr>
        <w:t xml:space="preserve"> </w:t>
      </w:r>
      <w:r w:rsidRPr="00F657FF">
        <w:rPr>
          <w:rFonts w:asciiTheme="minorHAnsi" w:hAnsiTheme="minorHAnsi" w:cstheme="minorHAnsi"/>
          <w:color w:val="000000" w:themeColor="text1"/>
        </w:rPr>
        <w:t>to access k</w:t>
      </w:r>
      <w:r w:rsidR="00996F12" w:rsidRPr="00F657FF">
        <w:rPr>
          <w:rFonts w:asciiTheme="minorHAnsi" w:hAnsiTheme="minorHAnsi" w:cstheme="minorHAnsi"/>
          <w:color w:val="000000" w:themeColor="text1"/>
        </w:rPr>
        <w:t>ey documents, SSG meeting notes and consultation papers</w:t>
      </w:r>
      <w:r w:rsidRPr="00F657FF">
        <w:rPr>
          <w:rFonts w:asciiTheme="minorHAnsi" w:hAnsiTheme="minorHAnsi" w:cstheme="minorHAnsi"/>
          <w:color w:val="000000" w:themeColor="text1"/>
        </w:rPr>
        <w:t>.</w:t>
      </w:r>
    </w:p>
    <w:p w14:paraId="7503080E" w14:textId="173B939B" w:rsidR="00AC195E" w:rsidRPr="00F657FF" w:rsidRDefault="00AC195E" w:rsidP="00AC195E">
      <w:pPr>
        <w:pStyle w:val="ListParagraph"/>
        <w:spacing w:line="240" w:lineRule="auto"/>
        <w:ind w:left="714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F657FF">
        <w:rPr>
          <w:rFonts w:asciiTheme="minorHAnsi" w:hAnsiTheme="minorHAnsi" w:cstheme="minorHAnsi"/>
          <w:color w:val="000000" w:themeColor="text1"/>
        </w:rPr>
        <w:t xml:space="preserve">Contact the department with your query on any of the above methods of involvement or another matter relating to the Offshore Safety Review by emailing us at: </w:t>
      </w:r>
      <w:hyperlink r:id="rId25" w:history="1">
        <w:r w:rsidRPr="00F657FF">
          <w:rPr>
            <w:rStyle w:val="Hyperlink"/>
            <w:rFonts w:asciiTheme="minorHAnsi" w:hAnsiTheme="minorHAnsi" w:cstheme="minorHAnsi"/>
            <w:color w:val="000000" w:themeColor="text1"/>
          </w:rPr>
          <w:t>Offshore.Regulations@industry.gov.au.</w:t>
        </w:r>
      </w:hyperlink>
    </w:p>
    <w:p w14:paraId="050147CF" w14:textId="77777777" w:rsidR="00597EAC" w:rsidRDefault="00597EAC" w:rsidP="00D04A07">
      <w:pPr>
        <w:spacing w:line="240" w:lineRule="auto"/>
        <w:rPr>
          <w:rFonts w:asciiTheme="minorHAnsi" w:hAnsiTheme="minorHAnsi" w:cstheme="minorHAnsi"/>
        </w:rPr>
      </w:pPr>
    </w:p>
    <w:p w14:paraId="52562C4E" w14:textId="0E3023C1" w:rsidR="00D45EA5" w:rsidRDefault="00D45EA5" w:rsidP="00D04A07">
      <w:pPr>
        <w:spacing w:line="240" w:lineRule="auto"/>
        <w:rPr>
          <w:rFonts w:asciiTheme="minorHAnsi" w:hAnsiTheme="minorHAnsi" w:cstheme="minorHAnsi"/>
        </w:rPr>
      </w:pPr>
    </w:p>
    <w:p w14:paraId="1194A2A4" w14:textId="77777777" w:rsidR="00D45EA5" w:rsidRDefault="00D45EA5" w:rsidP="00D04A07">
      <w:pPr>
        <w:spacing w:line="240" w:lineRule="auto"/>
        <w:rPr>
          <w:rFonts w:asciiTheme="minorHAnsi" w:hAnsiTheme="minorHAnsi" w:cstheme="minorHAnsi"/>
        </w:rPr>
      </w:pPr>
    </w:p>
    <w:p w14:paraId="10413EB4" w14:textId="77777777" w:rsidR="00D45EA5" w:rsidRDefault="00D45EA5" w:rsidP="00D04A07">
      <w:pPr>
        <w:spacing w:line="240" w:lineRule="auto"/>
        <w:rPr>
          <w:rFonts w:asciiTheme="minorHAnsi" w:hAnsiTheme="minorHAnsi" w:cstheme="minorHAnsi"/>
        </w:rPr>
        <w:sectPr w:rsidR="00D45EA5" w:rsidSect="007240FE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A4A3668" w14:textId="176EC9D2" w:rsidR="00D45EA5" w:rsidRDefault="00D45EA5" w:rsidP="00B75136">
      <w:pPr>
        <w:spacing w:before="0" w:after="0" w:line="240" w:lineRule="auto"/>
        <w:rPr>
          <w:rFonts w:asciiTheme="minorHAnsi" w:hAnsiTheme="minorHAnsi" w:cstheme="minorHAnsi"/>
        </w:rPr>
      </w:pPr>
      <w:bookmarkStart w:id="21" w:name="_GoBack"/>
      <w:bookmarkEnd w:id="21"/>
    </w:p>
    <w:p w14:paraId="13CEABBA" w14:textId="77777777" w:rsidR="00D45EA5" w:rsidRDefault="00D45EA5" w:rsidP="00B75136">
      <w:pPr>
        <w:spacing w:before="0" w:after="0" w:line="240" w:lineRule="auto"/>
        <w:rPr>
          <w:rFonts w:asciiTheme="minorHAnsi" w:hAnsiTheme="minorHAnsi" w:cstheme="minorHAnsi"/>
        </w:rPr>
      </w:pPr>
    </w:p>
    <w:p w14:paraId="4CF53271" w14:textId="59595241" w:rsidR="00D45EA5" w:rsidRPr="004817A4" w:rsidRDefault="004817A4" w:rsidP="00B75136">
      <w:pPr>
        <w:spacing w:before="0" w:after="0" w:line="240" w:lineRule="auto"/>
        <w:rPr>
          <w:rFonts w:asciiTheme="minorHAnsi" w:hAnsiTheme="minorHAnsi" w:cstheme="minorHAnsi"/>
          <w:b/>
        </w:rPr>
      </w:pPr>
      <w:r w:rsidRPr="004817A4">
        <w:rPr>
          <w:rFonts w:asciiTheme="minorHAnsi" w:hAnsiTheme="minorHAnsi" w:cstheme="minorHAnsi"/>
          <w:b/>
        </w:rPr>
        <w:t xml:space="preserve">Offshore Petroleum Safety Review – Summary </w:t>
      </w:r>
      <w:r w:rsidR="00A768A8">
        <w:rPr>
          <w:rFonts w:asciiTheme="minorHAnsi" w:hAnsiTheme="minorHAnsi" w:cstheme="minorHAnsi"/>
          <w:b/>
        </w:rPr>
        <w:t>t</w:t>
      </w:r>
      <w:r w:rsidRPr="004817A4">
        <w:rPr>
          <w:rFonts w:asciiTheme="minorHAnsi" w:hAnsiTheme="minorHAnsi" w:cstheme="minorHAnsi"/>
          <w:b/>
        </w:rPr>
        <w:t>able of consultation mechanisms</w:t>
      </w:r>
    </w:p>
    <w:p w14:paraId="27BE1A77" w14:textId="77777777" w:rsidR="00EB71FC" w:rsidRDefault="00EB71FC" w:rsidP="00B75136">
      <w:pPr>
        <w:spacing w:before="0" w:after="0" w:line="240" w:lineRule="auto"/>
        <w:rPr>
          <w:rFonts w:asciiTheme="minorHAnsi" w:hAnsiTheme="minorHAnsi" w:cstheme="minorHAnsi"/>
        </w:r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  <w:tblCaption w:val="Summary table to consultation mechanisms"/>
        <w:tblDescription w:val="This table lists mechanisms, audiences, timing and promotion activities."/>
      </w:tblPr>
      <w:tblGrid>
        <w:gridCol w:w="3487"/>
        <w:gridCol w:w="3487"/>
        <w:gridCol w:w="3487"/>
        <w:gridCol w:w="3487"/>
      </w:tblGrid>
      <w:tr w:rsidR="00723B1D" w14:paraId="53394CC3" w14:textId="77777777" w:rsidTr="00891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16F7F81" w14:textId="701BE44F" w:rsidR="00723B1D" w:rsidRDefault="00723B1D" w:rsidP="00B7513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Consultation Mechanism</w:t>
            </w:r>
          </w:p>
        </w:tc>
        <w:tc>
          <w:tcPr>
            <w:tcW w:w="1250" w:type="pct"/>
          </w:tcPr>
          <w:p w14:paraId="4D7B3754" w14:textId="79129206" w:rsidR="00723B1D" w:rsidRDefault="00723B1D" w:rsidP="00B7513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Audience </w:t>
            </w:r>
          </w:p>
        </w:tc>
        <w:tc>
          <w:tcPr>
            <w:tcW w:w="1250" w:type="pct"/>
          </w:tcPr>
          <w:p w14:paraId="0B066597" w14:textId="5878DC9A" w:rsidR="00723B1D" w:rsidRDefault="00723B1D" w:rsidP="00B7513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Timing </w:t>
            </w:r>
          </w:p>
        </w:tc>
        <w:tc>
          <w:tcPr>
            <w:tcW w:w="1250" w:type="pct"/>
          </w:tcPr>
          <w:p w14:paraId="0F73FDB1" w14:textId="2FB3D37E" w:rsidR="00723B1D" w:rsidRDefault="00723B1D" w:rsidP="00B7513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Promotion </w:t>
            </w:r>
          </w:p>
        </w:tc>
      </w:tr>
      <w:tr w:rsidR="00723B1D" w14:paraId="43718A7C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6FE14A4" w14:textId="77777777" w:rsidR="00723B1D" w:rsidRDefault="00723B1D" w:rsidP="00B7513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Workshops </w:t>
            </w:r>
          </w:p>
          <w:p w14:paraId="5842C9A7" w14:textId="20C5508F" w:rsidR="001C1DB0" w:rsidRDefault="001C1DB0" w:rsidP="00B7513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</w:tcPr>
          <w:p w14:paraId="153EEC54" w14:textId="68E07523" w:rsidR="00723B1D" w:rsidRDefault="00102365" w:rsidP="0010236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offshore safety</w:t>
            </w:r>
            <w:r w:rsidR="00723B1D">
              <w:rPr>
                <w:rFonts w:asciiTheme="minorHAnsi" w:hAnsiTheme="minorHAnsi" w:cstheme="minorHAnsi"/>
              </w:rPr>
              <w:t xml:space="preserve"> stakeholders</w:t>
            </w:r>
          </w:p>
        </w:tc>
        <w:tc>
          <w:tcPr>
            <w:tcW w:w="1250" w:type="pct"/>
          </w:tcPr>
          <w:p w14:paraId="29FD1222" w14:textId="791EFAB2" w:rsidR="00723B1D" w:rsidRDefault="00723B1D" w:rsidP="00B7513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August &amp; October 2018 </w:t>
            </w:r>
          </w:p>
        </w:tc>
        <w:tc>
          <w:tcPr>
            <w:tcW w:w="1250" w:type="pct"/>
          </w:tcPr>
          <w:p w14:paraId="6CAD5DFE" w14:textId="6CBF85C4" w:rsidR="00723B1D" w:rsidRDefault="00723B1D" w:rsidP="00B7513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Email, APN, website, twitter</w:t>
            </w:r>
          </w:p>
        </w:tc>
      </w:tr>
      <w:tr w:rsidR="00723B1D" w14:paraId="681B8712" w14:textId="77777777" w:rsidTr="00723B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5DA8EB6" w14:textId="4B1CE598" w:rsidR="00723B1D" w:rsidRDefault="00723B1D" w:rsidP="00EB71FC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Safety Stakeholder Group </w:t>
            </w:r>
          </w:p>
        </w:tc>
        <w:tc>
          <w:tcPr>
            <w:tcW w:w="1250" w:type="pct"/>
          </w:tcPr>
          <w:p w14:paraId="5CA1C9E3" w14:textId="4B7A4FD6" w:rsidR="00723B1D" w:rsidRDefault="00723B1D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 stakeholder groups</w:t>
            </w:r>
          </w:p>
        </w:tc>
        <w:tc>
          <w:tcPr>
            <w:tcW w:w="1250" w:type="pct"/>
          </w:tcPr>
          <w:p w14:paraId="45CAE75A" w14:textId="14B53B6A" w:rsidR="00723B1D" w:rsidRDefault="00723B1D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Meetings every two months</w:t>
            </w:r>
          </w:p>
        </w:tc>
        <w:tc>
          <w:tcPr>
            <w:tcW w:w="1250" w:type="pct"/>
          </w:tcPr>
          <w:p w14:paraId="141A3207" w14:textId="20ADE10F" w:rsidR="00723B1D" w:rsidRDefault="00723B1D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notes published on website and emailed to interested stakeholders, SSG members</w:t>
            </w:r>
          </w:p>
        </w:tc>
      </w:tr>
      <w:tr w:rsidR="00723B1D" w14:paraId="1704F2A5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5A6CEEF" w14:textId="13FBF36A" w:rsidR="00723B1D" w:rsidRDefault="00723B1D" w:rsidP="00EB71FC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Targeted Meetings </w:t>
            </w:r>
          </w:p>
          <w:p w14:paraId="0319B14F" w14:textId="77777777" w:rsidR="00723B1D" w:rsidRDefault="00723B1D" w:rsidP="00B7513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</w:tcPr>
          <w:p w14:paraId="0BB3C92B" w14:textId="533500E7" w:rsidR="00723B1D" w:rsidRDefault="00723B1D" w:rsidP="00B7513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 stakeholder groups</w:t>
            </w:r>
          </w:p>
        </w:tc>
        <w:tc>
          <w:tcPr>
            <w:tcW w:w="1250" w:type="pct"/>
          </w:tcPr>
          <w:p w14:paraId="0B392336" w14:textId="52B5E954" w:rsidR="00723B1D" w:rsidRDefault="00723B1D" w:rsidP="00B7513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Q1-Q4 2019</w:t>
            </w:r>
          </w:p>
        </w:tc>
        <w:tc>
          <w:tcPr>
            <w:tcW w:w="1250" w:type="pct"/>
          </w:tcPr>
          <w:p w14:paraId="2A0875A6" w14:textId="55438BFC" w:rsidR="00723B1D" w:rsidRDefault="00723B1D" w:rsidP="00B7513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SSG members, emails, word-of-mouth, </w:t>
            </w:r>
          </w:p>
        </w:tc>
      </w:tr>
      <w:tr w:rsidR="00723B1D" w14:paraId="6CC6C45F" w14:textId="77777777" w:rsidTr="00723B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C884E4B" w14:textId="162C9F7C" w:rsidR="00723B1D" w:rsidRDefault="00723B1D" w:rsidP="00EB71FC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Online </w:t>
            </w:r>
            <w:r w:rsidR="003B41DC">
              <w:rPr>
                <w:rFonts w:asciiTheme="minorHAnsi" w:hAnsiTheme="minorHAnsi" w:cstheme="minorHAnsi"/>
              </w:rPr>
              <w:t>Surveys</w:t>
            </w:r>
          </w:p>
          <w:p w14:paraId="06EBFF89" w14:textId="77777777" w:rsidR="00723B1D" w:rsidRDefault="00723B1D" w:rsidP="00B7513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</w:tcPr>
          <w:p w14:paraId="26B6E943" w14:textId="3BA7C456" w:rsidR="00723B1D" w:rsidRDefault="00723B1D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Workforce, contractors</w:t>
            </w:r>
          </w:p>
        </w:tc>
        <w:tc>
          <w:tcPr>
            <w:tcW w:w="1250" w:type="pct"/>
          </w:tcPr>
          <w:p w14:paraId="521F758C" w14:textId="6A7DAA8D" w:rsidR="00723B1D" w:rsidRDefault="003B41DC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</w:t>
            </w:r>
            <w:r w:rsidR="00723B1D">
              <w:rPr>
                <w:rFonts w:asciiTheme="minorHAnsi" w:hAnsiTheme="minorHAnsi" w:cstheme="minorHAnsi"/>
              </w:rPr>
              <w:t xml:space="preserve"> needed, 2019</w:t>
            </w:r>
          </w:p>
        </w:tc>
        <w:tc>
          <w:tcPr>
            <w:tcW w:w="1250" w:type="pct"/>
          </w:tcPr>
          <w:p w14:paraId="1BED5D45" w14:textId="2AE2DBBA" w:rsidR="00723B1D" w:rsidRDefault="00723B1D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Email, word-of-mouth, SSG, stakeholder groups, emails, APN, twitter</w:t>
            </w:r>
          </w:p>
        </w:tc>
      </w:tr>
      <w:tr w:rsidR="00723B1D" w14:paraId="6AEBB8C2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12A4972" w14:textId="77777777" w:rsidR="00723B1D" w:rsidRDefault="00723B1D" w:rsidP="00EB71FC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Public consultations </w:t>
            </w:r>
          </w:p>
          <w:p w14:paraId="206864BA" w14:textId="77777777" w:rsidR="00723B1D" w:rsidRDefault="00723B1D" w:rsidP="00B7513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</w:tcPr>
          <w:p w14:paraId="5FED02EB" w14:textId="2DD9EDF5" w:rsidR="00723B1D" w:rsidRDefault="00102365" w:rsidP="00B7513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offshore safety stakeholders</w:t>
            </w:r>
          </w:p>
        </w:tc>
        <w:tc>
          <w:tcPr>
            <w:tcW w:w="1250" w:type="pct"/>
          </w:tcPr>
          <w:p w14:paraId="2295D8ED" w14:textId="7A8668BE" w:rsidR="00723B1D" w:rsidRDefault="00723B1D" w:rsidP="00B7513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Q2-4 2019</w:t>
            </w:r>
          </w:p>
        </w:tc>
        <w:tc>
          <w:tcPr>
            <w:tcW w:w="1250" w:type="pct"/>
          </w:tcPr>
          <w:p w14:paraId="69AFB09F" w14:textId="460EBF2E" w:rsidR="00723B1D" w:rsidRDefault="00723B1D" w:rsidP="00B7513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Email, </w:t>
            </w:r>
            <w:r w:rsidR="00102365">
              <w:rPr>
                <w:rFonts w:asciiTheme="minorHAnsi" w:hAnsiTheme="minorHAnsi" w:cstheme="minorHAnsi"/>
              </w:rPr>
              <w:t>word-of-mouth, website, SSG, targeted meetings, APN, twitter, d</w:t>
            </w:r>
            <w:r>
              <w:rPr>
                <w:rFonts w:asciiTheme="minorHAnsi" w:hAnsiTheme="minorHAnsi" w:cstheme="minorHAnsi"/>
              </w:rPr>
              <w:t>epartment’s Consultation Hub</w:t>
            </w:r>
          </w:p>
        </w:tc>
      </w:tr>
      <w:tr w:rsidR="00723B1D" w14:paraId="62A35FFD" w14:textId="77777777" w:rsidTr="00723B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E9BABA6" w14:textId="77777777" w:rsidR="00723B1D" w:rsidRDefault="00723B1D" w:rsidP="00EB71FC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Dissemination of information </w:t>
            </w:r>
          </w:p>
          <w:p w14:paraId="6773E3CF" w14:textId="77777777" w:rsidR="00723B1D" w:rsidRDefault="00723B1D" w:rsidP="00B7513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</w:tcPr>
          <w:p w14:paraId="63F77B6D" w14:textId="6497FE33" w:rsidR="00723B1D" w:rsidRDefault="00102365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offshore safety stakeholders</w:t>
            </w:r>
          </w:p>
        </w:tc>
        <w:tc>
          <w:tcPr>
            <w:tcW w:w="1250" w:type="pct"/>
          </w:tcPr>
          <w:p w14:paraId="2846EEC6" w14:textId="7FC2D429" w:rsidR="00723B1D" w:rsidRDefault="00723B1D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Throughout Review</w:t>
            </w:r>
          </w:p>
        </w:tc>
        <w:tc>
          <w:tcPr>
            <w:tcW w:w="1250" w:type="pct"/>
          </w:tcPr>
          <w:p w14:paraId="7474ED0E" w14:textId="77777777" w:rsidR="00723B1D" w:rsidRDefault="00723B1D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APN, email, website updates, twitter</w:t>
            </w:r>
          </w:p>
          <w:p w14:paraId="4442E42B" w14:textId="5ADA1A27" w:rsidR="00723B1D" w:rsidRDefault="00723B1D" w:rsidP="00B75136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SSG to their members/communities </w:t>
            </w:r>
          </w:p>
        </w:tc>
      </w:tr>
    </w:tbl>
    <w:p w14:paraId="73DB8772" w14:textId="77777777" w:rsidR="00EB71FC" w:rsidRPr="00173AA7" w:rsidRDefault="00EB71FC" w:rsidP="00B75136">
      <w:pPr>
        <w:spacing w:before="0" w:after="0" w:line="240" w:lineRule="auto"/>
        <w:rPr>
          <w:rFonts w:asciiTheme="minorHAnsi" w:hAnsiTheme="minorHAnsi" w:cstheme="minorHAnsi"/>
        </w:rPr>
      </w:pPr>
    </w:p>
    <w:sectPr w:rsidR="00EB71FC" w:rsidRPr="00173AA7" w:rsidSect="00D45EA5"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6D03E" w14:textId="77777777" w:rsidR="001C1DB0" w:rsidRDefault="001C1DB0" w:rsidP="007240FE">
      <w:pPr>
        <w:spacing w:before="0" w:after="0" w:line="240" w:lineRule="auto"/>
      </w:pPr>
      <w:r>
        <w:separator/>
      </w:r>
    </w:p>
  </w:endnote>
  <w:endnote w:type="continuationSeparator" w:id="0">
    <w:p w14:paraId="410C4376" w14:textId="77777777" w:rsidR="001C1DB0" w:rsidRDefault="001C1DB0" w:rsidP="007240FE">
      <w:pPr>
        <w:spacing w:before="0" w:after="0" w:line="240" w:lineRule="auto"/>
      </w:pPr>
      <w:r>
        <w:continuationSeparator/>
      </w:r>
    </w:p>
  </w:endnote>
  <w:endnote w:type="continuationNotice" w:id="1">
    <w:p w14:paraId="1A02BA61" w14:textId="77777777" w:rsidR="001C1DB0" w:rsidRDefault="001C1D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FDC59" w14:textId="77777777" w:rsidR="005A6691" w:rsidRDefault="005A66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DE2C0" w14:textId="5D60FB68" w:rsidR="001C1DB0" w:rsidRDefault="001C1DB0">
    <w:pPr>
      <w:pStyle w:val="Footer"/>
      <w:jc w:val="right"/>
    </w:pPr>
    <w:r>
      <w:t xml:space="preserve">Offshore Petroleum Safety Review Consultation Plan     </w:t>
    </w:r>
    <w:r>
      <w:tab/>
    </w:r>
    <w:r>
      <w:tab/>
    </w:r>
    <w:sdt>
      <w:sdtPr>
        <w:id w:val="-9583378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911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14:paraId="7740C979" w14:textId="38673E41" w:rsidR="001C1DB0" w:rsidRDefault="00053266" w:rsidP="00053266">
    <w:pPr>
      <w:pStyle w:val="Footer"/>
      <w:jc w:val="right"/>
    </w:pPr>
    <w:r>
      <w:t>industry.gov.au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CA873" w14:textId="055A31D5" w:rsidR="001C1DB0" w:rsidRDefault="001C1DB0">
    <w:pPr>
      <w:pStyle w:val="Footer"/>
      <w:jc w:val="right"/>
    </w:pPr>
    <w:r>
      <w:t xml:space="preserve">Offshore Petroleum Safety Review Consultation Plan </w:t>
    </w:r>
    <w:r>
      <w:tab/>
    </w:r>
    <w:r>
      <w:tab/>
    </w:r>
    <w:sdt>
      <w:sdtPr>
        <w:id w:val="9103483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911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14:paraId="46D6F95A" w14:textId="75224A3A" w:rsidR="001C1DB0" w:rsidRDefault="00053266" w:rsidP="00053266">
    <w:pPr>
      <w:pStyle w:val="Footer"/>
      <w:jc w:val="right"/>
    </w:pPr>
    <w:r>
      <w:t>industry.gov.au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3A92E" w14:textId="77777777" w:rsidR="001C1DB0" w:rsidRDefault="001C1DB0" w:rsidP="007240FE">
      <w:pPr>
        <w:spacing w:before="0" w:after="0" w:line="240" w:lineRule="auto"/>
      </w:pPr>
      <w:r>
        <w:separator/>
      </w:r>
    </w:p>
  </w:footnote>
  <w:footnote w:type="continuationSeparator" w:id="0">
    <w:p w14:paraId="000D0B74" w14:textId="77777777" w:rsidR="001C1DB0" w:rsidRDefault="001C1DB0" w:rsidP="007240FE">
      <w:pPr>
        <w:spacing w:before="0" w:after="0" w:line="240" w:lineRule="auto"/>
      </w:pPr>
      <w:r>
        <w:continuationSeparator/>
      </w:r>
    </w:p>
  </w:footnote>
  <w:footnote w:type="continuationNotice" w:id="1">
    <w:p w14:paraId="4B816F19" w14:textId="77777777" w:rsidR="001C1DB0" w:rsidRDefault="001C1DB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14641" w14:textId="161109BA" w:rsidR="005A6691" w:rsidRDefault="005A6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8532F" w14:textId="26AEEC81" w:rsidR="001C1DB0" w:rsidRDefault="001C1DB0">
    <w:pPr>
      <w:pStyle w:val="Header"/>
    </w:pPr>
  </w:p>
  <w:p w14:paraId="613BE360" w14:textId="77777777" w:rsidR="001C1DB0" w:rsidRDefault="001C1D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5032" w14:textId="2C8F71E4" w:rsidR="001C1DB0" w:rsidRDefault="001C1DB0" w:rsidP="007240FE">
    <w:pPr>
      <w:pStyle w:val="Header"/>
      <w:spacing w:after="240"/>
    </w:pPr>
    <w:r w:rsidRPr="00180BF8">
      <w:rPr>
        <w:noProof/>
        <w:lang w:eastAsia="en-AU"/>
      </w:rPr>
      <w:drawing>
        <wp:inline distT="0" distB="0" distL="0" distR="0" wp14:anchorId="5C769D8C" wp14:editId="4D86E018">
          <wp:extent cx="2448560" cy="727710"/>
          <wp:effectExtent l="0" t="0" r="8890" b="0"/>
          <wp:docPr id="5" name="Picture 5" descr="Australian Government | Department of Industry, Innovation and Science logo&#10;" title="Australian Government | Department of Industry, Innovation and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IS-header-te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8560" cy="727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2C7D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AEB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B4C9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AE2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AED9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F05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803066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Courier New" w:hAnsi="Courier New" w:hint="default"/>
        <w:color w:val="005677" w:themeColor="accent1"/>
      </w:rPr>
    </w:lvl>
  </w:abstractNum>
  <w:abstractNum w:abstractNumId="8" w15:restartNumberingAfterBreak="0">
    <w:nsid w:val="FFFFFF88"/>
    <w:multiLevelType w:val="singleLevel"/>
    <w:tmpl w:val="85082DC6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F2D2F0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abstractNum w:abstractNumId="10" w15:restartNumberingAfterBreak="0">
    <w:nsid w:val="05111E7D"/>
    <w:multiLevelType w:val="hybridMultilevel"/>
    <w:tmpl w:val="D67A8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54948"/>
    <w:multiLevelType w:val="hybridMultilevel"/>
    <w:tmpl w:val="0F381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E2756"/>
    <w:multiLevelType w:val="hybridMultilevel"/>
    <w:tmpl w:val="85F0EABE"/>
    <w:lvl w:ilvl="0" w:tplc="03B0D28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A2DAB"/>
    <w:multiLevelType w:val="hybridMultilevel"/>
    <w:tmpl w:val="630C32AA"/>
    <w:lvl w:ilvl="0" w:tplc="68E6D7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05677" w:themeColor="accent1"/>
      </w:rPr>
    </w:lvl>
    <w:lvl w:ilvl="1" w:tplc="21E8437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005677" w:themeColor="accen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E65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0C3"/>
    <w:multiLevelType w:val="hybridMultilevel"/>
    <w:tmpl w:val="B0761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C66DB"/>
    <w:multiLevelType w:val="hybridMultilevel"/>
    <w:tmpl w:val="6A2A5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87333"/>
    <w:multiLevelType w:val="hybridMultilevel"/>
    <w:tmpl w:val="71FA1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86DA5"/>
    <w:multiLevelType w:val="hybridMultilevel"/>
    <w:tmpl w:val="2DD0F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03F08"/>
    <w:multiLevelType w:val="hybridMultilevel"/>
    <w:tmpl w:val="8D6E56C6"/>
    <w:lvl w:ilvl="0" w:tplc="19BE00B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5677" w:themeColor="accent1"/>
      </w:rPr>
    </w:lvl>
    <w:lvl w:ilvl="1" w:tplc="21E8437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005677" w:themeColor="accen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F6B97"/>
    <w:multiLevelType w:val="hybridMultilevel"/>
    <w:tmpl w:val="AEA21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77C30"/>
    <w:multiLevelType w:val="hybridMultilevel"/>
    <w:tmpl w:val="3ACAA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C49BA"/>
    <w:multiLevelType w:val="hybridMultilevel"/>
    <w:tmpl w:val="55CE27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21DDC"/>
    <w:multiLevelType w:val="hybridMultilevel"/>
    <w:tmpl w:val="595ECC40"/>
    <w:lvl w:ilvl="0" w:tplc="DC400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  <w:num w:numId="17">
    <w:abstractNumId w:val="20"/>
  </w:num>
  <w:num w:numId="18">
    <w:abstractNumId w:val="15"/>
  </w:num>
  <w:num w:numId="19">
    <w:abstractNumId w:val="16"/>
  </w:num>
  <w:num w:numId="20">
    <w:abstractNumId w:val="10"/>
  </w:num>
  <w:num w:numId="21">
    <w:abstractNumId w:val="18"/>
  </w:num>
  <w:num w:numId="22">
    <w:abstractNumId w:val="23"/>
  </w:num>
  <w:num w:numId="23">
    <w:abstractNumId w:val="17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smVmIU8p1FWrEXX4+ohH6SdGrRhS0JE/7AwTEgKL17p2dhwd1xFeoU198aaSl+G6+o7DbAkxD3Eu1oxtLKNZtg==" w:salt="cbghbKrUIkS+sV5wRLAgxw=="/>
  <w:defaultTabStop w:val="720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85"/>
    <w:rsid w:val="000108C0"/>
    <w:rsid w:val="00024C4B"/>
    <w:rsid w:val="00040232"/>
    <w:rsid w:val="000403AD"/>
    <w:rsid w:val="00042291"/>
    <w:rsid w:val="00042701"/>
    <w:rsid w:val="00053266"/>
    <w:rsid w:val="000565CA"/>
    <w:rsid w:val="00057C9E"/>
    <w:rsid w:val="00067FDD"/>
    <w:rsid w:val="000733F8"/>
    <w:rsid w:val="000826D0"/>
    <w:rsid w:val="0009686C"/>
    <w:rsid w:val="000D63C5"/>
    <w:rsid w:val="000F5D7B"/>
    <w:rsid w:val="000F5DD4"/>
    <w:rsid w:val="00102365"/>
    <w:rsid w:val="0010430C"/>
    <w:rsid w:val="001103E2"/>
    <w:rsid w:val="00117696"/>
    <w:rsid w:val="00136D4F"/>
    <w:rsid w:val="00156D62"/>
    <w:rsid w:val="00157609"/>
    <w:rsid w:val="00163F85"/>
    <w:rsid w:val="00167E9E"/>
    <w:rsid w:val="00173AA7"/>
    <w:rsid w:val="001768A9"/>
    <w:rsid w:val="0018068C"/>
    <w:rsid w:val="00181A71"/>
    <w:rsid w:val="00196308"/>
    <w:rsid w:val="001A09CA"/>
    <w:rsid w:val="001B3C06"/>
    <w:rsid w:val="001C1DB0"/>
    <w:rsid w:val="001C5437"/>
    <w:rsid w:val="001D1C17"/>
    <w:rsid w:val="001E02EF"/>
    <w:rsid w:val="001F592F"/>
    <w:rsid w:val="001F672C"/>
    <w:rsid w:val="00206FB2"/>
    <w:rsid w:val="00207E93"/>
    <w:rsid w:val="00211E8E"/>
    <w:rsid w:val="00214F5E"/>
    <w:rsid w:val="00216F30"/>
    <w:rsid w:val="002172E5"/>
    <w:rsid w:val="002276FF"/>
    <w:rsid w:val="00236C1F"/>
    <w:rsid w:val="002375C2"/>
    <w:rsid w:val="0026773E"/>
    <w:rsid w:val="00271635"/>
    <w:rsid w:val="002728AC"/>
    <w:rsid w:val="002820F4"/>
    <w:rsid w:val="002B4A0D"/>
    <w:rsid w:val="002C7A34"/>
    <w:rsid w:val="002D08F3"/>
    <w:rsid w:val="002E0967"/>
    <w:rsid w:val="002E354A"/>
    <w:rsid w:val="002F3CE7"/>
    <w:rsid w:val="0030150B"/>
    <w:rsid w:val="00302AF9"/>
    <w:rsid w:val="003226F1"/>
    <w:rsid w:val="00331526"/>
    <w:rsid w:val="0033678C"/>
    <w:rsid w:val="00366799"/>
    <w:rsid w:val="003718EC"/>
    <w:rsid w:val="00385412"/>
    <w:rsid w:val="00392429"/>
    <w:rsid w:val="00395911"/>
    <w:rsid w:val="003A5810"/>
    <w:rsid w:val="003B1DEE"/>
    <w:rsid w:val="003B41DC"/>
    <w:rsid w:val="003C46CE"/>
    <w:rsid w:val="003C5A32"/>
    <w:rsid w:val="003C6410"/>
    <w:rsid w:val="003D4B7D"/>
    <w:rsid w:val="003D67FC"/>
    <w:rsid w:val="003D7E3A"/>
    <w:rsid w:val="003F6AD9"/>
    <w:rsid w:val="004013BF"/>
    <w:rsid w:val="00437C78"/>
    <w:rsid w:val="004533A0"/>
    <w:rsid w:val="00467CFA"/>
    <w:rsid w:val="0047008C"/>
    <w:rsid w:val="004817A4"/>
    <w:rsid w:val="00482454"/>
    <w:rsid w:val="004871E8"/>
    <w:rsid w:val="00487B74"/>
    <w:rsid w:val="004A1DAC"/>
    <w:rsid w:val="004C16E3"/>
    <w:rsid w:val="004C3712"/>
    <w:rsid w:val="004C6042"/>
    <w:rsid w:val="004D24FF"/>
    <w:rsid w:val="004E13B2"/>
    <w:rsid w:val="004E39B0"/>
    <w:rsid w:val="004E7870"/>
    <w:rsid w:val="00505457"/>
    <w:rsid w:val="005225E4"/>
    <w:rsid w:val="00523C33"/>
    <w:rsid w:val="00527E00"/>
    <w:rsid w:val="00532C4C"/>
    <w:rsid w:val="00545660"/>
    <w:rsid w:val="005530FC"/>
    <w:rsid w:val="00563E9F"/>
    <w:rsid w:val="0058210B"/>
    <w:rsid w:val="00597EAC"/>
    <w:rsid w:val="005A6691"/>
    <w:rsid w:val="005C2356"/>
    <w:rsid w:val="005D4D38"/>
    <w:rsid w:val="005E2A57"/>
    <w:rsid w:val="005F58FE"/>
    <w:rsid w:val="005F690B"/>
    <w:rsid w:val="00615719"/>
    <w:rsid w:val="00625A81"/>
    <w:rsid w:val="006302E4"/>
    <w:rsid w:val="00631E3E"/>
    <w:rsid w:val="00633BB4"/>
    <w:rsid w:val="00636698"/>
    <w:rsid w:val="006402FD"/>
    <w:rsid w:val="00652893"/>
    <w:rsid w:val="00654790"/>
    <w:rsid w:val="00654833"/>
    <w:rsid w:val="00667E87"/>
    <w:rsid w:val="0067073E"/>
    <w:rsid w:val="0067629B"/>
    <w:rsid w:val="00677E97"/>
    <w:rsid w:val="006910D6"/>
    <w:rsid w:val="006E2A99"/>
    <w:rsid w:val="00710394"/>
    <w:rsid w:val="00720E73"/>
    <w:rsid w:val="00723B1D"/>
    <w:rsid w:val="007240FE"/>
    <w:rsid w:val="00733B98"/>
    <w:rsid w:val="00735ADA"/>
    <w:rsid w:val="00735E38"/>
    <w:rsid w:val="007464F7"/>
    <w:rsid w:val="00751AC9"/>
    <w:rsid w:val="00754A7D"/>
    <w:rsid w:val="007558F2"/>
    <w:rsid w:val="007610DD"/>
    <w:rsid w:val="007806B7"/>
    <w:rsid w:val="007A381C"/>
    <w:rsid w:val="007C3E06"/>
    <w:rsid w:val="007D13AC"/>
    <w:rsid w:val="007E6F1C"/>
    <w:rsid w:val="007F3EB7"/>
    <w:rsid w:val="00830010"/>
    <w:rsid w:val="00835885"/>
    <w:rsid w:val="008363B3"/>
    <w:rsid w:val="00841140"/>
    <w:rsid w:val="00860A87"/>
    <w:rsid w:val="00874401"/>
    <w:rsid w:val="00891566"/>
    <w:rsid w:val="00895BB5"/>
    <w:rsid w:val="008A069A"/>
    <w:rsid w:val="008B4677"/>
    <w:rsid w:val="008B7C17"/>
    <w:rsid w:val="008C5A94"/>
    <w:rsid w:val="008E5FA4"/>
    <w:rsid w:val="009016D3"/>
    <w:rsid w:val="00913381"/>
    <w:rsid w:val="00923B2A"/>
    <w:rsid w:val="009377FC"/>
    <w:rsid w:val="00940609"/>
    <w:rsid w:val="0094486E"/>
    <w:rsid w:val="009457B9"/>
    <w:rsid w:val="009464BA"/>
    <w:rsid w:val="009602AD"/>
    <w:rsid w:val="00961D9F"/>
    <w:rsid w:val="00996F12"/>
    <w:rsid w:val="009A5543"/>
    <w:rsid w:val="009C6E89"/>
    <w:rsid w:val="009F0442"/>
    <w:rsid w:val="009F7CD1"/>
    <w:rsid w:val="00A0394F"/>
    <w:rsid w:val="00A06715"/>
    <w:rsid w:val="00A300E3"/>
    <w:rsid w:val="00A40DAA"/>
    <w:rsid w:val="00A54704"/>
    <w:rsid w:val="00A715DF"/>
    <w:rsid w:val="00A768A8"/>
    <w:rsid w:val="00A85CF3"/>
    <w:rsid w:val="00AA1AF0"/>
    <w:rsid w:val="00AA1BBD"/>
    <w:rsid w:val="00AA6A43"/>
    <w:rsid w:val="00AB61AC"/>
    <w:rsid w:val="00AC1270"/>
    <w:rsid w:val="00AC195E"/>
    <w:rsid w:val="00AC324E"/>
    <w:rsid w:val="00AE4CAE"/>
    <w:rsid w:val="00B05870"/>
    <w:rsid w:val="00B07610"/>
    <w:rsid w:val="00B1532D"/>
    <w:rsid w:val="00B15B52"/>
    <w:rsid w:val="00B32E71"/>
    <w:rsid w:val="00B46DBD"/>
    <w:rsid w:val="00B5551C"/>
    <w:rsid w:val="00B568A7"/>
    <w:rsid w:val="00B644C5"/>
    <w:rsid w:val="00B75136"/>
    <w:rsid w:val="00B8149D"/>
    <w:rsid w:val="00BB07EE"/>
    <w:rsid w:val="00BB6450"/>
    <w:rsid w:val="00BB68B0"/>
    <w:rsid w:val="00BC3999"/>
    <w:rsid w:val="00BC5233"/>
    <w:rsid w:val="00BC572D"/>
    <w:rsid w:val="00BC5873"/>
    <w:rsid w:val="00BE14EE"/>
    <w:rsid w:val="00BE6630"/>
    <w:rsid w:val="00BF2B33"/>
    <w:rsid w:val="00BF3978"/>
    <w:rsid w:val="00C11CC5"/>
    <w:rsid w:val="00C26272"/>
    <w:rsid w:val="00C43BD9"/>
    <w:rsid w:val="00C47E2E"/>
    <w:rsid w:val="00C5054D"/>
    <w:rsid w:val="00C55A21"/>
    <w:rsid w:val="00C66474"/>
    <w:rsid w:val="00C734EE"/>
    <w:rsid w:val="00C8442A"/>
    <w:rsid w:val="00CA3C22"/>
    <w:rsid w:val="00CC180D"/>
    <w:rsid w:val="00CE7760"/>
    <w:rsid w:val="00CF16BA"/>
    <w:rsid w:val="00D0407F"/>
    <w:rsid w:val="00D04A07"/>
    <w:rsid w:val="00D32DDF"/>
    <w:rsid w:val="00D45EA5"/>
    <w:rsid w:val="00D604FA"/>
    <w:rsid w:val="00D77F1F"/>
    <w:rsid w:val="00D963B9"/>
    <w:rsid w:val="00DC0CB4"/>
    <w:rsid w:val="00DD47B9"/>
    <w:rsid w:val="00DE074F"/>
    <w:rsid w:val="00DE3D00"/>
    <w:rsid w:val="00DE44F5"/>
    <w:rsid w:val="00DF758C"/>
    <w:rsid w:val="00E017F7"/>
    <w:rsid w:val="00E2467B"/>
    <w:rsid w:val="00E26232"/>
    <w:rsid w:val="00E553AD"/>
    <w:rsid w:val="00E62217"/>
    <w:rsid w:val="00E64488"/>
    <w:rsid w:val="00E67DF8"/>
    <w:rsid w:val="00E7027D"/>
    <w:rsid w:val="00E736B4"/>
    <w:rsid w:val="00E77F94"/>
    <w:rsid w:val="00EA74A1"/>
    <w:rsid w:val="00EB20F6"/>
    <w:rsid w:val="00EB71FC"/>
    <w:rsid w:val="00EC3022"/>
    <w:rsid w:val="00EE6C16"/>
    <w:rsid w:val="00F0162B"/>
    <w:rsid w:val="00F12DB2"/>
    <w:rsid w:val="00F146BE"/>
    <w:rsid w:val="00F14B28"/>
    <w:rsid w:val="00F16950"/>
    <w:rsid w:val="00F21A3D"/>
    <w:rsid w:val="00F24218"/>
    <w:rsid w:val="00F25FC9"/>
    <w:rsid w:val="00F269AC"/>
    <w:rsid w:val="00F657FF"/>
    <w:rsid w:val="00F70003"/>
    <w:rsid w:val="00F87A40"/>
    <w:rsid w:val="00F938C0"/>
    <w:rsid w:val="00F95A79"/>
    <w:rsid w:val="00FA2CB8"/>
    <w:rsid w:val="00FA57BC"/>
    <w:rsid w:val="00FB19D9"/>
    <w:rsid w:val="00FB3843"/>
    <w:rsid w:val="00FB728A"/>
    <w:rsid w:val="00FE514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6C001EA"/>
  <w15:chartTrackingRefBased/>
  <w15:docId w15:val="{EC866A6E-D536-4DCC-867D-1A820B01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C16"/>
    <w:pPr>
      <w:spacing w:before="240" w:after="240" w:line="30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C16"/>
    <w:pPr>
      <w:keepNext/>
      <w:keepLines/>
      <w:spacing w:after="0"/>
      <w:outlineLvl w:val="0"/>
    </w:pPr>
    <w:rPr>
      <w:rFonts w:eastAsiaTheme="majorEastAsia" w:cstheme="majorBidi"/>
      <w:color w:val="00283E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DA"/>
    <w:pPr>
      <w:keepNext/>
      <w:keepLines/>
      <w:spacing w:before="40" w:after="0"/>
      <w:outlineLvl w:val="1"/>
    </w:pPr>
    <w:rPr>
      <w:rFonts w:asciiTheme="minorHAnsi" w:eastAsiaTheme="majorEastAsia" w:hAnsiTheme="minorHAnsi" w:cstheme="minorHAnsi"/>
      <w:b/>
      <w:color w:val="00283E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E2E"/>
    <w:pPr>
      <w:keepNext/>
      <w:keepLines/>
      <w:spacing w:before="40" w:after="0"/>
      <w:outlineLvl w:val="2"/>
    </w:pPr>
    <w:rPr>
      <w:rFonts w:eastAsiaTheme="majorEastAsia" w:cstheme="majorBidi"/>
      <w:color w:val="00283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68A9"/>
    <w:pPr>
      <w:keepNext/>
      <w:keepLines/>
      <w:spacing w:before="40" w:after="0"/>
      <w:outlineLvl w:val="3"/>
    </w:pPr>
    <w:rPr>
      <w:rFonts w:eastAsiaTheme="majorEastAsia" w:cstheme="majorBidi"/>
      <w:iCs/>
      <w:color w:val="00283E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68A9"/>
    <w:pPr>
      <w:keepNext/>
      <w:keepLines/>
      <w:spacing w:before="40" w:after="0"/>
      <w:outlineLvl w:val="4"/>
    </w:pPr>
    <w:rPr>
      <w:rFonts w:eastAsiaTheme="majorEastAsia" w:cstheme="majorBidi"/>
      <w:b/>
      <w:color w:val="00283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0FE"/>
  </w:style>
  <w:style w:type="paragraph" w:styleId="Footer">
    <w:name w:val="footer"/>
    <w:basedOn w:val="Normal"/>
    <w:link w:val="FooterChar"/>
    <w:uiPriority w:val="99"/>
    <w:unhideWhenUsed/>
    <w:rsid w:val="005C2356"/>
    <w:pPr>
      <w:tabs>
        <w:tab w:val="center" w:pos="4513"/>
        <w:tab w:val="right" w:pos="9026"/>
      </w:tabs>
      <w:spacing w:after="0" w:line="240" w:lineRule="auto"/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C2356"/>
    <w:rPr>
      <w:rFonts w:ascii="Arial" w:hAnsi="Arial"/>
      <w:color w:val="58595B" w:themeColor="text2"/>
      <w:sz w:val="18"/>
    </w:rPr>
  </w:style>
  <w:style w:type="paragraph" w:styleId="Title">
    <w:name w:val="Title"/>
    <w:basedOn w:val="Normal"/>
    <w:next w:val="Normal"/>
    <w:link w:val="TitleChar"/>
    <w:qFormat/>
    <w:rsid w:val="00EE6C16"/>
    <w:pPr>
      <w:spacing w:before="2880" w:after="480" w:line="240" w:lineRule="auto"/>
      <w:contextualSpacing/>
    </w:pPr>
    <w:rPr>
      <w:rFonts w:eastAsiaTheme="majorEastAsia" w:cstheme="majorBidi"/>
      <w:color w:val="005677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EE6C16"/>
    <w:rPr>
      <w:rFonts w:ascii="Arial" w:eastAsiaTheme="majorEastAsia" w:hAnsi="Arial" w:cstheme="majorBidi"/>
      <w:color w:val="005677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E6C16"/>
    <w:rPr>
      <w:rFonts w:ascii="Arial" w:eastAsiaTheme="majorEastAsia" w:hAnsi="Arial" w:cstheme="majorBidi"/>
      <w:color w:val="00283E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ADA"/>
    <w:rPr>
      <w:rFonts w:eastAsiaTheme="majorEastAsia" w:cstheme="minorHAnsi"/>
      <w:b/>
      <w:color w:val="00283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7E2E"/>
    <w:rPr>
      <w:rFonts w:ascii="Arial" w:eastAsiaTheme="majorEastAsia" w:hAnsi="Arial" w:cstheme="majorBidi"/>
      <w:color w:val="00283E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68A9"/>
    <w:rPr>
      <w:rFonts w:ascii="Arial" w:eastAsiaTheme="majorEastAsia" w:hAnsi="Arial" w:cstheme="majorBidi"/>
      <w:iCs/>
      <w:color w:val="00283E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768A9"/>
    <w:rPr>
      <w:rFonts w:ascii="Arial" w:eastAsiaTheme="majorEastAsia" w:hAnsi="Arial" w:cstheme="majorBidi"/>
      <w:b/>
      <w:color w:val="00283E"/>
    </w:rPr>
  </w:style>
  <w:style w:type="paragraph" w:styleId="ListParagraph">
    <w:name w:val="List Paragraph"/>
    <w:basedOn w:val="Normal"/>
    <w:uiPriority w:val="34"/>
    <w:qFormat/>
    <w:rsid w:val="00527E00"/>
    <w:pPr>
      <w:numPr>
        <w:numId w:val="1"/>
      </w:numPr>
      <w:contextualSpacing/>
    </w:pPr>
  </w:style>
  <w:style w:type="paragraph" w:styleId="ListBullet">
    <w:name w:val="List Bullet"/>
    <w:basedOn w:val="ListParagraph"/>
    <w:uiPriority w:val="99"/>
    <w:unhideWhenUsed/>
    <w:rsid w:val="00DE3D00"/>
    <w:pPr>
      <w:numPr>
        <w:numId w:val="14"/>
      </w:numPr>
    </w:pPr>
  </w:style>
  <w:style w:type="paragraph" w:styleId="ListBullet2">
    <w:name w:val="List Bullet 2"/>
    <w:basedOn w:val="Normal"/>
    <w:uiPriority w:val="99"/>
    <w:unhideWhenUsed/>
    <w:rsid w:val="00040232"/>
    <w:pPr>
      <w:numPr>
        <w:numId w:val="4"/>
      </w:numPr>
      <w:spacing w:before="120"/>
      <w:ind w:left="641" w:hanging="357"/>
      <w:contextualSpacing/>
    </w:pPr>
  </w:style>
  <w:style w:type="paragraph" w:styleId="ListNumber">
    <w:name w:val="List Number"/>
    <w:basedOn w:val="ListParagraph"/>
    <w:uiPriority w:val="99"/>
    <w:unhideWhenUsed/>
    <w:rsid w:val="00DE3D00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E4CAE"/>
    <w:pPr>
      <w:pBdr>
        <w:top w:val="single" w:sz="4" w:space="1" w:color="58595B" w:themeColor="text2"/>
        <w:bottom w:val="single" w:sz="4" w:space="1" w:color="58595B" w:themeColor="text2"/>
      </w:pBdr>
      <w:spacing w:before="360" w:after="360" w:line="360" w:lineRule="auto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CAE"/>
    <w:rPr>
      <w:rFonts w:ascii="Arial" w:hAnsi="Arial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2356"/>
    <w:rPr>
      <w:color w:val="0070AE" w:themeColor="accent2" w:themeTint="BF"/>
      <w:u w:val="single"/>
    </w:rPr>
  </w:style>
  <w:style w:type="table" w:styleId="TableGrid">
    <w:name w:val="Table Grid"/>
    <w:basedOn w:val="TableNormal"/>
    <w:uiPriority w:val="39"/>
    <w:rsid w:val="005C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654790"/>
    <w:pPr>
      <w:spacing w:after="0" w:line="240" w:lineRule="auto"/>
    </w:pPr>
    <w:tblPr>
      <w:tblStyleRowBandSize w:val="1"/>
      <w:tblStyleColBandSize w:val="1"/>
      <w:tblBorders>
        <w:top w:val="single" w:sz="4" w:space="0" w:color="C3E8EC" w:themeColor="accent5" w:themeTint="99"/>
        <w:left w:val="single" w:sz="4" w:space="0" w:color="C3E8EC" w:themeColor="accent5" w:themeTint="99"/>
        <w:bottom w:val="single" w:sz="4" w:space="0" w:color="C3E8EC" w:themeColor="accent5" w:themeTint="99"/>
        <w:right w:val="single" w:sz="4" w:space="0" w:color="C3E8EC" w:themeColor="accent5" w:themeTint="99"/>
        <w:insideH w:val="single" w:sz="4" w:space="0" w:color="C3E8EC" w:themeColor="accent5" w:themeTint="99"/>
        <w:insideV w:val="single" w:sz="4" w:space="0" w:color="C3E8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D9E0" w:themeColor="accent5"/>
          <w:left w:val="single" w:sz="4" w:space="0" w:color="9CD9E0" w:themeColor="accent5"/>
          <w:bottom w:val="single" w:sz="4" w:space="0" w:color="9CD9E0" w:themeColor="accent5"/>
          <w:right w:val="single" w:sz="4" w:space="0" w:color="9CD9E0" w:themeColor="accent5"/>
          <w:insideH w:val="nil"/>
          <w:insideV w:val="nil"/>
        </w:tcBorders>
        <w:shd w:val="clear" w:color="auto" w:fill="9CD9E0" w:themeFill="accent5"/>
      </w:tcPr>
    </w:tblStylePr>
    <w:tblStylePr w:type="lastRow">
      <w:rPr>
        <w:b/>
        <w:bCs/>
      </w:rPr>
      <w:tblPr/>
      <w:tcPr>
        <w:tcBorders>
          <w:top w:val="double" w:sz="4" w:space="0" w:color="9CD9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5" w:themeFillTint="33"/>
      </w:tcPr>
    </w:tblStylePr>
    <w:tblStylePr w:type="band1Horz">
      <w:tblPr/>
      <w:tcPr>
        <w:shd w:val="clear" w:color="auto" w:fill="EBF7F8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6547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D9E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D9E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D9E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D9E0" w:themeFill="accent5"/>
      </w:tcPr>
    </w:tblStylePr>
    <w:tblStylePr w:type="band1Vert">
      <w:tblPr/>
      <w:tcPr>
        <w:shd w:val="clear" w:color="auto" w:fill="D7EFF2" w:themeFill="accent5" w:themeFillTint="66"/>
      </w:tcPr>
    </w:tblStylePr>
    <w:tblStylePr w:type="band1Horz">
      <w:tblPr/>
      <w:tcPr>
        <w:shd w:val="clear" w:color="auto" w:fill="D7EFF2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B07610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E9FF" w:themeFill="accent1" w:themeFillTint="33"/>
    </w:tcPr>
    <w:tblStylePr w:type="firstRow">
      <w:pPr>
        <w:wordWrap/>
        <w:spacing w:beforeLines="0" w:before="120" w:beforeAutospacing="0" w:afterLines="0" w:after="120" w:afterAutospacing="0"/>
        <w:jc w:val="center"/>
      </w:pPr>
      <w:rPr>
        <w:rFonts w:ascii="Arial" w:hAnsi="Arial"/>
        <w:b w:val="0"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677" w:themeFill="accent1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677" w:themeFill="accent1"/>
      </w:tcPr>
    </w:tblStylePr>
    <w:tblStylePr w:type="firstCol">
      <w:pPr>
        <w:jc w:val="left"/>
      </w:pPr>
      <w:rPr>
        <w:rFonts w:ascii="Arial" w:hAnsi="Arial"/>
        <w:b w:val="0"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677" w:themeFill="accent1"/>
        <w:vAlign w:val="center"/>
      </w:tcPr>
    </w:tblStylePr>
    <w:tblStylePr w:type="lastCol">
      <w:pPr>
        <w:wordWrap/>
        <w:jc w:val="center"/>
      </w:pPr>
      <w:rPr>
        <w:rFonts w:ascii="Arial" w:hAnsi="Arial"/>
        <w:b w:val="0"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677" w:themeFill="accent1"/>
        <w:vAlign w:val="center"/>
      </w:tcPr>
    </w:tblStylePr>
    <w:tblStylePr w:type="band1Vert">
      <w:tblPr/>
      <w:tcPr>
        <w:shd w:val="clear" w:color="auto" w:fill="62D3FF" w:themeFill="accent1" w:themeFillTint="66"/>
      </w:tcPr>
    </w:tblStylePr>
    <w:tblStylePr w:type="band1Horz">
      <w:pPr>
        <w:jc w:val="center"/>
      </w:pPr>
      <w:tblPr/>
      <w:tcPr>
        <w:shd w:val="clear" w:color="auto" w:fill="62D3FF" w:themeFill="accent1" w:themeFillTint="66"/>
        <w:vAlign w:val="center"/>
      </w:tcPr>
    </w:tblStylePr>
    <w:tblStylePr w:type="band2Horz">
      <w:pPr>
        <w:jc w:val="center"/>
      </w:pPr>
      <w:tblPr/>
      <w:tcPr>
        <w:vAlign w:val="center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E4CAE"/>
    <w:pPr>
      <w:keepNext/>
      <w:spacing w:before="0" w:after="200" w:line="240" w:lineRule="auto"/>
    </w:pPr>
    <w:rPr>
      <w:i/>
      <w:iCs/>
      <w:color w:val="2C2C2D" w:themeColor="text2" w:themeShade="80"/>
      <w:szCs w:val="18"/>
    </w:rPr>
  </w:style>
  <w:style w:type="character" w:styleId="Emphasis">
    <w:name w:val="Emphasis"/>
    <w:basedOn w:val="DefaultParagraphFont"/>
    <w:uiPriority w:val="20"/>
    <w:qFormat/>
    <w:rsid w:val="00DE3D00"/>
    <w:rPr>
      <w:i/>
      <w:iCs/>
    </w:rPr>
  </w:style>
  <w:style w:type="character" w:styleId="Strong">
    <w:name w:val="Strong"/>
    <w:basedOn w:val="DefaultParagraphFont"/>
    <w:uiPriority w:val="22"/>
    <w:qFormat/>
    <w:rsid w:val="00DE3D00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E6C16"/>
  </w:style>
  <w:style w:type="paragraph" w:styleId="TOC1">
    <w:name w:val="toc 1"/>
    <w:basedOn w:val="Normal"/>
    <w:next w:val="Normal"/>
    <w:autoRedefine/>
    <w:uiPriority w:val="39"/>
    <w:unhideWhenUsed/>
    <w:rsid w:val="00EE6C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6C1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E6C16"/>
    <w:pPr>
      <w:spacing w:after="100"/>
      <w:ind w:left="440"/>
    </w:pPr>
  </w:style>
  <w:style w:type="paragraph" w:styleId="Subtitle">
    <w:name w:val="Subtitle"/>
    <w:basedOn w:val="Title"/>
    <w:next w:val="Normal"/>
    <w:link w:val="SubtitleChar"/>
    <w:uiPriority w:val="11"/>
    <w:qFormat/>
    <w:rsid w:val="00EE6C16"/>
    <w:pPr>
      <w:spacing w:before="240" w:after="240"/>
      <w:contextualSpacing w:val="0"/>
    </w:pPr>
    <w:rPr>
      <w:color w:val="7F7F7F" w:themeColor="text1" w:themeTint="8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E6C16"/>
    <w:rPr>
      <w:rFonts w:ascii="Arial" w:eastAsiaTheme="majorEastAsia" w:hAnsi="Arial" w:cstheme="majorBidi"/>
      <w:color w:val="7F7F7F" w:themeColor="text1" w:themeTint="80"/>
      <w:spacing w:val="-10"/>
      <w:kern w:val="28"/>
      <w:sz w:val="40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23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B2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B2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B2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06FB2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dustry.gov.au/news-media/offshore-petroleum-safety-regime-review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hyperlink" Target="https://dochub/div/resources/businessfunctions/offshoreresources/environmentsafetysecurity/safetyindustrial/docs/Offshore.Regulations@industry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chub/div/resources/businessfunctions/offshoreresources/environmentsafetysecurity/safetyindustrial/docs/&#8226;%09https:/www.industry.gov.au/news-media/offshore-petroleum-safety-regime-review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industry.gov.au/subscribe-to-australian-petroleum-news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www.industry.gov.au/news-media/offshore-petroleum-safety-regime-review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2010%20Templates\Workgroup%20Templates\Departmental\Report.dotx" TargetMode="External"/></Relationships>
</file>

<file path=word/theme/theme1.xml><?xml version="1.0" encoding="utf-8"?>
<a:theme xmlns:a="http://schemas.openxmlformats.org/drawingml/2006/main" name="Office Theme">
  <a:themeElements>
    <a:clrScheme name="Department">
      <a:dk1>
        <a:sysClr val="windowText" lastClr="000000"/>
      </a:dk1>
      <a:lt1>
        <a:sysClr val="window" lastClr="FFFFFF"/>
      </a:lt1>
      <a:dk2>
        <a:srgbClr val="58595B"/>
      </a:dk2>
      <a:lt2>
        <a:srgbClr val="E7E6E6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85E993EE08846A450E9B6D1FA8A77" ma:contentTypeVersion="29" ma:contentTypeDescription="Create a new document." ma:contentTypeScope="" ma:versionID="04cae167715feffab07a85e13d915c38">
  <xsd:schema xmlns:xsd="http://www.w3.org/2001/XMLSchema" xmlns:xs="http://www.w3.org/2001/XMLSchema" xmlns:p="http://schemas.microsoft.com/office/2006/metadata/properties" xmlns:ns1="http://schemas.microsoft.com/sharepoint/v3" xmlns:ns2="76c08405-89e9-4c57-a585-b31d7bded94b" xmlns:ns3="http://schemas.microsoft.com/sharepoint/v4" targetNamespace="http://schemas.microsoft.com/office/2006/metadata/properties" ma:root="true" ma:fieldsID="8308a0400a8d57733962eca73665ffd1" ns1:_="" ns2:_="" ns3:_="">
    <xsd:import namespace="http://schemas.microsoft.com/sharepoint/v3"/>
    <xsd:import namespace="76c08405-89e9-4c57-a585-b31d7bded9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n99e4c9942c6404eb103464a00e6097b" minOccurs="0"/>
                <xsd:element ref="ns1:Comments" minOccurs="0"/>
                <xsd:element ref="ns2:g04c65e7758e4a9bb076ed3b2f3b54e3" minOccurs="0"/>
                <xsd:element ref="ns2:g7cee4c3f49f4a8d957fe196d6fcc5b5" minOccurs="0"/>
                <xsd:element ref="ns2:DocHub_Jurisdiction" minOccurs="0"/>
                <xsd:element ref="ns2:d34056e35d444dee82a795b7b19350c2" minOccurs="0"/>
                <xsd:element ref="ns2:d8e408ae2551469fa177069ace196e9c" minOccurs="0"/>
                <xsd:element ref="ns2:f26de360fc5e40c78d93b560b6cc664b" minOccurs="0"/>
                <xsd:element ref="ns2:e63cd534a94446d68abe1904a0bcdfb2" minOccurs="0"/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08405-89e9-4c57-a585-b31d7bded9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247be60-eff2-4727-b089-eeeb92cab0a1}" ma:internalName="TaxCatchAll" ma:showField="CatchAllData" ma:web="76c08405-89e9-4c57-a585-b31d7bded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default="" ma:fieldId="{9e2555c8-1638-466f-9eb6-14edb9ecde52}" ma:sspId="fb0313f7-9433-48c0-866e-9e0bbee59a50" ma:termSetId="0e4c18c5-28eb-4f9e-8056-b3cddd4b5d9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default="" ma:fieldId="{07bcb40b-a232-49a7-8edc-a7d43a67c1c9}" ma:sspId="fb0313f7-9433-48c0-866e-9e0bbee59a50" ma:termSetId="6713ebbd-194a-499f-ab84-a4d70e145fb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19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4c65e7758e4a9bb076ed3b2f3b54e3" ma:index="22" nillable="true" ma:taxonomy="true" ma:internalName="g04c65e7758e4a9bb076ed3b2f3b54e3" ma:taxonomyFieldName="DocHub_EnergyMineralResources" ma:displayName="Energy / Mineral Resources" ma:fieldId="{004c65e7-758e-4a9b-b076-ed3b2f3b54e3}" ma:taxonomyMulti="true" ma:sspId="fb0313f7-9433-48c0-866e-9e0bbee59a50" ma:termSetId="04ad5cb7-9a30-443d-bd7a-a524a8ff236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cee4c3f49f4a8d957fe196d6fcc5b5" ma:index="24" nillable="true" ma:taxonomy="true" ma:internalName="g7cee4c3f49f4a8d957fe196d6fcc5b5" ma:taxonomyFieldName="DocHub_GovernmentEntities" ma:displayName="Government Entities" ma:fieldId="{07cee4c3-f49f-4a8d-957f-e196d6fcc5b5}" ma:taxonomyMulti="true" ma:sspId="fb0313f7-9433-48c0-866e-9e0bbee59a50" ma:termSetId="dadb9b88-24b6-471a-9d1e-c062637f9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Hub_Jurisdiction" ma:index="25" nillable="true" ma:displayName="Jurisdiction" ma:description="Scope to which authority extends or to which the item relates (Domestic / International / Cross-Jurisdiction)" ma:format="Dropdown" ma:internalName="DocHub_Jurisdiction">
      <xsd:simpleType>
        <xsd:restriction base="dms:Choice">
          <xsd:enumeration value="Domestic"/>
          <xsd:enumeration value="International"/>
          <xsd:enumeration value="Cross-Jurisdiction"/>
        </xsd:restriction>
      </xsd:simpleType>
    </xsd:element>
    <xsd:element name="d34056e35d444dee82a795b7b19350c2" ma:index="27" nillable="true" ma:taxonomy="true" ma:internalName="d34056e35d444dee82a795b7b19350c2" ma:taxonomyFieldName="DocHub_OrganisationEntities" ma:displayName="Organisation Entities" ma:fieldId="{d34056e3-5d44-4dee-82a7-95b7b19350c2}" ma:sspId="fb0313f7-9433-48c0-866e-9e0bbee59a50" ma:termSetId="a4b4b0a1-b156-43d0-a6ff-63127fcc231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8e408ae2551469fa177069ace196e9c" ma:index="29" nillable="true" ma:taxonomy="true" ma:internalName="d8e408ae2551469fa177069ace196e9c" ma:taxonomyFieldName="DocHub_RegionCountry" ma:displayName="Region / Country" ma:fieldId="{d8e408ae-2551-469f-a177-069ace196e9c}" ma:sspId="fb0313f7-9433-48c0-866e-9e0bbee59a50" ma:termSetId="dfb3c815-0d58-4d79-855d-8ebb6c91c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6de360fc5e40c78d93b560b6cc664b" ma:index="31" nillable="true" ma:taxonomy="true" ma:internalName="f26de360fc5e40c78d93b560b6cc664b" ma:taxonomyFieldName="DocHub_GroupsOtherEntities" ma:displayName="Groups / Other Entities" ma:fieldId="{f26de360-fc5e-40c7-8d93-b560b6cc664b}" ma:taxonomyMulti="true" ma:sspId="fb0313f7-9433-48c0-866e-9e0bbee59a50" ma:termSetId="a019fd78-46ff-411c-95b3-78e7427bf7f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3cd534a94446d68abe1904a0bcdfb2" ma:index="33" nillable="true" ma:taxonomy="true" ma:internalName="e63cd534a94446d68abe1904a0bcdfb2" ma:taxonomyFieldName="DocHub_WorkTopic" ma:displayName="Work Topic" ma:default="" ma:fieldId="{e63cd534-a944-46d6-8abe-1904a0bcdfb2}" ma:sspId="fb0313f7-9433-48c0-866e-9e0bbee59a50" ma:termSetId="37b9fd67-2409-4a5b-9020-65d45193ca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26de360fc5e40c78d93b560b6cc664b xmlns="76c08405-89e9-4c57-a585-b31d7bded94b">
      <Terms xmlns="http://schemas.microsoft.com/office/infopath/2007/PartnerControls"/>
    </f26de360fc5e40c78d93b560b6cc664b>
    <aa25a1a23adf4c92a153145de6afe324 xmlns="76c08405-89e9-4c57-a585-b31d7bded94b">
      <Terms xmlns="http://schemas.microsoft.com/office/infopath/2007/PartnerControls">
        <TermInfo xmlns="http://schemas.microsoft.com/office/infopath/2007/PartnerControls">
          <TermName>UNCLASSIFIED</TermName>
          <TermId>6106d03b-a1a0-4e30-9d91-d5e9fb4314f9</TermId>
        </TermInfo>
      </Terms>
    </aa25a1a23adf4c92a153145de6afe324>
    <e63cd534a94446d68abe1904a0bcdfb2 xmlns="76c08405-89e9-4c57-a585-b31d7bded94b">
      <Terms xmlns="http://schemas.microsoft.com/office/infopath/2007/PartnerControls">
        <TermInfo xmlns="http://schemas.microsoft.com/office/infopath/2007/PartnerControls">
          <TermName>Safety Review</TermName>
          <TermId>c2151275-ad3d-4a4a-9a3d-2afed3342f62</TermId>
        </TermInfo>
      </Terms>
    </e63cd534a94446d68abe1904a0bcdfb2>
    <g7cee4c3f49f4a8d957fe196d6fcc5b5 xmlns="76c08405-89e9-4c57-a585-b31d7bded94b">
      <Terms xmlns="http://schemas.microsoft.com/office/infopath/2007/PartnerControls"/>
    </g7cee4c3f49f4a8d957fe196d6fcc5b5>
    <pe2555c81638466f9eb614edb9ecde52 xmlns="76c08405-89e9-4c57-a585-b31d7bded94b">
      <Terms xmlns="http://schemas.microsoft.com/office/infopath/2007/PartnerControls">
        <TermInfo xmlns="http://schemas.microsoft.com/office/infopath/2007/PartnerControls">
          <TermName>Plan</TermName>
          <TermId>05f983ce-1f4d-409e-a106-80e6417050c7</TermId>
        </TermInfo>
      </Terms>
    </pe2555c81638466f9eb614edb9ecde52>
    <n99e4c9942c6404eb103464a00e6097b xmlns="76c08405-89e9-4c57-a585-b31d7bded94b">
      <Terms xmlns="http://schemas.microsoft.com/office/infopath/2007/PartnerControls"/>
    </n99e4c9942c6404eb103464a00e6097b>
    <IconOverlay xmlns="http://schemas.microsoft.com/sharepoint/v4" xsi:nil="true"/>
    <TaxCatchAll xmlns="76c08405-89e9-4c57-a585-b31d7bded94b">
      <Value>3</Value>
      <Value>1</Value>
      <Value>2940</Value>
    </TaxCatchAll>
    <d34056e35d444dee82a795b7b19350c2 xmlns="76c08405-89e9-4c57-a585-b31d7bded94b">
      <Terms xmlns="http://schemas.microsoft.com/office/infopath/2007/PartnerControls"/>
    </d34056e35d444dee82a795b7b19350c2>
    <g7bcb40ba23249a78edca7d43a67c1c9 xmlns="76c08405-89e9-4c57-a585-b31d7bded94b">
      <Terms xmlns="http://schemas.microsoft.com/office/infopath/2007/PartnerControls"/>
    </g7bcb40ba23249a78edca7d43a67c1c9>
    <g04c65e7758e4a9bb076ed3b2f3b54e3 xmlns="76c08405-89e9-4c57-a585-b31d7bded94b">
      <Terms xmlns="http://schemas.microsoft.com/office/infopath/2007/PartnerControls"/>
    </g04c65e7758e4a9bb076ed3b2f3b54e3>
    <d8e408ae2551469fa177069ace196e9c xmlns="76c08405-89e9-4c57-a585-b31d7bded94b">
      <Terms xmlns="http://schemas.microsoft.com/office/infopath/2007/PartnerControls"/>
    </d8e408ae2551469fa177069ace196e9c>
    <DocHub_Jurisdiction xmlns="76c08405-89e9-4c57-a585-b31d7bded94b" xsi:nil="true"/>
    <Comments xmlns="http://schemas.microsoft.com/sharepoint/v3" xsi:nil="true"/>
    <_dlc_DocId xmlns="76c08405-89e9-4c57-a585-b31d7bded94b">P77SRJCMCQEC-285455694-1349</_dlc_DocId>
    <_dlc_DocIdUrl xmlns="76c08405-89e9-4c57-a585-b31d7bded94b">
      <Url>https://dochub/div/resources/businessfunctions/offshoreresources/environmentsafetysecurity/safetyindustrial/_layouts/15/DocIdRedir.aspx?ID=P77SRJCMCQEC-285455694-1349</Url>
      <Description>P77SRJCMCQEC-285455694-1349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0A53-7095-4971-B50D-97DC7A20F0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910774-BB3C-4F32-A4DC-2F00F52C2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AF3ED-3840-4A1B-BD63-47FAC0277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c08405-89e9-4c57-a585-b31d7bded9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C773B-DB7C-47D5-A837-42B6BCB9586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6c08405-89e9-4c57-a585-b31d7bded94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45BDD8D-4C26-4CF9-97FE-F269DFC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Report.dotx</Template>
  <TotalTime>3</TotalTime>
  <Pages>8</Pages>
  <Words>1761</Words>
  <Characters>10044</Characters>
  <Application>Microsoft Office Word</Application>
  <DocSecurity>8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Department of Industry, Innovation and Science</Company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/>
  <dc:creator>Mealing, Rachel</dc:creator>
  <cp:keywords/>
  <dc:description/>
  <cp:lastModifiedBy>Francis, Sophie</cp:lastModifiedBy>
  <cp:revision>3</cp:revision>
  <cp:lastPrinted>2019-01-18T00:15:00Z</cp:lastPrinted>
  <dcterms:created xsi:type="dcterms:W3CDTF">2019-01-18T00:14:00Z</dcterms:created>
  <dcterms:modified xsi:type="dcterms:W3CDTF">2019-01-18T00:19:00Z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0x01010017385E993EE08846A450E9B6D1FA8A77</vt:lpwstr>
  </property>
  <property fmtid="{D5CDD505-2E9C-101B-9397-08002B2CF9AE}" pid="3" name="DocHub_RegionCountry">
    <vt:lpwstr/>
  </property>
  <property fmtid="{D5CDD505-2E9C-101B-9397-08002B2CF9AE}" pid="4" name="DocHub_Year">
    <vt:lpwstr/>
  </property>
  <property fmtid="{D5CDD505-2E9C-101B-9397-08002B2CF9AE}" pid="5" name="DocHub_GroupsOtherEntities">
    <vt:lpwstr/>
  </property>
  <property fmtid="{D5CDD505-2E9C-101B-9397-08002B2CF9AE}" pid="6" name="DocHub_DocumentType">
    <vt:lpwstr>3;#Plan|05f983ce-1f4d-409e-a106-80e6417050c7</vt:lpwstr>
  </property>
  <property fmtid="{D5CDD505-2E9C-101B-9397-08002B2CF9AE}" pid="7" name="DocHub_SecurityClassification">
    <vt:lpwstr>1;#UNCLASSIFIED|6106d03b-a1a0-4e30-9d91-d5e9fb4314f9</vt:lpwstr>
  </property>
  <property fmtid="{D5CDD505-2E9C-101B-9397-08002B2CF9AE}" pid="8" name="DocHub_GovernmentEntities">
    <vt:lpwstr/>
  </property>
  <property fmtid="{D5CDD505-2E9C-101B-9397-08002B2CF9AE}" pid="9" name="DocHub_OrganisationEntities">
    <vt:lpwstr/>
  </property>
  <property fmtid="{D5CDD505-2E9C-101B-9397-08002B2CF9AE}" pid="10" name="DocHub_WorkActivity">
    <vt:lpwstr/>
  </property>
  <property fmtid="{D5CDD505-2E9C-101B-9397-08002B2CF9AE}" pid="11" name="DocHub_WorkTopic">
    <vt:lpwstr>2940;#Safety Review|c2151275-ad3d-4a4a-9a3d-2afed3342f62</vt:lpwstr>
  </property>
  <property fmtid="{D5CDD505-2E9C-101B-9397-08002B2CF9AE}" pid="12" name="DocHub_EnergyMineralResources">
    <vt:lpwstr/>
  </property>
  <property fmtid="{D5CDD505-2E9C-101B-9397-08002B2CF9AE}" pid="13" name="_dlc_DocIdItemGuid">
    <vt:lpwstr>02e18463-19d8-477d-97e0-91e51a79cb1f</vt:lpwstr>
  </property>
</Properties>
</file>