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29E9B" w14:textId="77777777" w:rsidR="00733473" w:rsidRDefault="00F1120D" w:rsidP="00772396">
      <w:pPr>
        <w:pStyle w:val="Title"/>
        <w:spacing w:after="0" w:line="240" w:lineRule="auto"/>
        <w:rPr>
          <w:sz w:val="44"/>
          <w:szCs w:val="44"/>
        </w:rPr>
      </w:pPr>
      <w:bookmarkStart w:id="0" w:name="_Toc452644134"/>
      <w:bookmarkStart w:id="1" w:name="_Toc452709197"/>
      <w:bookmarkStart w:id="2" w:name="_Toc468884674"/>
      <w:r>
        <w:rPr>
          <w:noProof/>
          <w:sz w:val="44"/>
          <w:szCs w:val="44"/>
          <w:lang w:eastAsia="en-AU"/>
        </w:rPr>
        <w:drawing>
          <wp:anchor distT="0" distB="0" distL="114300" distR="114300" simplePos="0" relativeHeight="251658240" behindDoc="0" locked="0" layoutInCell="1" allowOverlap="1" wp14:anchorId="4B341453" wp14:editId="4530CAF3">
            <wp:simplePos x="0" y="0"/>
            <wp:positionH relativeFrom="margin">
              <wp:align>left</wp:align>
            </wp:positionH>
            <wp:positionV relativeFrom="paragraph">
              <wp:posOffset>-6985</wp:posOffset>
            </wp:positionV>
            <wp:extent cx="2705100" cy="701210"/>
            <wp:effectExtent l="0" t="0" r="0" b="3810"/>
            <wp:wrapNone/>
            <wp:docPr id="2" name="Picture 2" title="National Offshore Petroleum Titles Administr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PTA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675" cy="71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BA4EE" w14:textId="77777777" w:rsidR="00733473" w:rsidRDefault="00733473" w:rsidP="00772396">
      <w:pPr>
        <w:pStyle w:val="Title"/>
        <w:spacing w:after="0" w:line="240" w:lineRule="auto"/>
        <w:rPr>
          <w:sz w:val="44"/>
          <w:szCs w:val="44"/>
        </w:rPr>
      </w:pPr>
    </w:p>
    <w:p w14:paraId="44832BC8" w14:textId="77777777" w:rsidR="00733473" w:rsidRDefault="00733473" w:rsidP="00772396">
      <w:pPr>
        <w:pStyle w:val="Title"/>
        <w:spacing w:after="0" w:line="240" w:lineRule="auto"/>
        <w:rPr>
          <w:sz w:val="44"/>
          <w:szCs w:val="44"/>
        </w:rPr>
      </w:pPr>
    </w:p>
    <w:p w14:paraId="77337204" w14:textId="77777777" w:rsidR="00733473" w:rsidRDefault="00733473" w:rsidP="00772396">
      <w:pPr>
        <w:pStyle w:val="Title"/>
        <w:spacing w:after="0" w:line="240" w:lineRule="auto"/>
        <w:rPr>
          <w:sz w:val="44"/>
          <w:szCs w:val="44"/>
        </w:rPr>
      </w:pPr>
    </w:p>
    <w:p w14:paraId="0BAA05E8" w14:textId="77777777" w:rsidR="00EE276D" w:rsidRDefault="00EE276D" w:rsidP="00772396">
      <w:pPr>
        <w:pStyle w:val="Title"/>
        <w:spacing w:after="0" w:line="240" w:lineRule="auto"/>
        <w:rPr>
          <w:color w:val="auto"/>
          <w:sz w:val="56"/>
          <w:szCs w:val="56"/>
        </w:rPr>
      </w:pPr>
    </w:p>
    <w:p w14:paraId="14B151E7" w14:textId="77777777" w:rsidR="00347EA5" w:rsidRPr="00EE276D" w:rsidRDefault="006F6665" w:rsidP="00EE276D">
      <w:pPr>
        <w:pStyle w:val="Title"/>
        <w:spacing w:after="0" w:line="240" w:lineRule="auto"/>
        <w:rPr>
          <w:rFonts w:ascii="Arial" w:hAnsi="Arial" w:cs="Arial"/>
          <w:color w:val="auto"/>
        </w:rPr>
      </w:pPr>
      <w:r w:rsidRPr="00EE276D">
        <w:rPr>
          <w:rFonts w:ascii="Arial" w:hAnsi="Arial" w:cs="Arial"/>
          <w:color w:val="auto"/>
        </w:rPr>
        <w:t>National Offshore Petroleum Titles Administrator</w:t>
      </w:r>
    </w:p>
    <w:bookmarkEnd w:id="0"/>
    <w:bookmarkEnd w:id="1"/>
    <w:bookmarkEnd w:id="2"/>
    <w:p w14:paraId="719FBC5E" w14:textId="77777777" w:rsidR="002907D3" w:rsidRDefault="002907D3" w:rsidP="005E0541"/>
    <w:p w14:paraId="180A5DDC" w14:textId="77777777" w:rsidR="002907D3" w:rsidRDefault="00C50288" w:rsidP="005E0541">
      <w:r>
        <w:rPr>
          <w:noProof/>
          <w:lang w:eastAsia="en-AU"/>
        </w:rPr>
        <w:drawing>
          <wp:anchor distT="0" distB="0" distL="114300" distR="114300" simplePos="0" relativeHeight="251659264" behindDoc="0" locked="0" layoutInCell="1" allowOverlap="1" wp14:anchorId="1F2237F9" wp14:editId="463C370E">
            <wp:simplePos x="0" y="0"/>
            <wp:positionH relativeFrom="page">
              <wp:align>left</wp:align>
            </wp:positionH>
            <wp:positionV relativeFrom="paragraph">
              <wp:posOffset>245110</wp:posOffset>
            </wp:positionV>
            <wp:extent cx="7567930" cy="3374888"/>
            <wp:effectExtent l="0" t="0" r="0" b="0"/>
            <wp:wrapNone/>
            <wp:docPr id="4" name="Picture 4" title="Decorative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nt cov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7930" cy="3374888"/>
                    </a:xfrm>
                    <a:prstGeom prst="rect">
                      <a:avLst/>
                    </a:prstGeom>
                  </pic:spPr>
                </pic:pic>
              </a:graphicData>
            </a:graphic>
            <wp14:sizeRelH relativeFrom="margin">
              <wp14:pctWidth>0</wp14:pctWidth>
            </wp14:sizeRelH>
            <wp14:sizeRelV relativeFrom="margin">
              <wp14:pctHeight>0</wp14:pctHeight>
            </wp14:sizeRelV>
          </wp:anchor>
        </w:drawing>
      </w:r>
    </w:p>
    <w:p w14:paraId="60BF7033" w14:textId="77777777" w:rsidR="002907D3" w:rsidRDefault="002907D3" w:rsidP="005E0541"/>
    <w:p w14:paraId="2B4045F8" w14:textId="77777777" w:rsidR="002907D3" w:rsidRDefault="002907D3" w:rsidP="005E0541"/>
    <w:p w14:paraId="5BC91515" w14:textId="77777777" w:rsidR="002907D3" w:rsidRDefault="002907D3" w:rsidP="005E0541"/>
    <w:p w14:paraId="4C3AA63D" w14:textId="77777777" w:rsidR="002907D3" w:rsidRDefault="002907D3" w:rsidP="005E0541"/>
    <w:p w14:paraId="01084350" w14:textId="77777777" w:rsidR="002907D3" w:rsidRDefault="002907D3" w:rsidP="005E0541"/>
    <w:p w14:paraId="350AFCAD" w14:textId="77777777" w:rsidR="002907D3" w:rsidRPr="005E0541" w:rsidRDefault="002907D3" w:rsidP="005E0541"/>
    <w:p w14:paraId="018C3D90" w14:textId="77777777" w:rsidR="002907D3" w:rsidRDefault="002907D3" w:rsidP="00772396">
      <w:pPr>
        <w:pStyle w:val="Title"/>
        <w:spacing w:after="0" w:line="240" w:lineRule="auto"/>
        <w:rPr>
          <w:color w:val="auto"/>
          <w:sz w:val="44"/>
          <w:szCs w:val="44"/>
        </w:rPr>
      </w:pPr>
      <w:bookmarkStart w:id="3" w:name="_Toc452644135"/>
      <w:bookmarkStart w:id="4" w:name="_Toc452709198"/>
      <w:bookmarkStart w:id="5" w:name="_Toc468884675"/>
    </w:p>
    <w:p w14:paraId="7C226B94" w14:textId="77777777" w:rsidR="002907D3" w:rsidRDefault="002907D3" w:rsidP="00772396">
      <w:pPr>
        <w:pStyle w:val="Title"/>
        <w:spacing w:after="0" w:line="240" w:lineRule="auto"/>
        <w:rPr>
          <w:color w:val="auto"/>
          <w:sz w:val="44"/>
          <w:szCs w:val="44"/>
        </w:rPr>
      </w:pPr>
    </w:p>
    <w:p w14:paraId="4F86000B" w14:textId="77777777" w:rsidR="002907D3" w:rsidRDefault="002907D3" w:rsidP="00772396">
      <w:pPr>
        <w:pStyle w:val="Title"/>
        <w:spacing w:after="0" w:line="240" w:lineRule="auto"/>
        <w:rPr>
          <w:color w:val="auto"/>
          <w:sz w:val="44"/>
          <w:szCs w:val="44"/>
        </w:rPr>
      </w:pPr>
    </w:p>
    <w:p w14:paraId="62BC8993" w14:textId="77777777" w:rsidR="002907D3" w:rsidRDefault="002907D3" w:rsidP="00772396">
      <w:pPr>
        <w:pStyle w:val="Title"/>
        <w:spacing w:after="0" w:line="240" w:lineRule="auto"/>
        <w:rPr>
          <w:color w:val="auto"/>
          <w:sz w:val="44"/>
          <w:szCs w:val="44"/>
        </w:rPr>
      </w:pPr>
    </w:p>
    <w:p w14:paraId="75F6B599" w14:textId="77777777" w:rsidR="002907D3" w:rsidRDefault="002907D3" w:rsidP="00772396">
      <w:pPr>
        <w:pStyle w:val="Title"/>
        <w:spacing w:after="0" w:line="240" w:lineRule="auto"/>
        <w:rPr>
          <w:color w:val="auto"/>
          <w:sz w:val="44"/>
          <w:szCs w:val="44"/>
        </w:rPr>
      </w:pPr>
    </w:p>
    <w:p w14:paraId="14A1AFB0" w14:textId="77777777" w:rsidR="002907D3" w:rsidRDefault="002907D3" w:rsidP="00772396">
      <w:pPr>
        <w:pStyle w:val="Title"/>
        <w:spacing w:after="0" w:line="240" w:lineRule="auto"/>
        <w:rPr>
          <w:color w:val="auto"/>
          <w:sz w:val="44"/>
          <w:szCs w:val="44"/>
        </w:rPr>
      </w:pPr>
    </w:p>
    <w:p w14:paraId="19DDA538" w14:textId="77777777" w:rsidR="00EE276D" w:rsidRPr="00EE276D" w:rsidRDefault="006F6665" w:rsidP="00EE276D">
      <w:pPr>
        <w:pStyle w:val="Title"/>
        <w:spacing w:after="0" w:line="240" w:lineRule="auto"/>
      </w:pPr>
      <w:r w:rsidRPr="00EE276D">
        <w:rPr>
          <w:rFonts w:ascii="Arial" w:hAnsi="Arial" w:cs="Arial"/>
          <w:color w:val="auto"/>
        </w:rPr>
        <w:t>Regulator Performance Framework</w:t>
      </w:r>
      <w:bookmarkEnd w:id="3"/>
      <w:bookmarkEnd w:id="4"/>
      <w:bookmarkEnd w:id="5"/>
      <w:r w:rsidR="00EE276D" w:rsidRPr="00EE276D">
        <w:rPr>
          <w:rFonts w:ascii="Arial" w:hAnsi="Arial" w:cs="Arial"/>
          <w:color w:val="auto"/>
        </w:rPr>
        <w:t>:</w:t>
      </w:r>
    </w:p>
    <w:p w14:paraId="6718043F" w14:textId="77777777" w:rsidR="00347EA5" w:rsidRPr="00EE276D" w:rsidRDefault="00347EA5" w:rsidP="00347EA5">
      <w:pPr>
        <w:pStyle w:val="Title"/>
        <w:spacing w:after="0" w:line="240" w:lineRule="auto"/>
        <w:rPr>
          <w:color w:val="auto"/>
        </w:rPr>
      </w:pPr>
      <w:r w:rsidRPr="00EE276D">
        <w:rPr>
          <w:rFonts w:ascii="Arial" w:hAnsi="Arial" w:cs="Arial"/>
          <w:color w:val="auto"/>
        </w:rPr>
        <w:t xml:space="preserve">2017-18 </w:t>
      </w:r>
      <w:r w:rsidR="00EE276D" w:rsidRPr="00EE276D">
        <w:rPr>
          <w:rFonts w:ascii="Arial" w:hAnsi="Arial" w:cs="Arial"/>
          <w:color w:val="auto"/>
        </w:rPr>
        <w:t>s</w:t>
      </w:r>
      <w:r w:rsidRPr="00EE276D">
        <w:rPr>
          <w:rFonts w:ascii="Arial" w:hAnsi="Arial" w:cs="Arial"/>
          <w:color w:val="auto"/>
        </w:rPr>
        <w:t>elf-</w:t>
      </w:r>
      <w:r w:rsidR="00EE276D" w:rsidRPr="00EE276D">
        <w:rPr>
          <w:rFonts w:ascii="Arial" w:hAnsi="Arial" w:cs="Arial"/>
          <w:color w:val="auto"/>
        </w:rPr>
        <w:t>a</w:t>
      </w:r>
      <w:r w:rsidRPr="00EE276D">
        <w:rPr>
          <w:rFonts w:ascii="Arial" w:hAnsi="Arial" w:cs="Arial"/>
          <w:color w:val="auto"/>
        </w:rPr>
        <w:t>ssessment</w:t>
      </w:r>
      <w:r w:rsidRPr="00EE276D">
        <w:rPr>
          <w:color w:val="auto"/>
        </w:rPr>
        <w:t xml:space="preserve"> </w:t>
      </w:r>
    </w:p>
    <w:p w14:paraId="1F67D9DA" w14:textId="77777777" w:rsidR="00347EA5" w:rsidRPr="00347EA5" w:rsidRDefault="00347EA5" w:rsidP="00347EA5"/>
    <w:p w14:paraId="6E1D486C" w14:textId="77777777" w:rsidR="006F6665" w:rsidRPr="00772396" w:rsidRDefault="006F6665" w:rsidP="00772396">
      <w:pPr>
        <w:spacing w:after="0" w:line="240" w:lineRule="auto"/>
        <w:rPr>
          <w:rFonts w:cs="Times New Roman"/>
          <w:b/>
        </w:rPr>
      </w:pPr>
    </w:p>
    <w:p w14:paraId="74705B55" w14:textId="77777777" w:rsidR="002907D3" w:rsidRDefault="002907D3" w:rsidP="002907D3">
      <w:pPr>
        <w:tabs>
          <w:tab w:val="left" w:pos="5895"/>
        </w:tabs>
        <w:rPr>
          <w:b/>
        </w:rPr>
      </w:pPr>
      <w:bookmarkStart w:id="6" w:name="_Toc453069556"/>
      <w:bookmarkStart w:id="7" w:name="_Toc497215468"/>
      <w:r>
        <w:rPr>
          <w:b/>
        </w:rPr>
        <w:tab/>
      </w:r>
    </w:p>
    <w:p w14:paraId="156CAEB6" w14:textId="77777777" w:rsidR="00851F51" w:rsidRDefault="00851F51" w:rsidP="002907D3">
      <w:pPr>
        <w:tabs>
          <w:tab w:val="left" w:pos="5895"/>
        </w:tabs>
        <w:rPr>
          <w:b/>
        </w:rPr>
      </w:pPr>
      <w:r w:rsidRPr="002907D3">
        <w:br w:type="page"/>
      </w:r>
      <w:r w:rsidR="002907D3">
        <w:rPr>
          <w:b/>
        </w:rPr>
        <w:lastRenderedPageBreak/>
        <w:tab/>
      </w:r>
    </w:p>
    <w:sdt>
      <w:sdtPr>
        <w:rPr>
          <w:rFonts w:asciiTheme="minorHAnsi" w:eastAsiaTheme="minorHAnsi" w:hAnsiTheme="minorHAnsi" w:cstheme="minorBidi"/>
          <w:color w:val="auto"/>
          <w:sz w:val="22"/>
          <w:szCs w:val="22"/>
          <w:lang w:val="en-AU"/>
        </w:rPr>
        <w:id w:val="-106975344"/>
        <w:docPartObj>
          <w:docPartGallery w:val="Table of Contents"/>
          <w:docPartUnique/>
        </w:docPartObj>
      </w:sdtPr>
      <w:sdtEndPr>
        <w:rPr>
          <w:b/>
          <w:bCs/>
          <w:noProof/>
        </w:rPr>
      </w:sdtEndPr>
      <w:sdtContent>
        <w:p w14:paraId="05774613" w14:textId="77777777" w:rsidR="00851F51" w:rsidRDefault="00851F51">
          <w:pPr>
            <w:pStyle w:val="TOCHeading"/>
            <w:rPr>
              <w:b/>
            </w:rPr>
          </w:pPr>
          <w:r w:rsidRPr="005B6935">
            <w:rPr>
              <w:b/>
            </w:rPr>
            <w:t>Contents</w:t>
          </w:r>
        </w:p>
        <w:p w14:paraId="18D83C0B" w14:textId="4AC0309E" w:rsidR="00330DDE" w:rsidRDefault="00851F51">
          <w:pPr>
            <w:pStyle w:val="TOC1"/>
            <w:rPr>
              <w:rFonts w:eastAsiaTheme="minorEastAsia"/>
              <w:noProof/>
              <w:lang w:eastAsia="en-AU"/>
            </w:rPr>
          </w:pPr>
          <w:r>
            <w:fldChar w:fldCharType="begin"/>
          </w:r>
          <w:r>
            <w:instrText xml:space="preserve"> TOC \o "1-3" \h \z \u </w:instrText>
          </w:r>
          <w:r>
            <w:fldChar w:fldCharType="separate"/>
          </w:r>
          <w:hyperlink w:anchor="_Toc528835731" w:history="1">
            <w:r w:rsidR="00330DDE" w:rsidRPr="004472CF">
              <w:rPr>
                <w:rStyle w:val="Hyperlink"/>
                <w:b/>
                <w:noProof/>
              </w:rPr>
              <w:t>Overview</w:t>
            </w:r>
            <w:r w:rsidR="00330DDE">
              <w:rPr>
                <w:noProof/>
                <w:webHidden/>
              </w:rPr>
              <w:tab/>
            </w:r>
            <w:r w:rsidR="00330DDE">
              <w:rPr>
                <w:noProof/>
                <w:webHidden/>
              </w:rPr>
              <w:fldChar w:fldCharType="begin"/>
            </w:r>
            <w:r w:rsidR="00330DDE">
              <w:rPr>
                <w:noProof/>
                <w:webHidden/>
              </w:rPr>
              <w:instrText xml:space="preserve"> PAGEREF _Toc528835731 \h </w:instrText>
            </w:r>
            <w:r w:rsidR="00330DDE">
              <w:rPr>
                <w:noProof/>
                <w:webHidden/>
              </w:rPr>
            </w:r>
            <w:r w:rsidR="00330DDE">
              <w:rPr>
                <w:noProof/>
                <w:webHidden/>
              </w:rPr>
              <w:fldChar w:fldCharType="separate"/>
            </w:r>
            <w:r w:rsidR="00330DDE">
              <w:rPr>
                <w:noProof/>
                <w:webHidden/>
              </w:rPr>
              <w:t>3</w:t>
            </w:r>
            <w:r w:rsidR="00330DDE">
              <w:rPr>
                <w:noProof/>
                <w:webHidden/>
              </w:rPr>
              <w:fldChar w:fldCharType="end"/>
            </w:r>
          </w:hyperlink>
        </w:p>
        <w:p w14:paraId="3A843309" w14:textId="09D54812" w:rsidR="00330DDE" w:rsidRDefault="003738AE">
          <w:pPr>
            <w:pStyle w:val="TOC1"/>
            <w:rPr>
              <w:rFonts w:eastAsiaTheme="minorEastAsia"/>
              <w:noProof/>
              <w:lang w:eastAsia="en-AU"/>
            </w:rPr>
          </w:pPr>
          <w:hyperlink w:anchor="_Toc528835732" w:history="1">
            <w:r w:rsidR="00330DDE" w:rsidRPr="004472CF">
              <w:rPr>
                <w:rStyle w:val="Hyperlink"/>
                <w:b/>
                <w:noProof/>
              </w:rPr>
              <w:t>About NOPTA</w:t>
            </w:r>
            <w:r w:rsidR="00330DDE">
              <w:rPr>
                <w:noProof/>
                <w:webHidden/>
              </w:rPr>
              <w:tab/>
            </w:r>
            <w:r w:rsidR="00330DDE">
              <w:rPr>
                <w:noProof/>
                <w:webHidden/>
              </w:rPr>
              <w:fldChar w:fldCharType="begin"/>
            </w:r>
            <w:r w:rsidR="00330DDE">
              <w:rPr>
                <w:noProof/>
                <w:webHidden/>
              </w:rPr>
              <w:instrText xml:space="preserve"> PAGEREF _Toc528835732 \h </w:instrText>
            </w:r>
            <w:r w:rsidR="00330DDE">
              <w:rPr>
                <w:noProof/>
                <w:webHidden/>
              </w:rPr>
            </w:r>
            <w:r w:rsidR="00330DDE">
              <w:rPr>
                <w:noProof/>
                <w:webHidden/>
              </w:rPr>
              <w:fldChar w:fldCharType="separate"/>
            </w:r>
            <w:r w:rsidR="00330DDE">
              <w:rPr>
                <w:noProof/>
                <w:webHidden/>
              </w:rPr>
              <w:t>4</w:t>
            </w:r>
            <w:r w:rsidR="00330DDE">
              <w:rPr>
                <w:noProof/>
                <w:webHidden/>
              </w:rPr>
              <w:fldChar w:fldCharType="end"/>
            </w:r>
          </w:hyperlink>
        </w:p>
        <w:p w14:paraId="7CA6AD38" w14:textId="282752DB" w:rsidR="00330DDE" w:rsidRDefault="003738AE">
          <w:pPr>
            <w:pStyle w:val="TOC1"/>
            <w:rPr>
              <w:rFonts w:eastAsiaTheme="minorEastAsia"/>
              <w:noProof/>
              <w:lang w:eastAsia="en-AU"/>
            </w:rPr>
          </w:pPr>
          <w:hyperlink w:anchor="_Toc528835733" w:history="1">
            <w:r w:rsidR="00330DDE" w:rsidRPr="004472CF">
              <w:rPr>
                <w:rStyle w:val="Hyperlink"/>
                <w:b/>
                <w:noProof/>
              </w:rPr>
              <w:t>NOPTA Self-assessment</w:t>
            </w:r>
            <w:r w:rsidR="00330DDE">
              <w:rPr>
                <w:noProof/>
                <w:webHidden/>
              </w:rPr>
              <w:tab/>
            </w:r>
            <w:r w:rsidR="00330DDE">
              <w:rPr>
                <w:noProof/>
                <w:webHidden/>
              </w:rPr>
              <w:fldChar w:fldCharType="begin"/>
            </w:r>
            <w:r w:rsidR="00330DDE">
              <w:rPr>
                <w:noProof/>
                <w:webHidden/>
              </w:rPr>
              <w:instrText xml:space="preserve"> PAGEREF _Toc528835733 \h </w:instrText>
            </w:r>
            <w:r w:rsidR="00330DDE">
              <w:rPr>
                <w:noProof/>
                <w:webHidden/>
              </w:rPr>
            </w:r>
            <w:r w:rsidR="00330DDE">
              <w:rPr>
                <w:noProof/>
                <w:webHidden/>
              </w:rPr>
              <w:fldChar w:fldCharType="separate"/>
            </w:r>
            <w:r w:rsidR="00330DDE">
              <w:rPr>
                <w:noProof/>
                <w:webHidden/>
              </w:rPr>
              <w:t>5</w:t>
            </w:r>
            <w:r w:rsidR="00330DDE">
              <w:rPr>
                <w:noProof/>
                <w:webHidden/>
              </w:rPr>
              <w:fldChar w:fldCharType="end"/>
            </w:r>
          </w:hyperlink>
        </w:p>
        <w:p w14:paraId="21502C17" w14:textId="1EF1D348" w:rsidR="00330DDE" w:rsidRDefault="003738AE">
          <w:pPr>
            <w:pStyle w:val="TOC2"/>
            <w:tabs>
              <w:tab w:val="right" w:leader="dot" w:pos="9016"/>
            </w:tabs>
            <w:rPr>
              <w:rFonts w:eastAsiaTheme="minorEastAsia"/>
              <w:noProof/>
              <w:lang w:eastAsia="en-AU"/>
            </w:rPr>
          </w:pPr>
          <w:hyperlink w:anchor="_Toc528835734" w:history="1">
            <w:r w:rsidR="00330DDE" w:rsidRPr="004472CF">
              <w:rPr>
                <w:rStyle w:val="Hyperlink"/>
                <w:b/>
                <w:noProof/>
              </w:rPr>
              <w:t>KPI 1: Regulators do not unnecessarily impede the efficient operation of regulated entities</w:t>
            </w:r>
            <w:r w:rsidR="00330DDE">
              <w:rPr>
                <w:noProof/>
                <w:webHidden/>
              </w:rPr>
              <w:tab/>
            </w:r>
            <w:r w:rsidR="00330DDE">
              <w:rPr>
                <w:noProof/>
                <w:webHidden/>
              </w:rPr>
              <w:fldChar w:fldCharType="begin"/>
            </w:r>
            <w:r w:rsidR="00330DDE">
              <w:rPr>
                <w:noProof/>
                <w:webHidden/>
              </w:rPr>
              <w:instrText xml:space="preserve"> PAGEREF _Toc528835734 \h </w:instrText>
            </w:r>
            <w:r w:rsidR="00330DDE">
              <w:rPr>
                <w:noProof/>
                <w:webHidden/>
              </w:rPr>
            </w:r>
            <w:r w:rsidR="00330DDE">
              <w:rPr>
                <w:noProof/>
                <w:webHidden/>
              </w:rPr>
              <w:fldChar w:fldCharType="separate"/>
            </w:r>
            <w:r w:rsidR="00330DDE">
              <w:rPr>
                <w:noProof/>
                <w:webHidden/>
              </w:rPr>
              <w:t>5</w:t>
            </w:r>
            <w:r w:rsidR="00330DDE">
              <w:rPr>
                <w:noProof/>
                <w:webHidden/>
              </w:rPr>
              <w:fldChar w:fldCharType="end"/>
            </w:r>
          </w:hyperlink>
        </w:p>
        <w:p w14:paraId="1BB833D1" w14:textId="4D2C5D78" w:rsidR="00330DDE" w:rsidRDefault="003738AE">
          <w:pPr>
            <w:pStyle w:val="TOC3"/>
            <w:tabs>
              <w:tab w:val="right" w:leader="dot" w:pos="9016"/>
            </w:tabs>
            <w:rPr>
              <w:rFonts w:eastAsiaTheme="minorEastAsia"/>
              <w:noProof/>
              <w:lang w:eastAsia="en-AU"/>
            </w:rPr>
          </w:pPr>
          <w:hyperlink w:anchor="_Toc528835735" w:history="1">
            <w:r w:rsidR="00330DDE" w:rsidRPr="004472CF">
              <w:rPr>
                <w:rStyle w:val="Hyperlink"/>
                <w:noProof/>
              </w:rPr>
              <w:t>KPI Expectations</w:t>
            </w:r>
            <w:r w:rsidR="00330DDE">
              <w:rPr>
                <w:noProof/>
                <w:webHidden/>
              </w:rPr>
              <w:tab/>
            </w:r>
            <w:r w:rsidR="00330DDE">
              <w:rPr>
                <w:noProof/>
                <w:webHidden/>
              </w:rPr>
              <w:fldChar w:fldCharType="begin"/>
            </w:r>
            <w:r w:rsidR="00330DDE">
              <w:rPr>
                <w:noProof/>
                <w:webHidden/>
              </w:rPr>
              <w:instrText xml:space="preserve"> PAGEREF _Toc528835735 \h </w:instrText>
            </w:r>
            <w:r w:rsidR="00330DDE">
              <w:rPr>
                <w:noProof/>
                <w:webHidden/>
              </w:rPr>
            </w:r>
            <w:r w:rsidR="00330DDE">
              <w:rPr>
                <w:noProof/>
                <w:webHidden/>
              </w:rPr>
              <w:fldChar w:fldCharType="separate"/>
            </w:r>
            <w:r w:rsidR="00330DDE">
              <w:rPr>
                <w:noProof/>
                <w:webHidden/>
              </w:rPr>
              <w:t>5</w:t>
            </w:r>
            <w:r w:rsidR="00330DDE">
              <w:rPr>
                <w:noProof/>
                <w:webHidden/>
              </w:rPr>
              <w:fldChar w:fldCharType="end"/>
            </w:r>
          </w:hyperlink>
        </w:p>
        <w:p w14:paraId="04A89B04" w14:textId="09EC65C0" w:rsidR="00330DDE" w:rsidRDefault="003738AE">
          <w:pPr>
            <w:pStyle w:val="TOC3"/>
            <w:tabs>
              <w:tab w:val="right" w:leader="dot" w:pos="9016"/>
            </w:tabs>
            <w:rPr>
              <w:rFonts w:eastAsiaTheme="minorEastAsia"/>
              <w:noProof/>
              <w:lang w:eastAsia="en-AU"/>
            </w:rPr>
          </w:pPr>
          <w:hyperlink w:anchor="_Toc528835736" w:history="1">
            <w:r w:rsidR="00330DDE" w:rsidRPr="004472CF">
              <w:rPr>
                <w:rStyle w:val="Hyperlink"/>
                <w:noProof/>
              </w:rPr>
              <w:t>NOPTA’s Approach</w:t>
            </w:r>
            <w:r w:rsidR="00330DDE">
              <w:rPr>
                <w:noProof/>
                <w:webHidden/>
              </w:rPr>
              <w:tab/>
            </w:r>
            <w:r w:rsidR="00330DDE">
              <w:rPr>
                <w:noProof/>
                <w:webHidden/>
              </w:rPr>
              <w:fldChar w:fldCharType="begin"/>
            </w:r>
            <w:r w:rsidR="00330DDE">
              <w:rPr>
                <w:noProof/>
                <w:webHidden/>
              </w:rPr>
              <w:instrText xml:space="preserve"> PAGEREF _Toc528835736 \h </w:instrText>
            </w:r>
            <w:r w:rsidR="00330DDE">
              <w:rPr>
                <w:noProof/>
                <w:webHidden/>
              </w:rPr>
            </w:r>
            <w:r w:rsidR="00330DDE">
              <w:rPr>
                <w:noProof/>
                <w:webHidden/>
              </w:rPr>
              <w:fldChar w:fldCharType="separate"/>
            </w:r>
            <w:r w:rsidR="00330DDE">
              <w:rPr>
                <w:noProof/>
                <w:webHidden/>
              </w:rPr>
              <w:t>5</w:t>
            </w:r>
            <w:r w:rsidR="00330DDE">
              <w:rPr>
                <w:noProof/>
                <w:webHidden/>
              </w:rPr>
              <w:fldChar w:fldCharType="end"/>
            </w:r>
          </w:hyperlink>
        </w:p>
        <w:p w14:paraId="534FA3DF" w14:textId="505FA36A" w:rsidR="00330DDE" w:rsidRDefault="003738AE">
          <w:pPr>
            <w:pStyle w:val="TOC2"/>
            <w:tabs>
              <w:tab w:val="right" w:leader="dot" w:pos="9016"/>
            </w:tabs>
            <w:rPr>
              <w:rFonts w:eastAsiaTheme="minorEastAsia"/>
              <w:noProof/>
              <w:lang w:eastAsia="en-AU"/>
            </w:rPr>
          </w:pPr>
          <w:hyperlink w:anchor="_Toc528835737" w:history="1">
            <w:r w:rsidR="00330DDE" w:rsidRPr="004472CF">
              <w:rPr>
                <w:rStyle w:val="Hyperlink"/>
                <w:b/>
                <w:noProof/>
              </w:rPr>
              <w:t>KPI 2: Communication with regulated entities is clear, targeted and effective</w:t>
            </w:r>
            <w:r w:rsidR="00330DDE">
              <w:rPr>
                <w:noProof/>
                <w:webHidden/>
              </w:rPr>
              <w:tab/>
            </w:r>
            <w:r w:rsidR="00330DDE">
              <w:rPr>
                <w:noProof/>
                <w:webHidden/>
              </w:rPr>
              <w:fldChar w:fldCharType="begin"/>
            </w:r>
            <w:r w:rsidR="00330DDE">
              <w:rPr>
                <w:noProof/>
                <w:webHidden/>
              </w:rPr>
              <w:instrText xml:space="preserve"> PAGEREF _Toc528835737 \h </w:instrText>
            </w:r>
            <w:r w:rsidR="00330DDE">
              <w:rPr>
                <w:noProof/>
                <w:webHidden/>
              </w:rPr>
            </w:r>
            <w:r w:rsidR="00330DDE">
              <w:rPr>
                <w:noProof/>
                <w:webHidden/>
              </w:rPr>
              <w:fldChar w:fldCharType="separate"/>
            </w:r>
            <w:r w:rsidR="00330DDE">
              <w:rPr>
                <w:noProof/>
                <w:webHidden/>
              </w:rPr>
              <w:t>6</w:t>
            </w:r>
            <w:r w:rsidR="00330DDE">
              <w:rPr>
                <w:noProof/>
                <w:webHidden/>
              </w:rPr>
              <w:fldChar w:fldCharType="end"/>
            </w:r>
          </w:hyperlink>
        </w:p>
        <w:p w14:paraId="314E7D6D" w14:textId="7E84B2FF" w:rsidR="00330DDE" w:rsidRDefault="003738AE">
          <w:pPr>
            <w:pStyle w:val="TOC3"/>
            <w:tabs>
              <w:tab w:val="right" w:leader="dot" w:pos="9016"/>
            </w:tabs>
            <w:rPr>
              <w:rFonts w:eastAsiaTheme="minorEastAsia"/>
              <w:noProof/>
              <w:lang w:eastAsia="en-AU"/>
            </w:rPr>
          </w:pPr>
          <w:hyperlink w:anchor="_Toc528835738" w:history="1">
            <w:r w:rsidR="00330DDE" w:rsidRPr="004472CF">
              <w:rPr>
                <w:rStyle w:val="Hyperlink"/>
                <w:noProof/>
              </w:rPr>
              <w:t>KPI Expectations</w:t>
            </w:r>
            <w:r w:rsidR="00330DDE">
              <w:rPr>
                <w:noProof/>
                <w:webHidden/>
              </w:rPr>
              <w:tab/>
            </w:r>
            <w:r w:rsidR="00330DDE">
              <w:rPr>
                <w:noProof/>
                <w:webHidden/>
              </w:rPr>
              <w:fldChar w:fldCharType="begin"/>
            </w:r>
            <w:r w:rsidR="00330DDE">
              <w:rPr>
                <w:noProof/>
                <w:webHidden/>
              </w:rPr>
              <w:instrText xml:space="preserve"> PAGEREF _Toc528835738 \h </w:instrText>
            </w:r>
            <w:r w:rsidR="00330DDE">
              <w:rPr>
                <w:noProof/>
                <w:webHidden/>
              </w:rPr>
            </w:r>
            <w:r w:rsidR="00330DDE">
              <w:rPr>
                <w:noProof/>
                <w:webHidden/>
              </w:rPr>
              <w:fldChar w:fldCharType="separate"/>
            </w:r>
            <w:r w:rsidR="00330DDE">
              <w:rPr>
                <w:noProof/>
                <w:webHidden/>
              </w:rPr>
              <w:t>6</w:t>
            </w:r>
            <w:r w:rsidR="00330DDE">
              <w:rPr>
                <w:noProof/>
                <w:webHidden/>
              </w:rPr>
              <w:fldChar w:fldCharType="end"/>
            </w:r>
          </w:hyperlink>
        </w:p>
        <w:p w14:paraId="2B2E8927" w14:textId="5B7F2555" w:rsidR="00330DDE" w:rsidRDefault="003738AE">
          <w:pPr>
            <w:pStyle w:val="TOC3"/>
            <w:tabs>
              <w:tab w:val="right" w:leader="dot" w:pos="9016"/>
            </w:tabs>
            <w:rPr>
              <w:rFonts w:eastAsiaTheme="minorEastAsia"/>
              <w:noProof/>
              <w:lang w:eastAsia="en-AU"/>
            </w:rPr>
          </w:pPr>
          <w:hyperlink w:anchor="_Toc528835739" w:history="1">
            <w:r w:rsidR="00330DDE" w:rsidRPr="004472CF">
              <w:rPr>
                <w:rStyle w:val="Hyperlink"/>
                <w:noProof/>
              </w:rPr>
              <w:t>NOPTA’s Approach</w:t>
            </w:r>
            <w:r w:rsidR="00330DDE">
              <w:rPr>
                <w:noProof/>
                <w:webHidden/>
              </w:rPr>
              <w:tab/>
            </w:r>
            <w:r w:rsidR="00330DDE">
              <w:rPr>
                <w:noProof/>
                <w:webHidden/>
              </w:rPr>
              <w:fldChar w:fldCharType="begin"/>
            </w:r>
            <w:r w:rsidR="00330DDE">
              <w:rPr>
                <w:noProof/>
                <w:webHidden/>
              </w:rPr>
              <w:instrText xml:space="preserve"> PAGEREF _Toc528835739 \h </w:instrText>
            </w:r>
            <w:r w:rsidR="00330DDE">
              <w:rPr>
                <w:noProof/>
                <w:webHidden/>
              </w:rPr>
            </w:r>
            <w:r w:rsidR="00330DDE">
              <w:rPr>
                <w:noProof/>
                <w:webHidden/>
              </w:rPr>
              <w:fldChar w:fldCharType="separate"/>
            </w:r>
            <w:r w:rsidR="00330DDE">
              <w:rPr>
                <w:noProof/>
                <w:webHidden/>
              </w:rPr>
              <w:t>6</w:t>
            </w:r>
            <w:r w:rsidR="00330DDE">
              <w:rPr>
                <w:noProof/>
                <w:webHidden/>
              </w:rPr>
              <w:fldChar w:fldCharType="end"/>
            </w:r>
          </w:hyperlink>
        </w:p>
        <w:p w14:paraId="33506CBE" w14:textId="19A97310" w:rsidR="00330DDE" w:rsidRDefault="003738AE">
          <w:pPr>
            <w:pStyle w:val="TOC2"/>
            <w:tabs>
              <w:tab w:val="right" w:leader="dot" w:pos="9016"/>
            </w:tabs>
            <w:rPr>
              <w:rFonts w:eastAsiaTheme="minorEastAsia"/>
              <w:noProof/>
              <w:lang w:eastAsia="en-AU"/>
            </w:rPr>
          </w:pPr>
          <w:hyperlink w:anchor="_Toc528835740" w:history="1">
            <w:r w:rsidR="00330DDE" w:rsidRPr="004472CF">
              <w:rPr>
                <w:rStyle w:val="Hyperlink"/>
                <w:b/>
                <w:noProof/>
              </w:rPr>
              <w:t>KPI 3: Actions undertaken by regulators are proportionate to the regulatory risk being managed</w:t>
            </w:r>
            <w:r w:rsidR="00330DDE">
              <w:rPr>
                <w:noProof/>
                <w:webHidden/>
              </w:rPr>
              <w:tab/>
            </w:r>
            <w:r w:rsidR="00330DDE">
              <w:rPr>
                <w:noProof/>
                <w:webHidden/>
              </w:rPr>
              <w:fldChar w:fldCharType="begin"/>
            </w:r>
            <w:r w:rsidR="00330DDE">
              <w:rPr>
                <w:noProof/>
                <w:webHidden/>
              </w:rPr>
              <w:instrText xml:space="preserve"> PAGEREF _Toc528835740 \h </w:instrText>
            </w:r>
            <w:r w:rsidR="00330DDE">
              <w:rPr>
                <w:noProof/>
                <w:webHidden/>
              </w:rPr>
            </w:r>
            <w:r w:rsidR="00330DDE">
              <w:rPr>
                <w:noProof/>
                <w:webHidden/>
              </w:rPr>
              <w:fldChar w:fldCharType="separate"/>
            </w:r>
            <w:r w:rsidR="00330DDE">
              <w:rPr>
                <w:noProof/>
                <w:webHidden/>
              </w:rPr>
              <w:t>8</w:t>
            </w:r>
            <w:r w:rsidR="00330DDE">
              <w:rPr>
                <w:noProof/>
                <w:webHidden/>
              </w:rPr>
              <w:fldChar w:fldCharType="end"/>
            </w:r>
          </w:hyperlink>
        </w:p>
        <w:p w14:paraId="2F688B1E" w14:textId="69AC2E2F" w:rsidR="00330DDE" w:rsidRDefault="003738AE">
          <w:pPr>
            <w:pStyle w:val="TOC3"/>
            <w:tabs>
              <w:tab w:val="right" w:leader="dot" w:pos="9016"/>
            </w:tabs>
            <w:rPr>
              <w:rFonts w:eastAsiaTheme="minorEastAsia"/>
              <w:noProof/>
              <w:lang w:eastAsia="en-AU"/>
            </w:rPr>
          </w:pPr>
          <w:hyperlink w:anchor="_Toc528835741" w:history="1">
            <w:r w:rsidR="00330DDE" w:rsidRPr="004472CF">
              <w:rPr>
                <w:rStyle w:val="Hyperlink"/>
                <w:noProof/>
              </w:rPr>
              <w:t>KPI Expectations</w:t>
            </w:r>
            <w:r w:rsidR="00330DDE">
              <w:rPr>
                <w:noProof/>
                <w:webHidden/>
              </w:rPr>
              <w:tab/>
            </w:r>
            <w:r w:rsidR="00330DDE">
              <w:rPr>
                <w:noProof/>
                <w:webHidden/>
              </w:rPr>
              <w:fldChar w:fldCharType="begin"/>
            </w:r>
            <w:r w:rsidR="00330DDE">
              <w:rPr>
                <w:noProof/>
                <w:webHidden/>
              </w:rPr>
              <w:instrText xml:space="preserve"> PAGEREF _Toc528835741 \h </w:instrText>
            </w:r>
            <w:r w:rsidR="00330DDE">
              <w:rPr>
                <w:noProof/>
                <w:webHidden/>
              </w:rPr>
            </w:r>
            <w:r w:rsidR="00330DDE">
              <w:rPr>
                <w:noProof/>
                <w:webHidden/>
              </w:rPr>
              <w:fldChar w:fldCharType="separate"/>
            </w:r>
            <w:r w:rsidR="00330DDE">
              <w:rPr>
                <w:noProof/>
                <w:webHidden/>
              </w:rPr>
              <w:t>8</w:t>
            </w:r>
            <w:r w:rsidR="00330DDE">
              <w:rPr>
                <w:noProof/>
                <w:webHidden/>
              </w:rPr>
              <w:fldChar w:fldCharType="end"/>
            </w:r>
          </w:hyperlink>
        </w:p>
        <w:p w14:paraId="58ADCC6C" w14:textId="4E8D57EB" w:rsidR="00330DDE" w:rsidRDefault="003738AE">
          <w:pPr>
            <w:pStyle w:val="TOC3"/>
            <w:tabs>
              <w:tab w:val="right" w:leader="dot" w:pos="9016"/>
            </w:tabs>
            <w:rPr>
              <w:rFonts w:eastAsiaTheme="minorEastAsia"/>
              <w:noProof/>
              <w:lang w:eastAsia="en-AU"/>
            </w:rPr>
          </w:pPr>
          <w:hyperlink w:anchor="_Toc528835742" w:history="1">
            <w:r w:rsidR="00330DDE" w:rsidRPr="004472CF">
              <w:rPr>
                <w:rStyle w:val="Hyperlink"/>
                <w:noProof/>
              </w:rPr>
              <w:t>NOPTA’s Approach</w:t>
            </w:r>
            <w:r w:rsidR="00330DDE">
              <w:rPr>
                <w:noProof/>
                <w:webHidden/>
              </w:rPr>
              <w:tab/>
            </w:r>
            <w:r w:rsidR="00330DDE">
              <w:rPr>
                <w:noProof/>
                <w:webHidden/>
              </w:rPr>
              <w:fldChar w:fldCharType="begin"/>
            </w:r>
            <w:r w:rsidR="00330DDE">
              <w:rPr>
                <w:noProof/>
                <w:webHidden/>
              </w:rPr>
              <w:instrText xml:space="preserve"> PAGEREF _Toc528835742 \h </w:instrText>
            </w:r>
            <w:r w:rsidR="00330DDE">
              <w:rPr>
                <w:noProof/>
                <w:webHidden/>
              </w:rPr>
            </w:r>
            <w:r w:rsidR="00330DDE">
              <w:rPr>
                <w:noProof/>
                <w:webHidden/>
              </w:rPr>
              <w:fldChar w:fldCharType="separate"/>
            </w:r>
            <w:r w:rsidR="00330DDE">
              <w:rPr>
                <w:noProof/>
                <w:webHidden/>
              </w:rPr>
              <w:t>8</w:t>
            </w:r>
            <w:r w:rsidR="00330DDE">
              <w:rPr>
                <w:noProof/>
                <w:webHidden/>
              </w:rPr>
              <w:fldChar w:fldCharType="end"/>
            </w:r>
          </w:hyperlink>
        </w:p>
        <w:p w14:paraId="1E8832DD" w14:textId="7A5B8996" w:rsidR="00330DDE" w:rsidRDefault="003738AE">
          <w:pPr>
            <w:pStyle w:val="TOC2"/>
            <w:tabs>
              <w:tab w:val="right" w:leader="dot" w:pos="9016"/>
            </w:tabs>
            <w:rPr>
              <w:rFonts w:eastAsiaTheme="minorEastAsia"/>
              <w:noProof/>
              <w:lang w:eastAsia="en-AU"/>
            </w:rPr>
          </w:pPr>
          <w:hyperlink w:anchor="_Toc528835743" w:history="1">
            <w:r w:rsidR="00330DDE" w:rsidRPr="004472CF">
              <w:rPr>
                <w:rStyle w:val="Hyperlink"/>
                <w:b/>
                <w:noProof/>
              </w:rPr>
              <w:t>KPI 4: Compliance and monitoring approaches are streamlined and coordinated</w:t>
            </w:r>
            <w:r w:rsidR="00330DDE">
              <w:rPr>
                <w:noProof/>
                <w:webHidden/>
              </w:rPr>
              <w:tab/>
            </w:r>
            <w:r w:rsidR="00330DDE">
              <w:rPr>
                <w:noProof/>
                <w:webHidden/>
              </w:rPr>
              <w:fldChar w:fldCharType="begin"/>
            </w:r>
            <w:r w:rsidR="00330DDE">
              <w:rPr>
                <w:noProof/>
                <w:webHidden/>
              </w:rPr>
              <w:instrText xml:space="preserve"> PAGEREF _Toc528835743 \h </w:instrText>
            </w:r>
            <w:r w:rsidR="00330DDE">
              <w:rPr>
                <w:noProof/>
                <w:webHidden/>
              </w:rPr>
            </w:r>
            <w:r w:rsidR="00330DDE">
              <w:rPr>
                <w:noProof/>
                <w:webHidden/>
              </w:rPr>
              <w:fldChar w:fldCharType="separate"/>
            </w:r>
            <w:r w:rsidR="00330DDE">
              <w:rPr>
                <w:noProof/>
                <w:webHidden/>
              </w:rPr>
              <w:t>9</w:t>
            </w:r>
            <w:r w:rsidR="00330DDE">
              <w:rPr>
                <w:noProof/>
                <w:webHidden/>
              </w:rPr>
              <w:fldChar w:fldCharType="end"/>
            </w:r>
          </w:hyperlink>
        </w:p>
        <w:p w14:paraId="6A1403C7" w14:textId="28A1CF4C" w:rsidR="00330DDE" w:rsidRDefault="003738AE">
          <w:pPr>
            <w:pStyle w:val="TOC3"/>
            <w:tabs>
              <w:tab w:val="right" w:leader="dot" w:pos="9016"/>
            </w:tabs>
            <w:rPr>
              <w:rFonts w:eastAsiaTheme="minorEastAsia"/>
              <w:noProof/>
              <w:lang w:eastAsia="en-AU"/>
            </w:rPr>
          </w:pPr>
          <w:hyperlink w:anchor="_Toc528835744" w:history="1">
            <w:r w:rsidR="00330DDE" w:rsidRPr="004472CF">
              <w:rPr>
                <w:rStyle w:val="Hyperlink"/>
                <w:noProof/>
              </w:rPr>
              <w:t>KPI Expectations</w:t>
            </w:r>
            <w:r w:rsidR="00330DDE">
              <w:rPr>
                <w:noProof/>
                <w:webHidden/>
              </w:rPr>
              <w:tab/>
            </w:r>
            <w:r w:rsidR="00330DDE">
              <w:rPr>
                <w:noProof/>
                <w:webHidden/>
              </w:rPr>
              <w:fldChar w:fldCharType="begin"/>
            </w:r>
            <w:r w:rsidR="00330DDE">
              <w:rPr>
                <w:noProof/>
                <w:webHidden/>
              </w:rPr>
              <w:instrText xml:space="preserve"> PAGEREF _Toc528835744 \h </w:instrText>
            </w:r>
            <w:r w:rsidR="00330DDE">
              <w:rPr>
                <w:noProof/>
                <w:webHidden/>
              </w:rPr>
            </w:r>
            <w:r w:rsidR="00330DDE">
              <w:rPr>
                <w:noProof/>
                <w:webHidden/>
              </w:rPr>
              <w:fldChar w:fldCharType="separate"/>
            </w:r>
            <w:r w:rsidR="00330DDE">
              <w:rPr>
                <w:noProof/>
                <w:webHidden/>
              </w:rPr>
              <w:t>9</w:t>
            </w:r>
            <w:r w:rsidR="00330DDE">
              <w:rPr>
                <w:noProof/>
                <w:webHidden/>
              </w:rPr>
              <w:fldChar w:fldCharType="end"/>
            </w:r>
          </w:hyperlink>
        </w:p>
        <w:p w14:paraId="1CE1CBAD" w14:textId="5F06E2B7" w:rsidR="00330DDE" w:rsidRDefault="003738AE">
          <w:pPr>
            <w:pStyle w:val="TOC3"/>
            <w:tabs>
              <w:tab w:val="right" w:leader="dot" w:pos="9016"/>
            </w:tabs>
            <w:rPr>
              <w:rFonts w:eastAsiaTheme="minorEastAsia"/>
              <w:noProof/>
              <w:lang w:eastAsia="en-AU"/>
            </w:rPr>
          </w:pPr>
          <w:hyperlink w:anchor="_Toc528835745" w:history="1">
            <w:r w:rsidR="00330DDE" w:rsidRPr="004472CF">
              <w:rPr>
                <w:rStyle w:val="Hyperlink"/>
                <w:noProof/>
              </w:rPr>
              <w:t>NOPTA’s Approach</w:t>
            </w:r>
            <w:r w:rsidR="00330DDE">
              <w:rPr>
                <w:noProof/>
                <w:webHidden/>
              </w:rPr>
              <w:tab/>
            </w:r>
            <w:r w:rsidR="00330DDE">
              <w:rPr>
                <w:noProof/>
                <w:webHidden/>
              </w:rPr>
              <w:fldChar w:fldCharType="begin"/>
            </w:r>
            <w:r w:rsidR="00330DDE">
              <w:rPr>
                <w:noProof/>
                <w:webHidden/>
              </w:rPr>
              <w:instrText xml:space="preserve"> PAGEREF _Toc528835745 \h </w:instrText>
            </w:r>
            <w:r w:rsidR="00330DDE">
              <w:rPr>
                <w:noProof/>
                <w:webHidden/>
              </w:rPr>
            </w:r>
            <w:r w:rsidR="00330DDE">
              <w:rPr>
                <w:noProof/>
                <w:webHidden/>
              </w:rPr>
              <w:fldChar w:fldCharType="separate"/>
            </w:r>
            <w:r w:rsidR="00330DDE">
              <w:rPr>
                <w:noProof/>
                <w:webHidden/>
              </w:rPr>
              <w:t>9</w:t>
            </w:r>
            <w:r w:rsidR="00330DDE">
              <w:rPr>
                <w:noProof/>
                <w:webHidden/>
              </w:rPr>
              <w:fldChar w:fldCharType="end"/>
            </w:r>
          </w:hyperlink>
        </w:p>
        <w:p w14:paraId="1D4F7248" w14:textId="1502CF7D" w:rsidR="00330DDE" w:rsidRDefault="003738AE">
          <w:pPr>
            <w:pStyle w:val="TOC2"/>
            <w:tabs>
              <w:tab w:val="right" w:leader="dot" w:pos="9016"/>
            </w:tabs>
            <w:rPr>
              <w:rFonts w:eastAsiaTheme="minorEastAsia"/>
              <w:noProof/>
              <w:lang w:eastAsia="en-AU"/>
            </w:rPr>
          </w:pPr>
          <w:hyperlink w:anchor="_Toc528835746" w:history="1">
            <w:r w:rsidR="00330DDE" w:rsidRPr="004472CF">
              <w:rPr>
                <w:rStyle w:val="Hyperlink"/>
                <w:b/>
                <w:noProof/>
              </w:rPr>
              <w:t>KPI 5: Regulators are open and transparent in their dealings with regulated entities</w:t>
            </w:r>
            <w:r w:rsidR="00330DDE">
              <w:rPr>
                <w:noProof/>
                <w:webHidden/>
              </w:rPr>
              <w:tab/>
            </w:r>
            <w:r w:rsidR="00330DDE">
              <w:rPr>
                <w:noProof/>
                <w:webHidden/>
              </w:rPr>
              <w:fldChar w:fldCharType="begin"/>
            </w:r>
            <w:r w:rsidR="00330DDE">
              <w:rPr>
                <w:noProof/>
                <w:webHidden/>
              </w:rPr>
              <w:instrText xml:space="preserve"> PAGEREF _Toc528835746 \h </w:instrText>
            </w:r>
            <w:r w:rsidR="00330DDE">
              <w:rPr>
                <w:noProof/>
                <w:webHidden/>
              </w:rPr>
            </w:r>
            <w:r w:rsidR="00330DDE">
              <w:rPr>
                <w:noProof/>
                <w:webHidden/>
              </w:rPr>
              <w:fldChar w:fldCharType="separate"/>
            </w:r>
            <w:r w:rsidR="00330DDE">
              <w:rPr>
                <w:noProof/>
                <w:webHidden/>
              </w:rPr>
              <w:t>10</w:t>
            </w:r>
            <w:r w:rsidR="00330DDE">
              <w:rPr>
                <w:noProof/>
                <w:webHidden/>
              </w:rPr>
              <w:fldChar w:fldCharType="end"/>
            </w:r>
          </w:hyperlink>
        </w:p>
        <w:p w14:paraId="0BE0041C" w14:textId="09522308" w:rsidR="00330DDE" w:rsidRDefault="003738AE">
          <w:pPr>
            <w:pStyle w:val="TOC3"/>
            <w:tabs>
              <w:tab w:val="right" w:leader="dot" w:pos="9016"/>
            </w:tabs>
            <w:rPr>
              <w:rFonts w:eastAsiaTheme="minorEastAsia"/>
              <w:noProof/>
              <w:lang w:eastAsia="en-AU"/>
            </w:rPr>
          </w:pPr>
          <w:hyperlink w:anchor="_Toc528835747" w:history="1">
            <w:r w:rsidR="00330DDE" w:rsidRPr="004472CF">
              <w:rPr>
                <w:rStyle w:val="Hyperlink"/>
                <w:noProof/>
              </w:rPr>
              <w:t>KPI Expectations</w:t>
            </w:r>
            <w:r w:rsidR="00330DDE">
              <w:rPr>
                <w:noProof/>
                <w:webHidden/>
              </w:rPr>
              <w:tab/>
            </w:r>
            <w:r w:rsidR="00330DDE">
              <w:rPr>
                <w:noProof/>
                <w:webHidden/>
              </w:rPr>
              <w:fldChar w:fldCharType="begin"/>
            </w:r>
            <w:r w:rsidR="00330DDE">
              <w:rPr>
                <w:noProof/>
                <w:webHidden/>
              </w:rPr>
              <w:instrText xml:space="preserve"> PAGEREF _Toc528835747 \h </w:instrText>
            </w:r>
            <w:r w:rsidR="00330DDE">
              <w:rPr>
                <w:noProof/>
                <w:webHidden/>
              </w:rPr>
            </w:r>
            <w:r w:rsidR="00330DDE">
              <w:rPr>
                <w:noProof/>
                <w:webHidden/>
              </w:rPr>
              <w:fldChar w:fldCharType="separate"/>
            </w:r>
            <w:r w:rsidR="00330DDE">
              <w:rPr>
                <w:noProof/>
                <w:webHidden/>
              </w:rPr>
              <w:t>10</w:t>
            </w:r>
            <w:r w:rsidR="00330DDE">
              <w:rPr>
                <w:noProof/>
                <w:webHidden/>
              </w:rPr>
              <w:fldChar w:fldCharType="end"/>
            </w:r>
          </w:hyperlink>
        </w:p>
        <w:p w14:paraId="2C0A5262" w14:textId="7BD410A7" w:rsidR="00330DDE" w:rsidRDefault="003738AE">
          <w:pPr>
            <w:pStyle w:val="TOC3"/>
            <w:tabs>
              <w:tab w:val="right" w:leader="dot" w:pos="9016"/>
            </w:tabs>
            <w:rPr>
              <w:rFonts w:eastAsiaTheme="minorEastAsia"/>
              <w:noProof/>
              <w:lang w:eastAsia="en-AU"/>
            </w:rPr>
          </w:pPr>
          <w:hyperlink w:anchor="_Toc528835748" w:history="1">
            <w:r w:rsidR="00330DDE" w:rsidRPr="004472CF">
              <w:rPr>
                <w:rStyle w:val="Hyperlink"/>
                <w:noProof/>
              </w:rPr>
              <w:t>NOPTA’s Approach</w:t>
            </w:r>
            <w:r w:rsidR="00330DDE">
              <w:rPr>
                <w:noProof/>
                <w:webHidden/>
              </w:rPr>
              <w:tab/>
            </w:r>
            <w:r w:rsidR="00330DDE">
              <w:rPr>
                <w:noProof/>
                <w:webHidden/>
              </w:rPr>
              <w:fldChar w:fldCharType="begin"/>
            </w:r>
            <w:r w:rsidR="00330DDE">
              <w:rPr>
                <w:noProof/>
                <w:webHidden/>
              </w:rPr>
              <w:instrText xml:space="preserve"> PAGEREF _Toc528835748 \h </w:instrText>
            </w:r>
            <w:r w:rsidR="00330DDE">
              <w:rPr>
                <w:noProof/>
                <w:webHidden/>
              </w:rPr>
            </w:r>
            <w:r w:rsidR="00330DDE">
              <w:rPr>
                <w:noProof/>
                <w:webHidden/>
              </w:rPr>
              <w:fldChar w:fldCharType="separate"/>
            </w:r>
            <w:r w:rsidR="00330DDE">
              <w:rPr>
                <w:noProof/>
                <w:webHidden/>
              </w:rPr>
              <w:t>10</w:t>
            </w:r>
            <w:r w:rsidR="00330DDE">
              <w:rPr>
                <w:noProof/>
                <w:webHidden/>
              </w:rPr>
              <w:fldChar w:fldCharType="end"/>
            </w:r>
          </w:hyperlink>
        </w:p>
        <w:p w14:paraId="23073386" w14:textId="04FD697E" w:rsidR="00330DDE" w:rsidRDefault="003738AE">
          <w:pPr>
            <w:pStyle w:val="TOC2"/>
            <w:tabs>
              <w:tab w:val="right" w:leader="dot" w:pos="9016"/>
            </w:tabs>
            <w:rPr>
              <w:rFonts w:eastAsiaTheme="minorEastAsia"/>
              <w:noProof/>
              <w:lang w:eastAsia="en-AU"/>
            </w:rPr>
          </w:pPr>
          <w:hyperlink w:anchor="_Toc528835749" w:history="1">
            <w:r w:rsidR="00330DDE" w:rsidRPr="004472CF">
              <w:rPr>
                <w:rStyle w:val="Hyperlink"/>
                <w:b/>
                <w:noProof/>
              </w:rPr>
              <w:t>KPI 6: Regulators actively contribute to the continuous improvement of regulatory frameworks</w:t>
            </w:r>
            <w:r w:rsidR="00330DDE">
              <w:rPr>
                <w:noProof/>
                <w:webHidden/>
              </w:rPr>
              <w:tab/>
            </w:r>
            <w:r w:rsidR="00330DDE">
              <w:rPr>
                <w:noProof/>
                <w:webHidden/>
              </w:rPr>
              <w:fldChar w:fldCharType="begin"/>
            </w:r>
            <w:r w:rsidR="00330DDE">
              <w:rPr>
                <w:noProof/>
                <w:webHidden/>
              </w:rPr>
              <w:instrText xml:space="preserve"> PAGEREF _Toc528835749 \h </w:instrText>
            </w:r>
            <w:r w:rsidR="00330DDE">
              <w:rPr>
                <w:noProof/>
                <w:webHidden/>
              </w:rPr>
            </w:r>
            <w:r w:rsidR="00330DDE">
              <w:rPr>
                <w:noProof/>
                <w:webHidden/>
              </w:rPr>
              <w:fldChar w:fldCharType="separate"/>
            </w:r>
            <w:r w:rsidR="00330DDE">
              <w:rPr>
                <w:noProof/>
                <w:webHidden/>
              </w:rPr>
              <w:t>11</w:t>
            </w:r>
            <w:r w:rsidR="00330DDE">
              <w:rPr>
                <w:noProof/>
                <w:webHidden/>
              </w:rPr>
              <w:fldChar w:fldCharType="end"/>
            </w:r>
          </w:hyperlink>
        </w:p>
        <w:p w14:paraId="66505ED0" w14:textId="3AE1AFD3" w:rsidR="00330DDE" w:rsidRDefault="003738AE">
          <w:pPr>
            <w:pStyle w:val="TOC3"/>
            <w:tabs>
              <w:tab w:val="right" w:leader="dot" w:pos="9016"/>
            </w:tabs>
            <w:rPr>
              <w:rFonts w:eastAsiaTheme="minorEastAsia"/>
              <w:noProof/>
              <w:lang w:eastAsia="en-AU"/>
            </w:rPr>
          </w:pPr>
          <w:hyperlink w:anchor="_Toc528835750" w:history="1">
            <w:r w:rsidR="00330DDE" w:rsidRPr="004472CF">
              <w:rPr>
                <w:rStyle w:val="Hyperlink"/>
                <w:noProof/>
              </w:rPr>
              <w:t>KPI Expectations</w:t>
            </w:r>
            <w:r w:rsidR="00330DDE">
              <w:rPr>
                <w:noProof/>
                <w:webHidden/>
              </w:rPr>
              <w:tab/>
            </w:r>
            <w:r w:rsidR="00330DDE">
              <w:rPr>
                <w:noProof/>
                <w:webHidden/>
              </w:rPr>
              <w:fldChar w:fldCharType="begin"/>
            </w:r>
            <w:r w:rsidR="00330DDE">
              <w:rPr>
                <w:noProof/>
                <w:webHidden/>
              </w:rPr>
              <w:instrText xml:space="preserve"> PAGEREF _Toc528835750 \h </w:instrText>
            </w:r>
            <w:r w:rsidR="00330DDE">
              <w:rPr>
                <w:noProof/>
                <w:webHidden/>
              </w:rPr>
            </w:r>
            <w:r w:rsidR="00330DDE">
              <w:rPr>
                <w:noProof/>
                <w:webHidden/>
              </w:rPr>
              <w:fldChar w:fldCharType="separate"/>
            </w:r>
            <w:r w:rsidR="00330DDE">
              <w:rPr>
                <w:noProof/>
                <w:webHidden/>
              </w:rPr>
              <w:t>11</w:t>
            </w:r>
            <w:r w:rsidR="00330DDE">
              <w:rPr>
                <w:noProof/>
                <w:webHidden/>
              </w:rPr>
              <w:fldChar w:fldCharType="end"/>
            </w:r>
          </w:hyperlink>
        </w:p>
        <w:p w14:paraId="3452482D" w14:textId="25C44DAA" w:rsidR="00330DDE" w:rsidRDefault="003738AE">
          <w:pPr>
            <w:pStyle w:val="TOC3"/>
            <w:tabs>
              <w:tab w:val="right" w:leader="dot" w:pos="9016"/>
            </w:tabs>
            <w:rPr>
              <w:rFonts w:eastAsiaTheme="minorEastAsia"/>
              <w:noProof/>
              <w:lang w:eastAsia="en-AU"/>
            </w:rPr>
          </w:pPr>
          <w:hyperlink w:anchor="_Toc528835751" w:history="1">
            <w:r w:rsidR="00330DDE" w:rsidRPr="004472CF">
              <w:rPr>
                <w:rStyle w:val="Hyperlink"/>
                <w:noProof/>
              </w:rPr>
              <w:t>NOPTA’s Approach</w:t>
            </w:r>
            <w:r w:rsidR="00330DDE">
              <w:rPr>
                <w:noProof/>
                <w:webHidden/>
              </w:rPr>
              <w:tab/>
            </w:r>
            <w:r w:rsidR="00330DDE">
              <w:rPr>
                <w:noProof/>
                <w:webHidden/>
              </w:rPr>
              <w:fldChar w:fldCharType="begin"/>
            </w:r>
            <w:r w:rsidR="00330DDE">
              <w:rPr>
                <w:noProof/>
                <w:webHidden/>
              </w:rPr>
              <w:instrText xml:space="preserve"> PAGEREF _Toc528835751 \h </w:instrText>
            </w:r>
            <w:r w:rsidR="00330DDE">
              <w:rPr>
                <w:noProof/>
                <w:webHidden/>
              </w:rPr>
            </w:r>
            <w:r w:rsidR="00330DDE">
              <w:rPr>
                <w:noProof/>
                <w:webHidden/>
              </w:rPr>
              <w:fldChar w:fldCharType="separate"/>
            </w:r>
            <w:r w:rsidR="00330DDE">
              <w:rPr>
                <w:noProof/>
                <w:webHidden/>
              </w:rPr>
              <w:t>11</w:t>
            </w:r>
            <w:r w:rsidR="00330DDE">
              <w:rPr>
                <w:noProof/>
                <w:webHidden/>
              </w:rPr>
              <w:fldChar w:fldCharType="end"/>
            </w:r>
          </w:hyperlink>
        </w:p>
        <w:p w14:paraId="53A7AE6E" w14:textId="41D6048E" w:rsidR="00330DDE" w:rsidRDefault="003738AE">
          <w:pPr>
            <w:pStyle w:val="TOC1"/>
            <w:rPr>
              <w:rFonts w:eastAsiaTheme="minorEastAsia"/>
              <w:noProof/>
              <w:lang w:eastAsia="en-AU"/>
            </w:rPr>
          </w:pPr>
          <w:hyperlink w:anchor="_Toc528835752" w:history="1">
            <w:r w:rsidR="00330DDE" w:rsidRPr="004472CF">
              <w:rPr>
                <w:rStyle w:val="Hyperlink"/>
                <w:b/>
                <w:noProof/>
              </w:rPr>
              <w:t>External Validation Comments</w:t>
            </w:r>
            <w:r w:rsidR="00330DDE">
              <w:rPr>
                <w:noProof/>
                <w:webHidden/>
              </w:rPr>
              <w:tab/>
            </w:r>
            <w:r w:rsidR="00330DDE">
              <w:rPr>
                <w:noProof/>
                <w:webHidden/>
              </w:rPr>
              <w:fldChar w:fldCharType="begin"/>
            </w:r>
            <w:r w:rsidR="00330DDE">
              <w:rPr>
                <w:noProof/>
                <w:webHidden/>
              </w:rPr>
              <w:instrText xml:space="preserve"> PAGEREF _Toc528835752 \h </w:instrText>
            </w:r>
            <w:r w:rsidR="00330DDE">
              <w:rPr>
                <w:noProof/>
                <w:webHidden/>
              </w:rPr>
            </w:r>
            <w:r w:rsidR="00330DDE">
              <w:rPr>
                <w:noProof/>
                <w:webHidden/>
              </w:rPr>
              <w:fldChar w:fldCharType="separate"/>
            </w:r>
            <w:r w:rsidR="00330DDE">
              <w:rPr>
                <w:noProof/>
                <w:webHidden/>
              </w:rPr>
              <w:t>12</w:t>
            </w:r>
            <w:r w:rsidR="00330DDE">
              <w:rPr>
                <w:noProof/>
                <w:webHidden/>
              </w:rPr>
              <w:fldChar w:fldCharType="end"/>
            </w:r>
          </w:hyperlink>
        </w:p>
        <w:p w14:paraId="636CF841" w14:textId="24C0F087" w:rsidR="00851F51" w:rsidRDefault="00851F51">
          <w:r>
            <w:rPr>
              <w:b/>
              <w:bCs/>
              <w:noProof/>
            </w:rPr>
            <w:fldChar w:fldCharType="end"/>
          </w:r>
        </w:p>
      </w:sdtContent>
    </w:sdt>
    <w:p w14:paraId="667CC75A" w14:textId="77777777" w:rsidR="00851F51" w:rsidRDefault="00851F51">
      <w:pPr>
        <w:rPr>
          <w:b/>
        </w:rPr>
      </w:pPr>
      <w:r>
        <w:rPr>
          <w:b/>
        </w:rPr>
        <w:br w:type="page"/>
      </w:r>
    </w:p>
    <w:p w14:paraId="5BF8BD8E" w14:textId="77777777" w:rsidR="00851F51" w:rsidRDefault="00851F51">
      <w:pPr>
        <w:rPr>
          <w:rFonts w:eastAsiaTheme="majorEastAsia" w:cstheme="majorBidi"/>
          <w:b/>
          <w:color w:val="2E74B5" w:themeColor="accent1" w:themeShade="BF"/>
        </w:rPr>
      </w:pPr>
    </w:p>
    <w:p w14:paraId="708CE612" w14:textId="77777777" w:rsidR="00851F51" w:rsidRDefault="00F6003B" w:rsidP="00851F51">
      <w:pPr>
        <w:pStyle w:val="Heading1"/>
        <w:spacing w:line="240" w:lineRule="auto"/>
        <w:rPr>
          <w:b/>
        </w:rPr>
      </w:pPr>
      <w:bookmarkStart w:id="8" w:name="_Toc497215465"/>
      <w:bookmarkStart w:id="9" w:name="_Toc528835731"/>
      <w:bookmarkStart w:id="10" w:name="_Toc453069550"/>
      <w:r>
        <w:rPr>
          <w:b/>
        </w:rPr>
        <w:t>O</w:t>
      </w:r>
      <w:r w:rsidR="00851F51">
        <w:rPr>
          <w:b/>
        </w:rPr>
        <w:t>verview</w:t>
      </w:r>
      <w:bookmarkEnd w:id="8"/>
      <w:bookmarkEnd w:id="9"/>
    </w:p>
    <w:p w14:paraId="6863398C" w14:textId="77777777" w:rsidR="00851F51" w:rsidRDefault="00851F51" w:rsidP="00B138B1">
      <w:pPr>
        <w:spacing w:line="240" w:lineRule="auto"/>
        <w:jc w:val="both"/>
        <w:rPr>
          <w:rFonts w:cs="Arial"/>
        </w:rPr>
      </w:pPr>
      <w:r>
        <w:rPr>
          <w:rFonts w:cs="Arial"/>
        </w:rPr>
        <w:t>NOPTA is please</w:t>
      </w:r>
      <w:r w:rsidR="00347EA5">
        <w:rPr>
          <w:rFonts w:cs="Arial"/>
        </w:rPr>
        <w:t>d</w:t>
      </w:r>
      <w:r>
        <w:rPr>
          <w:rFonts w:cs="Arial"/>
        </w:rPr>
        <w:t xml:space="preserve"> to present its third self-assessment against the Regulator Performance Framework (RPF).  Previous self-assessments, as well as further background on NOPTA and the RPF, </w:t>
      </w:r>
      <w:r w:rsidR="00837BDE">
        <w:rPr>
          <w:rFonts w:cs="Arial"/>
        </w:rPr>
        <w:t>can be found on the NOPTA website</w:t>
      </w:r>
      <w:r w:rsidR="00837BDE">
        <w:rPr>
          <w:rStyle w:val="FootnoteReference"/>
          <w:rFonts w:cs="Arial"/>
        </w:rPr>
        <w:footnoteReference w:id="1"/>
      </w:r>
      <w:r>
        <w:rPr>
          <w:rFonts w:cs="Arial"/>
        </w:rPr>
        <w:t xml:space="preserve">. </w:t>
      </w:r>
    </w:p>
    <w:p w14:paraId="41A39730" w14:textId="77777777" w:rsidR="00347EA5" w:rsidRDefault="001A4614" w:rsidP="00B138B1">
      <w:pPr>
        <w:jc w:val="both"/>
        <w:rPr>
          <w:rFonts w:cs="Arial"/>
        </w:rPr>
      </w:pPr>
      <w:r>
        <w:rPr>
          <w:rFonts w:cs="Arial"/>
        </w:rPr>
        <w:t>NOPTA</w:t>
      </w:r>
      <w:r w:rsidR="00EE4D75">
        <w:rPr>
          <w:rFonts w:cs="Arial"/>
        </w:rPr>
        <w:t xml:space="preserve"> has assessed that the</w:t>
      </w:r>
      <w:r w:rsidR="00851F51">
        <w:rPr>
          <w:rFonts w:cs="Arial"/>
        </w:rPr>
        <w:t xml:space="preserve"> six Key</w:t>
      </w:r>
      <w:r w:rsidR="00765785">
        <w:rPr>
          <w:rFonts w:cs="Arial"/>
        </w:rPr>
        <w:t xml:space="preserve"> Performance Indicators (KPIs)</w:t>
      </w:r>
      <w:r w:rsidR="00EE4D75">
        <w:rPr>
          <w:rFonts w:cs="Arial"/>
        </w:rPr>
        <w:t xml:space="preserve"> were met</w:t>
      </w:r>
      <w:r w:rsidR="00765785">
        <w:rPr>
          <w:rFonts w:cs="Arial"/>
        </w:rPr>
        <w:t>.</w:t>
      </w:r>
    </w:p>
    <w:p w14:paraId="3BEBD26C" w14:textId="77777777" w:rsidR="00851F51" w:rsidRPr="00A143F3" w:rsidRDefault="00EC2ECC" w:rsidP="00B138B1">
      <w:pPr>
        <w:jc w:val="both"/>
      </w:pPr>
      <w:r>
        <w:rPr>
          <w:rFonts w:cs="Arial"/>
        </w:rPr>
        <w:t>NOPTA</w:t>
      </w:r>
      <w:r w:rsidR="00851F51" w:rsidRPr="00A143F3">
        <w:t xml:space="preserve"> </w:t>
      </w:r>
      <w:r w:rsidR="00BE72BD">
        <w:t>is a strong advocate of</w:t>
      </w:r>
      <w:r w:rsidR="00851F51" w:rsidRPr="00A143F3">
        <w:t xml:space="preserve"> reducing regulatory burden on industry, where possible, without adverse</w:t>
      </w:r>
      <w:r w:rsidR="00BE72BD">
        <w:t>ly</w:t>
      </w:r>
      <w:r w:rsidR="00851F51" w:rsidRPr="00A143F3">
        <w:t xml:space="preserve"> impact</w:t>
      </w:r>
      <w:r w:rsidR="00BE72BD">
        <w:t>ing</w:t>
      </w:r>
      <w:r w:rsidR="00851F51" w:rsidRPr="00A143F3">
        <w:t xml:space="preserve"> outcomes. </w:t>
      </w:r>
      <w:r w:rsidR="00BE72BD">
        <w:t>As such</w:t>
      </w:r>
      <w:r w:rsidR="00851F51">
        <w:t>,</w:t>
      </w:r>
      <w:r w:rsidR="00851F51" w:rsidRPr="00A143F3">
        <w:t xml:space="preserve"> the KPIs in </w:t>
      </w:r>
      <w:r w:rsidR="00851F51">
        <w:t>NOPT</w:t>
      </w:r>
      <w:r w:rsidR="00851F51" w:rsidRPr="00A143F3">
        <w:t xml:space="preserve">A’s Corporate Plan are aligned with the KPIs of the </w:t>
      </w:r>
      <w:r>
        <w:t>RPF</w:t>
      </w:r>
      <w:r w:rsidR="00851F51" w:rsidRPr="00A143F3">
        <w:t xml:space="preserve">. </w:t>
      </w:r>
      <w:r w:rsidR="00851F51">
        <w:t>This</w:t>
      </w:r>
      <w:r w:rsidR="00851F51" w:rsidRPr="00A143F3">
        <w:t xml:space="preserve"> enable</w:t>
      </w:r>
      <w:r>
        <w:t>s</w:t>
      </w:r>
      <w:r w:rsidR="00851F51" w:rsidRPr="00A143F3">
        <w:t xml:space="preserve"> clear and consistent </w:t>
      </w:r>
      <w:r w:rsidR="00BE72BD">
        <w:t xml:space="preserve">annual </w:t>
      </w:r>
      <w:r w:rsidR="00851F51" w:rsidRPr="00A143F3">
        <w:t>report</w:t>
      </w:r>
      <w:r w:rsidR="00851F51">
        <w:t>ing</w:t>
      </w:r>
      <w:r w:rsidR="00851F51" w:rsidRPr="00A143F3">
        <w:t xml:space="preserve"> on </w:t>
      </w:r>
      <w:r>
        <w:t>NOPTA’s</w:t>
      </w:r>
      <w:r w:rsidR="00851F51" w:rsidRPr="00A143F3">
        <w:t xml:space="preserve"> performance as a regulator and demonstrate</w:t>
      </w:r>
      <w:r w:rsidR="00BE72BD">
        <w:t>s</w:t>
      </w:r>
      <w:r w:rsidR="00851F51" w:rsidRPr="00A143F3">
        <w:t xml:space="preserve"> its accountability to stakeholders. </w:t>
      </w:r>
    </w:p>
    <w:p w14:paraId="60F445BC" w14:textId="77777777" w:rsidR="005A0B22" w:rsidRDefault="00851F51" w:rsidP="00B138B1">
      <w:pPr>
        <w:spacing w:line="240" w:lineRule="auto"/>
        <w:jc w:val="both"/>
        <w:rPr>
          <w:rFonts w:cs="Arial"/>
          <w:lang w:val="en"/>
        </w:rPr>
      </w:pPr>
      <w:r>
        <w:t xml:space="preserve">NOPTA </w:t>
      </w:r>
      <w:r w:rsidR="00EC2ECC">
        <w:t xml:space="preserve">did not conduct a </w:t>
      </w:r>
      <w:r>
        <w:t>stakeholder survey in 201</w:t>
      </w:r>
      <w:r w:rsidR="00EC2ECC">
        <w:t>8</w:t>
      </w:r>
      <w:r>
        <w:t xml:space="preserve">. </w:t>
      </w:r>
      <w:r w:rsidR="00533796">
        <w:t>C</w:t>
      </w:r>
      <w:r w:rsidR="006F3DCD">
        <w:t xml:space="preserve">onsistent </w:t>
      </w:r>
      <w:r w:rsidR="005A0B22">
        <w:t xml:space="preserve">annual </w:t>
      </w:r>
      <w:r w:rsidR="006B17DC">
        <w:t>survey</w:t>
      </w:r>
      <w:r w:rsidR="006F3DCD">
        <w:t xml:space="preserve"> results </w:t>
      </w:r>
      <w:r w:rsidR="006B17DC">
        <w:t xml:space="preserve">since </w:t>
      </w:r>
      <w:r w:rsidR="005A0B22">
        <w:t xml:space="preserve">2015 and the </w:t>
      </w:r>
      <w:r w:rsidR="005A0B22" w:rsidRPr="005A0B22">
        <w:t>lower number of respondents to the 2017 survey</w:t>
      </w:r>
      <w:r w:rsidR="005A0B22">
        <w:t>,</w:t>
      </w:r>
      <w:r w:rsidR="005A0B22" w:rsidRPr="005A0B22">
        <w:t xml:space="preserve"> </w:t>
      </w:r>
      <w:r w:rsidR="005A0B22">
        <w:t>justified</w:t>
      </w:r>
      <w:r w:rsidR="006F3DCD">
        <w:t xml:space="preserve"> a break in this process </w:t>
      </w:r>
      <w:r w:rsidR="001A4924">
        <w:t>for</w:t>
      </w:r>
      <w:r w:rsidR="006F3DCD">
        <w:t xml:space="preserve"> 2018.</w:t>
      </w:r>
      <w:r w:rsidR="00AA4328">
        <w:t xml:space="preserve"> </w:t>
      </w:r>
      <w:r w:rsidR="006F3DCD">
        <w:rPr>
          <w:rFonts w:cs="Arial"/>
          <w:lang w:val="en"/>
        </w:rPr>
        <w:t>NOPTA</w:t>
      </w:r>
      <w:r w:rsidR="001A4924">
        <w:rPr>
          <w:rFonts w:cs="Arial"/>
          <w:lang w:val="en"/>
        </w:rPr>
        <w:t xml:space="preserve"> </w:t>
      </w:r>
      <w:r w:rsidR="005A0B22">
        <w:rPr>
          <w:rFonts w:cs="Arial"/>
          <w:lang w:val="en"/>
        </w:rPr>
        <w:t xml:space="preserve">intends to </w:t>
      </w:r>
      <w:r w:rsidR="001A4924">
        <w:rPr>
          <w:rFonts w:cs="Arial"/>
          <w:lang w:val="en"/>
        </w:rPr>
        <w:t xml:space="preserve">conduct its next stakeholder </w:t>
      </w:r>
      <w:r w:rsidR="00EC2ECC" w:rsidRPr="00832457">
        <w:rPr>
          <w:rFonts w:cs="Arial"/>
          <w:lang w:val="en"/>
        </w:rPr>
        <w:t>survey i</w:t>
      </w:r>
      <w:r w:rsidR="001A4924">
        <w:rPr>
          <w:rFonts w:cs="Arial"/>
          <w:lang w:val="en"/>
        </w:rPr>
        <w:t>n</w:t>
      </w:r>
      <w:r w:rsidR="00EC2ECC" w:rsidRPr="00832457">
        <w:rPr>
          <w:rFonts w:cs="Arial"/>
          <w:lang w:val="en"/>
        </w:rPr>
        <w:t xml:space="preserve"> 2019</w:t>
      </w:r>
      <w:r w:rsidR="005A0B22">
        <w:rPr>
          <w:rFonts w:cs="Arial"/>
          <w:lang w:val="en"/>
        </w:rPr>
        <w:t>, and every two years thereafter</w:t>
      </w:r>
      <w:r w:rsidR="00EC2ECC" w:rsidRPr="00832457">
        <w:rPr>
          <w:rFonts w:cs="Arial"/>
          <w:lang w:val="en"/>
        </w:rPr>
        <w:t>.</w:t>
      </w:r>
    </w:p>
    <w:p w14:paraId="16242899" w14:textId="77777777" w:rsidR="00851F51" w:rsidRDefault="005A0B22" w:rsidP="00B138B1">
      <w:pPr>
        <w:spacing w:line="240" w:lineRule="auto"/>
        <w:jc w:val="both"/>
      </w:pPr>
      <w:r>
        <w:t>F</w:t>
      </w:r>
      <w:r w:rsidR="001A4924">
        <w:t xml:space="preserve">or </w:t>
      </w:r>
      <w:r w:rsidR="00EC2ECC">
        <w:t>this year’s self-assessment</w:t>
      </w:r>
      <w:r w:rsidR="001A4924">
        <w:t xml:space="preserve"> </w:t>
      </w:r>
      <w:r w:rsidR="00533796">
        <w:t xml:space="preserve">NOPTA has </w:t>
      </w:r>
      <w:r>
        <w:t>focused</w:t>
      </w:r>
      <w:r w:rsidR="009A01A1">
        <w:t xml:space="preserve"> on examples of output and activity based evidence, as well as describing activities </w:t>
      </w:r>
      <w:r w:rsidR="00EC2ECC">
        <w:t>relevant to the implementation of improvement opportunities identified by stakeholders in previous</w:t>
      </w:r>
      <w:r w:rsidR="009A01A1">
        <w:t xml:space="preserve"> surveys</w:t>
      </w:r>
      <w:r w:rsidR="0004319B">
        <w:t xml:space="preserve">.  </w:t>
      </w:r>
    </w:p>
    <w:p w14:paraId="04362D42" w14:textId="77777777" w:rsidR="00851F51" w:rsidRDefault="00851F51" w:rsidP="00B138B1">
      <w:pPr>
        <w:spacing w:after="120" w:line="240" w:lineRule="auto"/>
        <w:jc w:val="both"/>
        <w:rPr>
          <w:rFonts w:cs="Arial"/>
        </w:rPr>
      </w:pPr>
      <w:r>
        <w:rPr>
          <w:rFonts w:cs="Arial"/>
        </w:rPr>
        <w:t>Achievements against the RPF KPIs for 201</w:t>
      </w:r>
      <w:r w:rsidR="0004319B">
        <w:rPr>
          <w:rFonts w:cs="Arial"/>
        </w:rPr>
        <w:t>7</w:t>
      </w:r>
      <w:r>
        <w:rPr>
          <w:rFonts w:cs="Arial"/>
        </w:rPr>
        <w:t>-1</w:t>
      </w:r>
      <w:r w:rsidR="0004319B">
        <w:rPr>
          <w:rFonts w:cs="Arial"/>
        </w:rPr>
        <w:t>8</w:t>
      </w:r>
      <w:r>
        <w:rPr>
          <w:rFonts w:cs="Arial"/>
        </w:rPr>
        <w:t xml:space="preserve"> include:</w:t>
      </w:r>
    </w:p>
    <w:p w14:paraId="2D72EEE1" w14:textId="77777777" w:rsidR="00EA0ED2" w:rsidRDefault="00EA0ED2"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KP</w:t>
      </w:r>
      <w:r w:rsidR="003B00C4">
        <w:rPr>
          <w:rFonts w:asciiTheme="minorHAnsi" w:hAnsiTheme="minorHAnsi"/>
          <w:color w:val="auto"/>
          <w:sz w:val="22"/>
          <w:szCs w:val="22"/>
        </w:rPr>
        <w:t xml:space="preserve">I </w:t>
      </w:r>
      <w:r>
        <w:rPr>
          <w:rFonts w:asciiTheme="minorHAnsi" w:hAnsiTheme="minorHAnsi"/>
          <w:color w:val="auto"/>
          <w:sz w:val="22"/>
          <w:szCs w:val="22"/>
        </w:rPr>
        <w:t xml:space="preserve">1: </w:t>
      </w:r>
      <w:r w:rsidR="002A7377">
        <w:rPr>
          <w:rFonts w:asciiTheme="minorHAnsi" w:hAnsiTheme="minorHAnsi"/>
          <w:color w:val="auto"/>
          <w:sz w:val="22"/>
          <w:szCs w:val="22"/>
        </w:rPr>
        <w:t xml:space="preserve">Participated in relevant domestic and international forums to discuss </w:t>
      </w:r>
      <w:r w:rsidRPr="00E52AD1">
        <w:rPr>
          <w:rFonts w:asciiTheme="minorHAnsi" w:hAnsiTheme="minorHAnsi"/>
          <w:color w:val="auto"/>
          <w:sz w:val="22"/>
          <w:szCs w:val="22"/>
        </w:rPr>
        <w:t xml:space="preserve">current and emerging issues, share ideas and implement improvement strategies in-line with </w:t>
      </w:r>
      <w:r>
        <w:rPr>
          <w:rFonts w:asciiTheme="minorHAnsi" w:hAnsiTheme="minorHAnsi"/>
          <w:color w:val="auto"/>
          <w:sz w:val="22"/>
          <w:szCs w:val="22"/>
        </w:rPr>
        <w:t xml:space="preserve">leading </w:t>
      </w:r>
      <w:r w:rsidRPr="00E52AD1">
        <w:rPr>
          <w:rFonts w:asciiTheme="minorHAnsi" w:hAnsiTheme="minorHAnsi"/>
          <w:color w:val="auto"/>
          <w:sz w:val="22"/>
          <w:szCs w:val="22"/>
        </w:rPr>
        <w:t xml:space="preserve">practice. </w:t>
      </w:r>
    </w:p>
    <w:p w14:paraId="2D430688" w14:textId="53DFF39C" w:rsidR="00EA0ED2" w:rsidRPr="00EA0ED2" w:rsidRDefault="00EA0ED2"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sidRPr="00EA0ED2">
        <w:rPr>
          <w:rFonts w:asciiTheme="minorHAnsi" w:hAnsiTheme="minorHAnsi"/>
          <w:color w:val="auto"/>
          <w:sz w:val="22"/>
          <w:szCs w:val="22"/>
        </w:rPr>
        <w:t>KPI</w:t>
      </w:r>
      <w:r w:rsidR="004C538B">
        <w:rPr>
          <w:rFonts w:asciiTheme="minorHAnsi" w:hAnsiTheme="minorHAnsi"/>
          <w:color w:val="auto"/>
          <w:sz w:val="22"/>
          <w:szCs w:val="22"/>
        </w:rPr>
        <w:t xml:space="preserve"> </w:t>
      </w:r>
      <w:r w:rsidRPr="00EA0ED2">
        <w:rPr>
          <w:rFonts w:asciiTheme="minorHAnsi" w:hAnsiTheme="minorHAnsi"/>
          <w:color w:val="auto"/>
          <w:sz w:val="22"/>
          <w:szCs w:val="22"/>
        </w:rPr>
        <w:t xml:space="preserve">2: </w:t>
      </w:r>
      <w:r w:rsidR="002A7377">
        <w:rPr>
          <w:rFonts w:asciiTheme="minorHAnsi" w:hAnsiTheme="minorHAnsi"/>
          <w:color w:val="auto"/>
          <w:sz w:val="22"/>
          <w:szCs w:val="22"/>
        </w:rPr>
        <w:t>M</w:t>
      </w:r>
      <w:r w:rsidRPr="00EA0ED2">
        <w:rPr>
          <w:rFonts w:asciiTheme="minorHAnsi" w:hAnsiTheme="minorHAnsi"/>
          <w:color w:val="auto"/>
          <w:sz w:val="22"/>
          <w:szCs w:val="22"/>
        </w:rPr>
        <w:t xml:space="preserve">aintained a strong focus on clear, targeted and effective communication with stakeholders, which included the release of several new industry guidelines and the launch of our updated website.  </w:t>
      </w:r>
    </w:p>
    <w:p w14:paraId="7F5E4C3F" w14:textId="3BF93C7A" w:rsidR="00EA0ED2" w:rsidRDefault="001744D0"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 xml:space="preserve">KPI 3: </w:t>
      </w:r>
      <w:r w:rsidR="005A0B22">
        <w:rPr>
          <w:rFonts w:asciiTheme="minorHAnsi" w:hAnsiTheme="minorHAnsi"/>
          <w:color w:val="auto"/>
          <w:sz w:val="22"/>
          <w:szCs w:val="22"/>
        </w:rPr>
        <w:t>P</w:t>
      </w:r>
      <w:r w:rsidRPr="001744D0">
        <w:rPr>
          <w:rFonts w:asciiTheme="minorHAnsi" w:hAnsiTheme="minorHAnsi"/>
          <w:color w:val="auto"/>
          <w:sz w:val="22"/>
          <w:szCs w:val="22"/>
        </w:rPr>
        <w:t xml:space="preserve">ublished a </w:t>
      </w:r>
      <w:r w:rsidR="00F9519C">
        <w:rPr>
          <w:rFonts w:asciiTheme="minorHAnsi" w:hAnsiTheme="minorHAnsi"/>
          <w:color w:val="auto"/>
          <w:sz w:val="22"/>
          <w:szCs w:val="22"/>
        </w:rPr>
        <w:t>‘</w:t>
      </w:r>
      <w:r w:rsidRPr="001744D0">
        <w:rPr>
          <w:rFonts w:asciiTheme="minorHAnsi" w:hAnsiTheme="minorHAnsi"/>
          <w:color w:val="auto"/>
          <w:sz w:val="22"/>
          <w:szCs w:val="22"/>
        </w:rPr>
        <w:t>Statement of Intent</w:t>
      </w:r>
      <w:r w:rsidR="00F9519C">
        <w:rPr>
          <w:rFonts w:asciiTheme="minorHAnsi" w:hAnsiTheme="minorHAnsi"/>
          <w:color w:val="auto"/>
          <w:sz w:val="22"/>
          <w:szCs w:val="22"/>
        </w:rPr>
        <w:t>’</w:t>
      </w:r>
      <w:r w:rsidRPr="001744D0">
        <w:rPr>
          <w:rFonts w:asciiTheme="minorHAnsi" w:hAnsiTheme="minorHAnsi"/>
          <w:color w:val="auto"/>
          <w:sz w:val="22"/>
          <w:szCs w:val="22"/>
        </w:rPr>
        <w:t xml:space="preserve"> in response to the </w:t>
      </w:r>
      <w:r w:rsidR="00F9519C">
        <w:rPr>
          <w:rFonts w:asciiTheme="minorHAnsi" w:hAnsiTheme="minorHAnsi"/>
          <w:color w:val="auto"/>
          <w:sz w:val="22"/>
          <w:szCs w:val="22"/>
        </w:rPr>
        <w:t xml:space="preserve">responsible Commonwealth </w:t>
      </w:r>
      <w:r w:rsidRPr="001744D0">
        <w:rPr>
          <w:rFonts w:asciiTheme="minorHAnsi" w:hAnsiTheme="minorHAnsi"/>
          <w:color w:val="auto"/>
          <w:sz w:val="22"/>
          <w:szCs w:val="22"/>
        </w:rPr>
        <w:t xml:space="preserve">Minister’s </w:t>
      </w:r>
      <w:r w:rsidR="00F9519C">
        <w:rPr>
          <w:rFonts w:asciiTheme="minorHAnsi" w:hAnsiTheme="minorHAnsi"/>
          <w:color w:val="auto"/>
          <w:sz w:val="22"/>
          <w:szCs w:val="22"/>
        </w:rPr>
        <w:t>‘</w:t>
      </w:r>
      <w:r w:rsidRPr="001744D0">
        <w:rPr>
          <w:rFonts w:asciiTheme="minorHAnsi" w:hAnsiTheme="minorHAnsi"/>
          <w:color w:val="auto"/>
          <w:sz w:val="22"/>
          <w:szCs w:val="22"/>
        </w:rPr>
        <w:t>Statement of</w:t>
      </w:r>
      <w:r>
        <w:rPr>
          <w:rFonts w:asciiTheme="minorHAnsi" w:hAnsiTheme="minorHAnsi"/>
          <w:color w:val="auto"/>
          <w:sz w:val="22"/>
          <w:szCs w:val="22"/>
        </w:rPr>
        <w:t xml:space="preserve"> </w:t>
      </w:r>
      <w:r w:rsidRPr="001744D0">
        <w:rPr>
          <w:rFonts w:asciiTheme="minorHAnsi" w:hAnsiTheme="minorHAnsi"/>
          <w:color w:val="auto"/>
          <w:sz w:val="22"/>
          <w:szCs w:val="22"/>
        </w:rPr>
        <w:t>Expectations</w:t>
      </w:r>
      <w:r w:rsidR="00F9519C">
        <w:rPr>
          <w:rFonts w:asciiTheme="minorHAnsi" w:hAnsiTheme="minorHAnsi"/>
          <w:color w:val="auto"/>
          <w:sz w:val="22"/>
          <w:szCs w:val="22"/>
        </w:rPr>
        <w:t>’</w:t>
      </w:r>
      <w:r w:rsidR="004C538B">
        <w:rPr>
          <w:rFonts w:asciiTheme="minorHAnsi" w:hAnsiTheme="minorHAnsi"/>
          <w:color w:val="auto"/>
          <w:sz w:val="22"/>
          <w:szCs w:val="22"/>
        </w:rPr>
        <w:t xml:space="preserve"> </w:t>
      </w:r>
      <w:r w:rsidR="00BA714B">
        <w:rPr>
          <w:rFonts w:asciiTheme="minorHAnsi" w:hAnsiTheme="minorHAnsi"/>
          <w:color w:val="auto"/>
          <w:sz w:val="22"/>
          <w:szCs w:val="22"/>
        </w:rPr>
        <w:t>affirming NOPTA’s</w:t>
      </w:r>
      <w:r w:rsidR="004C538B" w:rsidRPr="00D95BA1">
        <w:rPr>
          <w:rFonts w:asciiTheme="minorHAnsi" w:hAnsiTheme="minorHAnsi"/>
          <w:color w:val="auto"/>
          <w:sz w:val="22"/>
          <w:szCs w:val="22"/>
        </w:rPr>
        <w:t xml:space="preserve"> commitment to leading practice on the management of regulatory risk</w:t>
      </w:r>
      <w:r w:rsidRPr="001744D0">
        <w:rPr>
          <w:rFonts w:asciiTheme="minorHAnsi" w:hAnsiTheme="minorHAnsi"/>
          <w:color w:val="auto"/>
          <w:sz w:val="22"/>
          <w:szCs w:val="22"/>
        </w:rPr>
        <w:t>.</w:t>
      </w:r>
    </w:p>
    <w:p w14:paraId="5F9FF99B" w14:textId="77777777" w:rsidR="00B37841" w:rsidRPr="00B37841" w:rsidRDefault="00B37841"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 xml:space="preserve">KPI 4: </w:t>
      </w:r>
      <w:r w:rsidRPr="00B37841">
        <w:rPr>
          <w:rFonts w:asciiTheme="minorHAnsi" w:hAnsiTheme="minorHAnsi"/>
          <w:color w:val="auto"/>
          <w:sz w:val="22"/>
          <w:szCs w:val="22"/>
        </w:rPr>
        <w:t xml:space="preserve">Established and improved the integration between </w:t>
      </w:r>
      <w:r w:rsidR="00A53D08">
        <w:rPr>
          <w:rFonts w:asciiTheme="minorHAnsi" w:hAnsiTheme="minorHAnsi"/>
          <w:color w:val="auto"/>
          <w:sz w:val="22"/>
          <w:szCs w:val="22"/>
        </w:rPr>
        <w:t>NOPTA’s</w:t>
      </w:r>
      <w:r w:rsidR="00A53D08" w:rsidRPr="00B37841">
        <w:rPr>
          <w:rFonts w:asciiTheme="minorHAnsi" w:hAnsiTheme="minorHAnsi"/>
          <w:color w:val="auto"/>
          <w:sz w:val="22"/>
          <w:szCs w:val="22"/>
        </w:rPr>
        <w:t xml:space="preserve"> </w:t>
      </w:r>
      <w:r w:rsidRPr="00B37841">
        <w:rPr>
          <w:rFonts w:asciiTheme="minorHAnsi" w:hAnsiTheme="minorHAnsi"/>
          <w:color w:val="auto"/>
          <w:sz w:val="22"/>
          <w:szCs w:val="22"/>
        </w:rPr>
        <w:t xml:space="preserve">internal databases </w:t>
      </w:r>
      <w:r w:rsidR="00A53D08">
        <w:rPr>
          <w:rFonts w:asciiTheme="minorHAnsi" w:hAnsiTheme="minorHAnsi"/>
          <w:color w:val="auto"/>
          <w:sz w:val="22"/>
          <w:szCs w:val="22"/>
        </w:rPr>
        <w:t xml:space="preserve">that are </w:t>
      </w:r>
      <w:r w:rsidRPr="00B37841">
        <w:rPr>
          <w:rFonts w:asciiTheme="minorHAnsi" w:hAnsiTheme="minorHAnsi"/>
          <w:color w:val="auto"/>
          <w:sz w:val="22"/>
          <w:szCs w:val="22"/>
        </w:rPr>
        <w:t xml:space="preserve">used to collect, aggregate, analyse and report data </w:t>
      </w:r>
      <w:r w:rsidR="005A0B22">
        <w:rPr>
          <w:rFonts w:asciiTheme="minorHAnsi" w:hAnsiTheme="minorHAnsi"/>
          <w:color w:val="auto"/>
          <w:sz w:val="22"/>
          <w:szCs w:val="22"/>
        </w:rPr>
        <w:t>to improve our</w:t>
      </w:r>
      <w:r w:rsidRPr="00B37841">
        <w:rPr>
          <w:rFonts w:asciiTheme="minorHAnsi" w:hAnsiTheme="minorHAnsi"/>
          <w:color w:val="auto"/>
          <w:sz w:val="22"/>
          <w:szCs w:val="22"/>
        </w:rPr>
        <w:t xml:space="preserve"> monitoring of Australia’s offshore petroleum resources. </w:t>
      </w:r>
    </w:p>
    <w:p w14:paraId="17379EBB" w14:textId="77777777" w:rsidR="001D26BB" w:rsidRDefault="001D26BB"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 xml:space="preserve">KPI 5: </w:t>
      </w:r>
      <w:r w:rsidR="0070672C">
        <w:rPr>
          <w:rFonts w:asciiTheme="minorHAnsi" w:hAnsiTheme="minorHAnsi"/>
          <w:color w:val="auto"/>
          <w:sz w:val="22"/>
          <w:szCs w:val="22"/>
        </w:rPr>
        <w:t xml:space="preserve">Commenced the </w:t>
      </w:r>
      <w:r w:rsidR="00533796">
        <w:rPr>
          <w:rFonts w:asciiTheme="minorHAnsi" w:hAnsiTheme="minorHAnsi"/>
          <w:color w:val="auto"/>
          <w:sz w:val="22"/>
          <w:szCs w:val="22"/>
        </w:rPr>
        <w:t xml:space="preserve">internal </w:t>
      </w:r>
      <w:r w:rsidR="0070672C" w:rsidRPr="0031005E">
        <w:rPr>
          <w:rFonts w:asciiTheme="minorHAnsi" w:hAnsiTheme="minorHAnsi"/>
          <w:color w:val="auto"/>
          <w:sz w:val="22"/>
          <w:szCs w:val="22"/>
        </w:rPr>
        <w:t>upgrad</w:t>
      </w:r>
      <w:r w:rsidR="0070672C">
        <w:rPr>
          <w:rFonts w:asciiTheme="minorHAnsi" w:hAnsiTheme="minorHAnsi"/>
          <w:color w:val="auto"/>
          <w:sz w:val="22"/>
          <w:szCs w:val="22"/>
        </w:rPr>
        <w:t>e</w:t>
      </w:r>
      <w:r w:rsidR="0070672C" w:rsidRPr="0031005E">
        <w:rPr>
          <w:rFonts w:asciiTheme="minorHAnsi" w:hAnsiTheme="minorHAnsi"/>
          <w:color w:val="auto"/>
          <w:sz w:val="22"/>
          <w:szCs w:val="22"/>
        </w:rPr>
        <w:t xml:space="preserve"> of the </w:t>
      </w:r>
      <w:r w:rsidR="0070672C" w:rsidRPr="00F9519C">
        <w:rPr>
          <w:rFonts w:asciiTheme="minorHAnsi" w:hAnsiTheme="minorHAnsi"/>
          <w:color w:val="auto"/>
          <w:sz w:val="22"/>
          <w:szCs w:val="22"/>
        </w:rPr>
        <w:t>National Electronic Approvals Tracking System</w:t>
      </w:r>
      <w:r w:rsidR="0070672C" w:rsidRPr="0031005E">
        <w:rPr>
          <w:rFonts w:asciiTheme="minorHAnsi" w:hAnsiTheme="minorHAnsi"/>
          <w:color w:val="auto"/>
          <w:sz w:val="22"/>
          <w:szCs w:val="22"/>
        </w:rPr>
        <w:t xml:space="preserve"> </w:t>
      </w:r>
      <w:r w:rsidR="0070672C">
        <w:rPr>
          <w:rFonts w:asciiTheme="minorHAnsi" w:hAnsiTheme="minorHAnsi"/>
          <w:color w:val="auto"/>
          <w:sz w:val="22"/>
          <w:szCs w:val="22"/>
        </w:rPr>
        <w:t>(</w:t>
      </w:r>
      <w:r w:rsidR="0070672C" w:rsidRPr="0031005E">
        <w:rPr>
          <w:rFonts w:asciiTheme="minorHAnsi" w:hAnsiTheme="minorHAnsi"/>
          <w:color w:val="auto"/>
          <w:sz w:val="22"/>
          <w:szCs w:val="22"/>
        </w:rPr>
        <w:t>NEATS</w:t>
      </w:r>
      <w:r w:rsidR="0070672C">
        <w:rPr>
          <w:rFonts w:asciiTheme="minorHAnsi" w:hAnsiTheme="minorHAnsi"/>
          <w:color w:val="auto"/>
          <w:sz w:val="22"/>
          <w:szCs w:val="22"/>
        </w:rPr>
        <w:t>)</w:t>
      </w:r>
      <w:r w:rsidR="0070672C" w:rsidRPr="0031005E">
        <w:rPr>
          <w:rFonts w:asciiTheme="minorHAnsi" w:hAnsiTheme="minorHAnsi"/>
          <w:color w:val="auto"/>
          <w:sz w:val="22"/>
          <w:szCs w:val="22"/>
        </w:rPr>
        <w:t xml:space="preserve"> to improve </w:t>
      </w:r>
      <w:r w:rsidR="00533796">
        <w:rPr>
          <w:rFonts w:asciiTheme="minorHAnsi" w:hAnsiTheme="minorHAnsi"/>
          <w:color w:val="auto"/>
          <w:sz w:val="22"/>
          <w:szCs w:val="22"/>
        </w:rPr>
        <w:t xml:space="preserve">application </w:t>
      </w:r>
      <w:r w:rsidR="0070672C" w:rsidRPr="0031005E">
        <w:rPr>
          <w:rFonts w:asciiTheme="minorHAnsi" w:hAnsiTheme="minorHAnsi"/>
          <w:color w:val="auto"/>
          <w:sz w:val="22"/>
          <w:szCs w:val="22"/>
        </w:rPr>
        <w:t>processing efficiencies</w:t>
      </w:r>
      <w:r w:rsidR="0070672C">
        <w:rPr>
          <w:rFonts w:asciiTheme="minorHAnsi" w:hAnsiTheme="minorHAnsi"/>
          <w:color w:val="auto"/>
          <w:sz w:val="22"/>
          <w:szCs w:val="22"/>
        </w:rPr>
        <w:t xml:space="preserve"> </w:t>
      </w:r>
      <w:r w:rsidR="00DE7023">
        <w:rPr>
          <w:rFonts w:asciiTheme="minorHAnsi" w:hAnsiTheme="minorHAnsi"/>
          <w:color w:val="auto"/>
          <w:sz w:val="22"/>
          <w:szCs w:val="22"/>
        </w:rPr>
        <w:t xml:space="preserve">following stakeholder feedback received through the NEATS </w:t>
      </w:r>
      <w:r w:rsidRPr="001D26BB">
        <w:rPr>
          <w:rFonts w:asciiTheme="minorHAnsi" w:hAnsiTheme="minorHAnsi"/>
          <w:color w:val="auto"/>
          <w:sz w:val="22"/>
          <w:szCs w:val="22"/>
        </w:rPr>
        <w:t xml:space="preserve">2020 </w:t>
      </w:r>
      <w:r w:rsidR="00DE7023">
        <w:rPr>
          <w:rFonts w:asciiTheme="minorHAnsi" w:hAnsiTheme="minorHAnsi"/>
          <w:color w:val="auto"/>
          <w:sz w:val="22"/>
          <w:szCs w:val="22"/>
        </w:rPr>
        <w:t>R</w:t>
      </w:r>
      <w:r w:rsidR="00DE7023" w:rsidRPr="001D26BB">
        <w:rPr>
          <w:rFonts w:asciiTheme="minorHAnsi" w:hAnsiTheme="minorHAnsi"/>
          <w:color w:val="auto"/>
          <w:sz w:val="22"/>
          <w:szCs w:val="22"/>
        </w:rPr>
        <w:t>eview</w:t>
      </w:r>
      <w:r w:rsidRPr="001D26BB">
        <w:rPr>
          <w:rFonts w:asciiTheme="minorHAnsi" w:hAnsiTheme="minorHAnsi"/>
          <w:color w:val="auto"/>
          <w:sz w:val="22"/>
          <w:szCs w:val="22"/>
        </w:rPr>
        <w:t>.</w:t>
      </w:r>
    </w:p>
    <w:p w14:paraId="4BD1233B" w14:textId="77777777" w:rsidR="00851F51" w:rsidRPr="00EF1099" w:rsidRDefault="00EF1099"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 xml:space="preserve">KPI 6: </w:t>
      </w:r>
      <w:r w:rsidRPr="00EF1099">
        <w:rPr>
          <w:rFonts w:asciiTheme="minorHAnsi" w:hAnsiTheme="minorHAnsi"/>
          <w:color w:val="auto"/>
          <w:sz w:val="22"/>
          <w:szCs w:val="22"/>
        </w:rPr>
        <w:t>Worked closely with the Offshore Resources Branch and</w:t>
      </w:r>
      <w:r>
        <w:rPr>
          <w:rFonts w:asciiTheme="minorHAnsi" w:hAnsiTheme="minorHAnsi"/>
          <w:color w:val="auto"/>
          <w:sz w:val="22"/>
          <w:szCs w:val="22"/>
        </w:rPr>
        <w:t xml:space="preserve"> </w:t>
      </w:r>
      <w:r w:rsidRPr="00D03C6D">
        <w:rPr>
          <w:rFonts w:asciiTheme="minorHAnsi" w:hAnsiTheme="minorHAnsi"/>
          <w:color w:val="auto"/>
          <w:sz w:val="22"/>
          <w:szCs w:val="22"/>
        </w:rPr>
        <w:t>National Offshore Petroleum Safety and Environmental Management Authority</w:t>
      </w:r>
      <w:r w:rsidRPr="00EF1099">
        <w:rPr>
          <w:rFonts w:asciiTheme="minorHAnsi" w:hAnsiTheme="minorHAnsi"/>
          <w:color w:val="auto"/>
          <w:sz w:val="22"/>
          <w:szCs w:val="22"/>
        </w:rPr>
        <w:t xml:space="preserve"> </w:t>
      </w:r>
      <w:r>
        <w:rPr>
          <w:rFonts w:asciiTheme="minorHAnsi" w:hAnsiTheme="minorHAnsi"/>
          <w:color w:val="auto"/>
          <w:sz w:val="22"/>
          <w:szCs w:val="22"/>
        </w:rPr>
        <w:t>(</w:t>
      </w:r>
      <w:r w:rsidRPr="00EF1099">
        <w:rPr>
          <w:rFonts w:asciiTheme="minorHAnsi" w:hAnsiTheme="minorHAnsi"/>
          <w:color w:val="auto"/>
          <w:sz w:val="22"/>
          <w:szCs w:val="22"/>
        </w:rPr>
        <w:t>NOPSEMA</w:t>
      </w:r>
      <w:r>
        <w:rPr>
          <w:rFonts w:asciiTheme="minorHAnsi" w:hAnsiTheme="minorHAnsi"/>
          <w:color w:val="auto"/>
          <w:sz w:val="22"/>
          <w:szCs w:val="22"/>
        </w:rPr>
        <w:t>)</w:t>
      </w:r>
      <w:r w:rsidRPr="00EF1099">
        <w:rPr>
          <w:rFonts w:asciiTheme="minorHAnsi" w:hAnsiTheme="minorHAnsi"/>
          <w:color w:val="auto"/>
          <w:sz w:val="22"/>
          <w:szCs w:val="22"/>
        </w:rPr>
        <w:t xml:space="preserve"> on decommissioning matters, including the publication of a guideline and progressing an interagency protocol</w:t>
      </w:r>
      <w:r>
        <w:rPr>
          <w:rFonts w:asciiTheme="minorHAnsi" w:hAnsiTheme="minorHAnsi"/>
          <w:color w:val="auto"/>
          <w:sz w:val="22"/>
          <w:szCs w:val="22"/>
        </w:rPr>
        <w:t>.</w:t>
      </w:r>
      <w:r w:rsidRPr="00EF1099">
        <w:rPr>
          <w:rFonts w:asciiTheme="minorHAnsi" w:hAnsiTheme="minorHAnsi"/>
          <w:color w:val="auto"/>
          <w:sz w:val="22"/>
          <w:szCs w:val="22"/>
        </w:rPr>
        <w:t xml:space="preserve"> </w:t>
      </w:r>
      <w:bookmarkEnd w:id="10"/>
    </w:p>
    <w:p w14:paraId="31416A39" w14:textId="77777777" w:rsidR="00E534C4" w:rsidRDefault="00E534C4">
      <w:pPr>
        <w:rPr>
          <w:rFonts w:asciiTheme="majorHAnsi" w:eastAsiaTheme="majorEastAsia" w:hAnsiTheme="majorHAnsi" w:cstheme="majorBidi"/>
          <w:b/>
          <w:color w:val="2E74B5" w:themeColor="accent1" w:themeShade="BF"/>
          <w:sz w:val="32"/>
          <w:szCs w:val="32"/>
        </w:rPr>
      </w:pPr>
      <w:bookmarkStart w:id="11" w:name="_Toc497215467"/>
      <w:r>
        <w:rPr>
          <w:b/>
        </w:rPr>
        <w:br w:type="page"/>
      </w:r>
    </w:p>
    <w:p w14:paraId="3594D3BD" w14:textId="77777777" w:rsidR="00851F51" w:rsidRDefault="00851F51" w:rsidP="00851F51">
      <w:pPr>
        <w:pStyle w:val="Heading1"/>
        <w:rPr>
          <w:b/>
        </w:rPr>
      </w:pPr>
      <w:bookmarkStart w:id="12" w:name="_Toc528835732"/>
      <w:r>
        <w:rPr>
          <w:b/>
        </w:rPr>
        <w:lastRenderedPageBreak/>
        <w:t>About NOPTA</w:t>
      </w:r>
      <w:bookmarkEnd w:id="11"/>
      <w:bookmarkEnd w:id="12"/>
    </w:p>
    <w:p w14:paraId="298BDAFE" w14:textId="77777777" w:rsidR="00E534C4" w:rsidRDefault="00E534C4" w:rsidP="00B138B1">
      <w:pPr>
        <w:jc w:val="both"/>
        <w:rPr>
          <w:lang w:val="en"/>
        </w:rPr>
      </w:pPr>
      <w:r>
        <w:rPr>
          <w:lang w:val="en"/>
        </w:rPr>
        <w:t xml:space="preserve">NOPTA, also known as the Titles Administrator, is appointed by the Secretary of the </w:t>
      </w:r>
      <w:r w:rsidRPr="00837BDE">
        <w:rPr>
          <w:lang w:val="en"/>
        </w:rPr>
        <w:t>Department of Industry, Innovation and Science</w:t>
      </w:r>
      <w:r w:rsidR="00837BDE">
        <w:rPr>
          <w:rStyle w:val="FootnoteReference"/>
          <w:lang w:val="en"/>
        </w:rPr>
        <w:footnoteReference w:id="2"/>
      </w:r>
      <w:r>
        <w:rPr>
          <w:lang w:val="en"/>
        </w:rPr>
        <w:t xml:space="preserve"> </w:t>
      </w:r>
      <w:r w:rsidRPr="00837BDE">
        <w:rPr>
          <w:lang w:val="en"/>
        </w:rPr>
        <w:t>(</w:t>
      </w:r>
      <w:r>
        <w:t xml:space="preserve">the Department) </w:t>
      </w:r>
      <w:r>
        <w:rPr>
          <w:lang w:val="en"/>
        </w:rPr>
        <w:t xml:space="preserve">under section 695A of the </w:t>
      </w:r>
      <w:r>
        <w:rPr>
          <w:i/>
          <w:lang w:val="en"/>
        </w:rPr>
        <w:t>Offshore Petroleum and Greenhouse Gas Storage Act 2006</w:t>
      </w:r>
      <w:r>
        <w:rPr>
          <w:lang w:val="en"/>
        </w:rPr>
        <w:t xml:space="preserve"> (OPGGS Act). </w:t>
      </w:r>
      <w:r w:rsidR="00BA0E23" w:rsidRPr="006876B3">
        <w:rPr>
          <w:rFonts w:cs="Arial"/>
          <w:szCs w:val="24"/>
          <w:lang w:eastAsia="en-AU"/>
        </w:rPr>
        <w:t xml:space="preserve">NOPTA </w:t>
      </w:r>
      <w:r w:rsidR="00BA0E23" w:rsidRPr="006876B3">
        <w:rPr>
          <w:rFonts w:cs="Arial"/>
          <w:szCs w:val="24"/>
        </w:rPr>
        <w:t xml:space="preserve">was established </w:t>
      </w:r>
      <w:r w:rsidR="00BA0E23" w:rsidRPr="006876B3">
        <w:rPr>
          <w:rFonts w:cs="Arial"/>
          <w:szCs w:val="24"/>
          <w:lang w:eastAsia="en-AU"/>
        </w:rPr>
        <w:t xml:space="preserve">on 1 January 2012 as part of the Australian Government’s </w:t>
      </w:r>
      <w:r w:rsidR="001A4614">
        <w:rPr>
          <w:rFonts w:cs="Arial"/>
          <w:szCs w:val="24"/>
          <w:lang w:eastAsia="en-AU"/>
        </w:rPr>
        <w:t xml:space="preserve">regulatory </w:t>
      </w:r>
      <w:r w:rsidR="00BA0E23" w:rsidRPr="006876B3">
        <w:rPr>
          <w:rFonts w:cs="Arial"/>
          <w:szCs w:val="24"/>
          <w:lang w:eastAsia="en-AU"/>
        </w:rPr>
        <w:t>reform program for the Commonwealth offshore oil and gas industry.</w:t>
      </w:r>
    </w:p>
    <w:p w14:paraId="755D1A3C" w14:textId="77777777" w:rsidR="00E534C4" w:rsidRDefault="00E534C4" w:rsidP="00B138B1">
      <w:pPr>
        <w:jc w:val="both"/>
      </w:pPr>
      <w:r w:rsidRPr="00E534C4">
        <w:t xml:space="preserve">The primary purpose of </w:t>
      </w:r>
      <w:r w:rsidR="00ED5BBF">
        <w:t xml:space="preserve">NOPTA </w:t>
      </w:r>
      <w:r w:rsidRPr="00E534C4">
        <w:t>is to advise on and administer the OPGGS Act for Australia's offshore petroleum titles regime, to support the effective regulation of Australia's offshore oil and gas resources consistent with good oil field practice and optimum resource recovery.</w:t>
      </w:r>
    </w:p>
    <w:p w14:paraId="0FC47972" w14:textId="77777777" w:rsidR="00D66E4B" w:rsidRDefault="00D66E4B" w:rsidP="00B138B1">
      <w:pPr>
        <w:widowControl w:val="0"/>
        <w:jc w:val="both"/>
      </w:pPr>
      <w:r w:rsidRPr="00960B30">
        <w:rPr>
          <w:lang w:val="en-US"/>
        </w:rPr>
        <w:t xml:space="preserve">On 30 May 2018, the Minister for Resources and Northern Australia, Senator the Hon Matthew Canavan as the responsible Commonwealth Minister under the OPGGS Act, issued a </w:t>
      </w:r>
      <w:r>
        <w:t>Statement</w:t>
      </w:r>
      <w:r w:rsidRPr="00960B30">
        <w:rPr>
          <w:lang w:val="en-US"/>
        </w:rPr>
        <w:t xml:space="preserve"> of </w:t>
      </w:r>
      <w:r>
        <w:t>Expectations</w:t>
      </w:r>
      <w:r w:rsidRPr="00960B30">
        <w:rPr>
          <w:lang w:val="en-US"/>
        </w:rPr>
        <w:t xml:space="preserve"> (</w:t>
      </w:r>
      <w:proofErr w:type="spellStart"/>
      <w:r w:rsidRPr="00960B30">
        <w:rPr>
          <w:lang w:val="en-US"/>
        </w:rPr>
        <w:t>SoE</w:t>
      </w:r>
      <w:proofErr w:type="spellEnd"/>
      <w:r w:rsidRPr="00960B30">
        <w:rPr>
          <w:lang w:val="en-US"/>
        </w:rPr>
        <w:t xml:space="preserve">) for NOPTA. NOPTA responded to the </w:t>
      </w:r>
      <w:proofErr w:type="spellStart"/>
      <w:r w:rsidRPr="00960B30">
        <w:rPr>
          <w:lang w:val="en-US"/>
        </w:rPr>
        <w:t>SoE</w:t>
      </w:r>
      <w:proofErr w:type="spellEnd"/>
      <w:r w:rsidRPr="00960B30">
        <w:rPr>
          <w:lang w:val="en-US"/>
        </w:rPr>
        <w:t xml:space="preserve"> with a </w:t>
      </w:r>
      <w:r>
        <w:t>Statement</w:t>
      </w:r>
      <w:r w:rsidRPr="00960B30">
        <w:rPr>
          <w:lang w:val="en-US"/>
        </w:rPr>
        <w:t xml:space="preserve"> of </w:t>
      </w:r>
      <w:r>
        <w:rPr>
          <w:lang w:val="en-US"/>
        </w:rPr>
        <w:t>Intent</w:t>
      </w:r>
      <w:r>
        <w:t xml:space="preserve"> on 29 June 2018</w:t>
      </w:r>
      <w:r w:rsidR="005B6935">
        <w:rPr>
          <w:rStyle w:val="FootnoteReference"/>
        </w:rPr>
        <w:footnoteReference w:id="3"/>
      </w:r>
      <w:r w:rsidRPr="00960B30">
        <w:rPr>
          <w:lang w:val="en-US"/>
        </w:rPr>
        <w:t>.</w:t>
      </w:r>
      <w:r>
        <w:t xml:space="preserve"> </w:t>
      </w:r>
    </w:p>
    <w:p w14:paraId="7F73B173" w14:textId="77777777" w:rsidR="00E534C4" w:rsidRPr="00E534C4" w:rsidRDefault="00D66E4B" w:rsidP="00B138B1">
      <w:pPr>
        <w:spacing w:after="120"/>
        <w:jc w:val="both"/>
      </w:pPr>
      <w:r>
        <w:t xml:space="preserve">Consistent with the </w:t>
      </w:r>
      <w:r w:rsidR="00E534C4" w:rsidRPr="00E534C4">
        <w:t>OPGGS Act</w:t>
      </w:r>
      <w:r w:rsidR="00ED5BBF">
        <w:t xml:space="preserve"> and</w:t>
      </w:r>
      <w:r w:rsidR="00E534C4" w:rsidRPr="00E534C4">
        <w:t xml:space="preserve"> associated regulations, </w:t>
      </w:r>
      <w:r w:rsidR="00ED5BBF">
        <w:t>NOPTA’s</w:t>
      </w:r>
      <w:r w:rsidR="00E534C4" w:rsidRPr="00E534C4">
        <w:t xml:space="preserve"> functions include:</w:t>
      </w:r>
    </w:p>
    <w:p w14:paraId="146B7AF9" w14:textId="77777777" w:rsidR="00E534C4" w:rsidRPr="00E534C4" w:rsidRDefault="00E534C4" w:rsidP="00B138B1">
      <w:pPr>
        <w:pStyle w:val="ListParagraph"/>
        <w:widowControl w:val="0"/>
        <w:numPr>
          <w:ilvl w:val="0"/>
          <w:numId w:val="37"/>
        </w:numPr>
        <w:spacing w:before="0" w:after="120"/>
        <w:contextualSpacing w:val="0"/>
        <w:jc w:val="both"/>
        <w:rPr>
          <w:rFonts w:asciiTheme="minorHAnsi" w:hAnsiTheme="minorHAnsi"/>
          <w:color w:val="auto"/>
          <w:sz w:val="22"/>
          <w:szCs w:val="22"/>
        </w:rPr>
      </w:pPr>
      <w:r w:rsidRPr="00E534C4">
        <w:rPr>
          <w:rFonts w:asciiTheme="minorHAnsi" w:hAnsiTheme="minorHAnsi"/>
          <w:color w:val="auto"/>
          <w:sz w:val="22"/>
          <w:szCs w:val="22"/>
        </w:rPr>
        <w:t>advising the responsible Commonwealth Minister (both as a member of the Joint Authority and otherwise) and State and Northern Territory Ministers of the Joint Authority and their delegates</w:t>
      </w:r>
    </w:p>
    <w:p w14:paraId="7A594F09" w14:textId="77777777" w:rsidR="00E534C4" w:rsidRPr="00E534C4" w:rsidRDefault="00E534C4" w:rsidP="00B138B1">
      <w:pPr>
        <w:pStyle w:val="ListParagraph"/>
        <w:widowControl w:val="0"/>
        <w:numPr>
          <w:ilvl w:val="0"/>
          <w:numId w:val="37"/>
        </w:numPr>
        <w:spacing w:before="0" w:after="120"/>
        <w:contextualSpacing w:val="0"/>
        <w:jc w:val="both"/>
        <w:rPr>
          <w:rFonts w:asciiTheme="minorHAnsi" w:hAnsiTheme="minorHAnsi"/>
          <w:color w:val="auto"/>
          <w:sz w:val="22"/>
          <w:szCs w:val="22"/>
        </w:rPr>
      </w:pPr>
      <w:r w:rsidRPr="00E534C4">
        <w:rPr>
          <w:rFonts w:asciiTheme="minorHAnsi" w:hAnsiTheme="minorHAnsi"/>
          <w:color w:val="auto"/>
          <w:sz w:val="22"/>
          <w:szCs w:val="22"/>
        </w:rPr>
        <w:t>the day-to-day administration of offshore petroleum titles in Commonwealth waters in accordance with the OPGGS Act and associated regulations</w:t>
      </w:r>
    </w:p>
    <w:p w14:paraId="4F3A0F65" w14:textId="77777777" w:rsidR="00E534C4" w:rsidRPr="00E534C4" w:rsidRDefault="00E534C4" w:rsidP="00B138B1">
      <w:pPr>
        <w:pStyle w:val="ListParagraph"/>
        <w:widowControl w:val="0"/>
        <w:numPr>
          <w:ilvl w:val="0"/>
          <w:numId w:val="37"/>
        </w:numPr>
        <w:spacing w:before="0" w:after="120"/>
        <w:contextualSpacing w:val="0"/>
        <w:jc w:val="both"/>
        <w:rPr>
          <w:rFonts w:asciiTheme="minorHAnsi" w:hAnsiTheme="minorHAnsi"/>
          <w:color w:val="auto"/>
          <w:sz w:val="22"/>
          <w:szCs w:val="22"/>
        </w:rPr>
      </w:pPr>
      <w:r w:rsidRPr="00E534C4">
        <w:rPr>
          <w:rFonts w:asciiTheme="minorHAnsi" w:hAnsiTheme="minorHAnsi"/>
          <w:color w:val="auto"/>
          <w:sz w:val="22"/>
          <w:szCs w:val="22"/>
        </w:rPr>
        <w:t>maintaining a public register of Commonwealth offshore petroleum and greenhouse gas titles</w:t>
      </w:r>
    </w:p>
    <w:p w14:paraId="016D6ABD" w14:textId="77777777" w:rsidR="00E534C4" w:rsidRPr="00E534C4" w:rsidRDefault="00E534C4" w:rsidP="00B138B1">
      <w:pPr>
        <w:pStyle w:val="ListParagraph"/>
        <w:widowControl w:val="0"/>
        <w:numPr>
          <w:ilvl w:val="0"/>
          <w:numId w:val="37"/>
        </w:numPr>
        <w:spacing w:before="0" w:after="120"/>
        <w:contextualSpacing w:val="0"/>
        <w:jc w:val="both"/>
        <w:rPr>
          <w:rFonts w:asciiTheme="minorHAnsi" w:hAnsiTheme="minorHAnsi"/>
          <w:color w:val="auto"/>
          <w:sz w:val="22"/>
          <w:szCs w:val="22"/>
        </w:rPr>
      </w:pPr>
      <w:r w:rsidRPr="00E534C4">
        <w:rPr>
          <w:rFonts w:asciiTheme="minorHAnsi" w:hAnsiTheme="minorHAnsi"/>
          <w:color w:val="auto"/>
          <w:sz w:val="22"/>
          <w:szCs w:val="22"/>
        </w:rPr>
        <w:t>ensuring petroleum resource management is undertaken in accordance with the principles of good oilfield practice</w:t>
      </w:r>
    </w:p>
    <w:p w14:paraId="5DA48E5A" w14:textId="77777777" w:rsidR="00E534C4" w:rsidRPr="00E534C4" w:rsidRDefault="00E534C4" w:rsidP="00B138B1">
      <w:pPr>
        <w:pStyle w:val="ListParagraph"/>
        <w:widowControl w:val="0"/>
        <w:numPr>
          <w:ilvl w:val="0"/>
          <w:numId w:val="37"/>
        </w:numPr>
        <w:spacing w:before="0" w:after="120"/>
        <w:contextualSpacing w:val="0"/>
        <w:jc w:val="both"/>
        <w:rPr>
          <w:rFonts w:asciiTheme="minorHAnsi" w:hAnsiTheme="minorHAnsi"/>
          <w:color w:val="auto"/>
          <w:sz w:val="22"/>
          <w:szCs w:val="22"/>
        </w:rPr>
      </w:pPr>
      <w:r w:rsidRPr="00E534C4">
        <w:rPr>
          <w:rFonts w:asciiTheme="minorHAnsi" w:hAnsiTheme="minorHAnsi"/>
          <w:color w:val="auto"/>
          <w:sz w:val="22"/>
          <w:szCs w:val="22"/>
        </w:rPr>
        <w:t>implementing effective field performance monitoring strategies in order to secure optimum petroleum recovery for the benefit of the Australian community</w:t>
      </w:r>
    </w:p>
    <w:p w14:paraId="0CF60DA8" w14:textId="77777777" w:rsidR="00E534C4" w:rsidRPr="00E534C4" w:rsidRDefault="00E534C4" w:rsidP="00B138B1">
      <w:pPr>
        <w:pStyle w:val="ListParagraph"/>
        <w:widowControl w:val="0"/>
        <w:numPr>
          <w:ilvl w:val="0"/>
          <w:numId w:val="37"/>
        </w:numPr>
        <w:spacing w:before="0" w:after="120"/>
        <w:contextualSpacing w:val="0"/>
        <w:jc w:val="both"/>
        <w:rPr>
          <w:rFonts w:asciiTheme="minorHAnsi" w:hAnsiTheme="minorHAnsi"/>
          <w:color w:val="auto"/>
          <w:sz w:val="22"/>
          <w:szCs w:val="22"/>
        </w:rPr>
      </w:pPr>
      <w:r w:rsidRPr="00E534C4">
        <w:rPr>
          <w:rFonts w:asciiTheme="minorHAnsi" w:hAnsiTheme="minorHAnsi"/>
          <w:color w:val="auto"/>
          <w:sz w:val="22"/>
          <w:szCs w:val="22"/>
        </w:rPr>
        <w:t>in partnership with Geoscience Australia and the Western Australian Geological Survey, maintaining the National Offshore Petroleum Data and Core Repository (NOPDCR)</w:t>
      </w:r>
    </w:p>
    <w:p w14:paraId="5676A7BE" w14:textId="77777777" w:rsidR="00E534C4" w:rsidRPr="00E534C4" w:rsidRDefault="00E534C4" w:rsidP="00B138B1">
      <w:pPr>
        <w:pStyle w:val="ListParagraph"/>
        <w:widowControl w:val="0"/>
        <w:numPr>
          <w:ilvl w:val="0"/>
          <w:numId w:val="37"/>
        </w:numPr>
        <w:spacing w:before="0" w:after="120"/>
        <w:contextualSpacing w:val="0"/>
        <w:jc w:val="both"/>
        <w:rPr>
          <w:rFonts w:asciiTheme="minorHAnsi" w:hAnsiTheme="minorHAnsi"/>
          <w:color w:val="auto"/>
          <w:sz w:val="22"/>
          <w:szCs w:val="22"/>
        </w:rPr>
      </w:pPr>
      <w:r w:rsidRPr="00E534C4">
        <w:rPr>
          <w:rFonts w:asciiTheme="minorHAnsi" w:hAnsiTheme="minorHAnsi"/>
          <w:color w:val="auto"/>
          <w:sz w:val="22"/>
          <w:szCs w:val="22"/>
        </w:rPr>
        <w:t>collecting levies and fees in accordance with government policy and NOPTA's approved Cost Recovery Impact Statement (CRIS)</w:t>
      </w:r>
    </w:p>
    <w:p w14:paraId="210E0954" w14:textId="77777777" w:rsidR="00E534C4" w:rsidRDefault="00E534C4" w:rsidP="00B138B1">
      <w:pPr>
        <w:pStyle w:val="ListParagraph"/>
        <w:widowControl w:val="0"/>
        <w:numPr>
          <w:ilvl w:val="0"/>
          <w:numId w:val="37"/>
        </w:numPr>
        <w:spacing w:before="0" w:after="0"/>
        <w:jc w:val="both"/>
        <w:rPr>
          <w:rFonts w:asciiTheme="minorHAnsi" w:hAnsiTheme="minorHAnsi"/>
          <w:color w:val="auto"/>
          <w:sz w:val="22"/>
          <w:szCs w:val="22"/>
        </w:rPr>
      </w:pPr>
      <w:r w:rsidRPr="00E534C4">
        <w:rPr>
          <w:rFonts w:asciiTheme="minorHAnsi" w:hAnsiTheme="minorHAnsi"/>
          <w:color w:val="auto"/>
          <w:sz w:val="22"/>
          <w:szCs w:val="22"/>
        </w:rPr>
        <w:t xml:space="preserve">maintaining a special account consistent with the requirements of the </w:t>
      </w:r>
      <w:r w:rsidRPr="00E534C4">
        <w:rPr>
          <w:rFonts w:asciiTheme="minorHAnsi" w:hAnsiTheme="minorHAnsi"/>
          <w:i/>
          <w:color w:val="auto"/>
          <w:sz w:val="22"/>
          <w:szCs w:val="22"/>
        </w:rPr>
        <w:t>Public Governance, Performance and Accountability Act 2013</w:t>
      </w:r>
      <w:r w:rsidRPr="00E534C4">
        <w:rPr>
          <w:rFonts w:asciiTheme="minorHAnsi" w:hAnsiTheme="minorHAnsi"/>
          <w:color w:val="auto"/>
          <w:sz w:val="22"/>
          <w:szCs w:val="22"/>
        </w:rPr>
        <w:t xml:space="preserve"> (PGPA Act).</w:t>
      </w:r>
    </w:p>
    <w:p w14:paraId="3288A52C" w14:textId="77777777" w:rsidR="00E534C4" w:rsidRPr="00E534C4" w:rsidRDefault="00E534C4" w:rsidP="00B138B1">
      <w:pPr>
        <w:pStyle w:val="ListParagraph"/>
        <w:widowControl w:val="0"/>
        <w:spacing w:before="0" w:after="0"/>
        <w:ind w:left="720"/>
        <w:jc w:val="both"/>
        <w:rPr>
          <w:rFonts w:asciiTheme="minorHAnsi" w:hAnsiTheme="minorHAnsi"/>
          <w:color w:val="auto"/>
          <w:sz w:val="22"/>
          <w:szCs w:val="22"/>
        </w:rPr>
      </w:pPr>
    </w:p>
    <w:p w14:paraId="3F3551AA" w14:textId="77777777" w:rsidR="00E534C4" w:rsidRDefault="00E534C4" w:rsidP="00B138B1">
      <w:pPr>
        <w:jc w:val="both"/>
      </w:pPr>
      <w:r>
        <w:t>The Joint Aut</w:t>
      </w:r>
      <w:r w:rsidR="00347EA5">
        <w:t xml:space="preserve">horities are the decision-makers </w:t>
      </w:r>
      <w:r>
        <w:t>for the granting of the petroleum titles that underpin petroleum exploration and development – exploration permits, retention leases and production licenses. NOPTA provides advice and recommendations in relation to these decisions. All communication to or from the Joint Authority occur</w:t>
      </w:r>
      <w:r w:rsidR="00A53D08">
        <w:t>s</w:t>
      </w:r>
      <w:r>
        <w:t xml:space="preserve"> through NOPTA.</w:t>
      </w:r>
    </w:p>
    <w:p w14:paraId="7B8AC7F0" w14:textId="77777777" w:rsidR="00E534C4" w:rsidRDefault="00E534C4" w:rsidP="00B138B1">
      <w:pPr>
        <w:jc w:val="both"/>
      </w:pPr>
      <w:r>
        <w:t>NOPTA has the authority to grant short-term titles (petroleum access authority and petroleum special prospecting authority) and approves certain commercial arrangements known as transfers and dealings.</w:t>
      </w:r>
    </w:p>
    <w:p w14:paraId="16253295" w14:textId="77777777" w:rsidR="00E534C4" w:rsidRDefault="00E534C4" w:rsidP="00851F51">
      <w:pPr>
        <w:spacing w:line="240" w:lineRule="auto"/>
      </w:pPr>
    </w:p>
    <w:p w14:paraId="2C12434A" w14:textId="77777777" w:rsidR="00ED5BBF" w:rsidRDefault="00ED5BBF">
      <w:pPr>
        <w:rPr>
          <w:rFonts w:asciiTheme="majorHAnsi" w:eastAsiaTheme="majorEastAsia" w:hAnsiTheme="majorHAnsi" w:cstheme="majorBidi"/>
          <w:b/>
          <w:color w:val="2E74B5" w:themeColor="accent1" w:themeShade="BF"/>
          <w:sz w:val="40"/>
          <w:szCs w:val="40"/>
        </w:rPr>
      </w:pPr>
      <w:r>
        <w:rPr>
          <w:b/>
          <w:sz w:val="40"/>
          <w:szCs w:val="40"/>
        </w:rPr>
        <w:br w:type="page"/>
      </w:r>
    </w:p>
    <w:p w14:paraId="53AC3A75" w14:textId="77777777" w:rsidR="00E534C4" w:rsidRDefault="00D15C43" w:rsidP="00E534C4">
      <w:pPr>
        <w:pStyle w:val="Heading1"/>
        <w:rPr>
          <w:b/>
          <w:sz w:val="40"/>
          <w:szCs w:val="40"/>
        </w:rPr>
      </w:pPr>
      <w:bookmarkStart w:id="13" w:name="_Toc528835733"/>
      <w:r>
        <w:rPr>
          <w:b/>
          <w:sz w:val="40"/>
          <w:szCs w:val="40"/>
        </w:rPr>
        <w:lastRenderedPageBreak/>
        <w:t xml:space="preserve">NOPTA </w:t>
      </w:r>
      <w:r w:rsidR="00E534C4" w:rsidRPr="00D15C43">
        <w:rPr>
          <w:b/>
          <w:sz w:val="40"/>
          <w:szCs w:val="40"/>
        </w:rPr>
        <w:t>Self-assessment</w:t>
      </w:r>
      <w:bookmarkEnd w:id="13"/>
      <w:r w:rsidR="00E534C4" w:rsidRPr="00D15C43">
        <w:rPr>
          <w:b/>
          <w:sz w:val="40"/>
          <w:szCs w:val="40"/>
        </w:rPr>
        <w:t xml:space="preserve"> </w:t>
      </w:r>
    </w:p>
    <w:p w14:paraId="114B8CC6" w14:textId="77777777" w:rsidR="00D15C43" w:rsidRDefault="00D15C43" w:rsidP="00D15C43">
      <w:pPr>
        <w:pBdr>
          <w:bottom w:val="single" w:sz="6" w:space="1" w:color="auto"/>
        </w:pBdr>
      </w:pPr>
    </w:p>
    <w:p w14:paraId="1A643B7C" w14:textId="77777777" w:rsidR="006F6665" w:rsidRPr="00D15C43" w:rsidRDefault="006F6665" w:rsidP="00B138B1">
      <w:pPr>
        <w:pStyle w:val="Heading2"/>
        <w:spacing w:before="0" w:line="240" w:lineRule="auto"/>
        <w:jc w:val="both"/>
        <w:rPr>
          <w:rFonts w:asciiTheme="minorHAnsi" w:hAnsiTheme="minorHAnsi"/>
          <w:b/>
        </w:rPr>
      </w:pPr>
      <w:bookmarkStart w:id="14" w:name="_Toc528835734"/>
      <w:r w:rsidRPr="00D15C43">
        <w:rPr>
          <w:rFonts w:asciiTheme="minorHAnsi" w:hAnsiTheme="minorHAnsi"/>
          <w:b/>
        </w:rPr>
        <w:t>KPI 1: Regulators do not unnecessarily impede the efficient operation of regulated entities</w:t>
      </w:r>
      <w:bookmarkEnd w:id="6"/>
      <w:bookmarkEnd w:id="7"/>
      <w:bookmarkEnd w:id="14"/>
    </w:p>
    <w:p w14:paraId="124AB654" w14:textId="77777777" w:rsidR="00772396" w:rsidRDefault="00772396" w:rsidP="003738AE">
      <w:bookmarkStart w:id="15" w:name="_Toc497215469"/>
      <w:bookmarkStart w:id="16" w:name="_Toc453069557"/>
    </w:p>
    <w:p w14:paraId="5741636B" w14:textId="77777777" w:rsidR="006F6665" w:rsidRPr="00772396" w:rsidRDefault="006F6665" w:rsidP="00B138B1">
      <w:pPr>
        <w:pStyle w:val="Heading3"/>
        <w:spacing w:before="0" w:after="0"/>
        <w:jc w:val="both"/>
        <w:rPr>
          <w:rFonts w:asciiTheme="minorHAnsi" w:hAnsiTheme="minorHAnsi"/>
          <w:sz w:val="22"/>
          <w:szCs w:val="22"/>
        </w:rPr>
      </w:pPr>
      <w:bookmarkStart w:id="17" w:name="_Toc528835735"/>
      <w:r w:rsidRPr="00772396">
        <w:rPr>
          <w:rFonts w:asciiTheme="minorHAnsi" w:hAnsiTheme="minorHAnsi"/>
          <w:sz w:val="22"/>
          <w:szCs w:val="22"/>
        </w:rPr>
        <w:t>KPI Expectations</w:t>
      </w:r>
      <w:bookmarkEnd w:id="15"/>
      <w:bookmarkEnd w:id="17"/>
    </w:p>
    <w:p w14:paraId="028FF4D7" w14:textId="77777777" w:rsidR="006F6665" w:rsidRPr="00772396" w:rsidRDefault="006F6665" w:rsidP="00B138B1">
      <w:pPr>
        <w:spacing w:after="0" w:line="240" w:lineRule="auto"/>
        <w:jc w:val="both"/>
      </w:pPr>
      <w:r w:rsidRPr="00772396">
        <w:t>Regulators should always consider the legislative and authorising environment and seek to minimise the potential negative impact of regulatory activity where appropriate.  Regulators avoid imposing unnecessary costs in the design and review of policies, procedures and practices. This includes engaging with external organisations to learn and share experiences.</w:t>
      </w:r>
    </w:p>
    <w:p w14:paraId="67B07DF9" w14:textId="77777777" w:rsidR="00772396" w:rsidRDefault="00772396" w:rsidP="003738AE">
      <w:bookmarkStart w:id="18" w:name="_Toc497215470"/>
    </w:p>
    <w:p w14:paraId="78DD9731" w14:textId="77777777" w:rsidR="006F6665" w:rsidRPr="00772396" w:rsidRDefault="006F6665" w:rsidP="00B138B1">
      <w:pPr>
        <w:pStyle w:val="Heading3"/>
        <w:spacing w:before="0" w:after="0"/>
        <w:jc w:val="both"/>
        <w:rPr>
          <w:rFonts w:asciiTheme="minorHAnsi" w:hAnsiTheme="minorHAnsi"/>
          <w:sz w:val="22"/>
          <w:szCs w:val="22"/>
        </w:rPr>
      </w:pPr>
      <w:bookmarkStart w:id="19" w:name="_Toc528835736"/>
      <w:r w:rsidRPr="00772396">
        <w:rPr>
          <w:rFonts w:asciiTheme="minorHAnsi" w:hAnsiTheme="minorHAnsi"/>
          <w:sz w:val="22"/>
          <w:szCs w:val="22"/>
        </w:rPr>
        <w:t>NOPTA’s Approach</w:t>
      </w:r>
      <w:bookmarkEnd w:id="18"/>
      <w:bookmarkEnd w:id="19"/>
      <w:r w:rsidRPr="00772396">
        <w:rPr>
          <w:rFonts w:asciiTheme="minorHAnsi" w:hAnsiTheme="minorHAnsi"/>
          <w:sz w:val="22"/>
          <w:szCs w:val="22"/>
        </w:rPr>
        <w:t xml:space="preserve"> </w:t>
      </w:r>
    </w:p>
    <w:p w14:paraId="67FE2C8F" w14:textId="77777777" w:rsidR="007A0065" w:rsidRPr="007A0065" w:rsidRDefault="00A53D08" w:rsidP="00B138B1">
      <w:pPr>
        <w:jc w:val="both"/>
      </w:pPr>
      <w:bookmarkStart w:id="20" w:name="_Toc497215471"/>
      <w:bookmarkEnd w:id="16"/>
      <w:r>
        <w:t>NOPTA acts</w:t>
      </w:r>
      <w:r w:rsidR="007A0065" w:rsidRPr="007A0065">
        <w:t xml:space="preserve"> in accordance with leading regulatory practice in all </w:t>
      </w:r>
      <w:r>
        <w:t>its</w:t>
      </w:r>
      <w:r w:rsidRPr="007A0065">
        <w:t xml:space="preserve"> </w:t>
      </w:r>
      <w:r w:rsidR="007A0065" w:rsidRPr="007A0065">
        <w:t>activities and develop</w:t>
      </w:r>
      <w:r>
        <w:t>s</w:t>
      </w:r>
      <w:r w:rsidR="007A0065" w:rsidRPr="007A0065">
        <w:t>, maintain</w:t>
      </w:r>
      <w:r>
        <w:t>s</w:t>
      </w:r>
      <w:r w:rsidR="007A0065" w:rsidRPr="007A0065">
        <w:t xml:space="preserve"> and implement</w:t>
      </w:r>
      <w:r>
        <w:t>s</w:t>
      </w:r>
      <w:r w:rsidR="007A0065" w:rsidRPr="007A0065">
        <w:t xml:space="preserve"> policies, processes and communication practices to maximise efficiency, effectiveness and transparency, and minimise compliance costs. </w:t>
      </w:r>
      <w:r>
        <w:t>NOPTA reviews its</w:t>
      </w:r>
      <w:r w:rsidR="007A0065" w:rsidRPr="007A0065">
        <w:t xml:space="preserve"> policies and procedures regularly to identify areas for improvement necessary to achieve </w:t>
      </w:r>
      <w:r w:rsidR="00071274">
        <w:t>the above</w:t>
      </w:r>
      <w:r w:rsidR="007A0065" w:rsidRPr="007A0065">
        <w:t xml:space="preserve"> objectives.</w:t>
      </w:r>
    </w:p>
    <w:p w14:paraId="1D004A3C" w14:textId="77777777" w:rsidR="006F6665" w:rsidRPr="00B138B1" w:rsidRDefault="006F6665" w:rsidP="00B138B1">
      <w:pPr>
        <w:jc w:val="both"/>
        <w:rPr>
          <w:b/>
        </w:rPr>
      </w:pPr>
      <w:r w:rsidRPr="00B138B1">
        <w:rPr>
          <w:b/>
        </w:rPr>
        <w:t>Results</w:t>
      </w:r>
      <w:bookmarkEnd w:id="20"/>
      <w:r w:rsidR="00DE7023" w:rsidRPr="00B138B1">
        <w:rPr>
          <w:b/>
        </w:rPr>
        <w:t xml:space="preserve">: </w:t>
      </w:r>
      <w:r w:rsidR="00DE7023" w:rsidRPr="00B138B1">
        <w:rPr>
          <w:b/>
        </w:rPr>
        <w:tab/>
      </w:r>
      <w:r w:rsidR="004821E4" w:rsidRPr="00B138B1">
        <w:rPr>
          <w:b/>
        </w:rPr>
        <w:fldChar w:fldCharType="begin">
          <w:ffData>
            <w:name w:val="Check1"/>
            <w:enabled/>
            <w:calcOnExit w:val="0"/>
            <w:checkBox>
              <w:sizeAuto/>
              <w:default w:val="1"/>
            </w:checkBox>
          </w:ffData>
        </w:fldChar>
      </w:r>
      <w:bookmarkStart w:id="21" w:name="Check1"/>
      <w:r w:rsidR="004821E4" w:rsidRPr="00B138B1">
        <w:rPr>
          <w:b/>
        </w:rPr>
        <w:instrText xml:space="preserve"> FORMCHECKBOX </w:instrText>
      </w:r>
      <w:r w:rsidR="003738AE">
        <w:rPr>
          <w:b/>
        </w:rPr>
      </w:r>
      <w:r w:rsidR="003738AE">
        <w:rPr>
          <w:b/>
        </w:rPr>
        <w:fldChar w:fldCharType="separate"/>
      </w:r>
      <w:r w:rsidR="004821E4" w:rsidRPr="00B138B1">
        <w:rPr>
          <w:b/>
        </w:rPr>
        <w:fldChar w:fldCharType="end"/>
      </w:r>
      <w:bookmarkEnd w:id="21"/>
      <w:r w:rsidR="004821E4" w:rsidRPr="00B138B1">
        <w:rPr>
          <w:b/>
        </w:rPr>
        <w:t xml:space="preserve"> Met</w:t>
      </w:r>
      <w:r w:rsidR="004821E4" w:rsidRPr="00B138B1">
        <w:rPr>
          <w:b/>
        </w:rPr>
        <w:tab/>
      </w:r>
      <w:r w:rsidR="004821E4" w:rsidRPr="00B138B1">
        <w:rPr>
          <w:b/>
        </w:rPr>
        <w:tab/>
      </w:r>
      <w:r w:rsidR="004821E4" w:rsidRPr="00B138B1">
        <w:rPr>
          <w:b/>
        </w:rPr>
        <w:fldChar w:fldCharType="begin">
          <w:ffData>
            <w:name w:val="Check2"/>
            <w:enabled/>
            <w:calcOnExit w:val="0"/>
            <w:checkBox>
              <w:sizeAuto/>
              <w:default w:val="0"/>
            </w:checkBox>
          </w:ffData>
        </w:fldChar>
      </w:r>
      <w:bookmarkStart w:id="22" w:name="Check2"/>
      <w:r w:rsidR="004821E4" w:rsidRPr="00B138B1">
        <w:rPr>
          <w:b/>
        </w:rPr>
        <w:instrText xml:space="preserve"> FORMCHECKBOX </w:instrText>
      </w:r>
      <w:r w:rsidR="003738AE">
        <w:rPr>
          <w:b/>
        </w:rPr>
      </w:r>
      <w:r w:rsidR="003738AE">
        <w:rPr>
          <w:b/>
        </w:rPr>
        <w:fldChar w:fldCharType="separate"/>
      </w:r>
      <w:r w:rsidR="004821E4" w:rsidRPr="00B138B1">
        <w:rPr>
          <w:b/>
        </w:rPr>
        <w:fldChar w:fldCharType="end"/>
      </w:r>
      <w:bookmarkEnd w:id="22"/>
      <w:r w:rsidR="004821E4" w:rsidRPr="00B138B1">
        <w:rPr>
          <w:b/>
        </w:rPr>
        <w:t xml:space="preserve"> Partially Met</w:t>
      </w:r>
      <w:r w:rsidR="004821E4" w:rsidRPr="00B138B1">
        <w:rPr>
          <w:b/>
        </w:rPr>
        <w:tab/>
      </w:r>
      <w:r w:rsidR="004821E4" w:rsidRPr="00B138B1">
        <w:rPr>
          <w:b/>
        </w:rPr>
        <w:fldChar w:fldCharType="begin">
          <w:ffData>
            <w:name w:val="Check3"/>
            <w:enabled/>
            <w:calcOnExit w:val="0"/>
            <w:checkBox>
              <w:sizeAuto/>
              <w:default w:val="0"/>
            </w:checkBox>
          </w:ffData>
        </w:fldChar>
      </w:r>
      <w:bookmarkStart w:id="23" w:name="Check3"/>
      <w:r w:rsidR="004821E4" w:rsidRPr="00B138B1">
        <w:rPr>
          <w:b/>
        </w:rPr>
        <w:instrText xml:space="preserve"> FORMCHECKBOX </w:instrText>
      </w:r>
      <w:r w:rsidR="003738AE">
        <w:rPr>
          <w:b/>
        </w:rPr>
      </w:r>
      <w:r w:rsidR="003738AE">
        <w:rPr>
          <w:b/>
        </w:rPr>
        <w:fldChar w:fldCharType="separate"/>
      </w:r>
      <w:r w:rsidR="004821E4" w:rsidRPr="00B138B1">
        <w:rPr>
          <w:b/>
        </w:rPr>
        <w:fldChar w:fldCharType="end"/>
      </w:r>
      <w:bookmarkEnd w:id="23"/>
      <w:r w:rsidR="004821E4"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Caption w:val="Highlighted box"/>
      </w:tblPr>
      <w:tblGrid>
        <w:gridCol w:w="9016"/>
      </w:tblGrid>
      <w:tr w:rsidR="001B23EB" w14:paraId="5E737B12" w14:textId="77777777" w:rsidTr="003738AE">
        <w:trPr>
          <w:tblHeader/>
        </w:trPr>
        <w:tc>
          <w:tcPr>
            <w:tcW w:w="9016" w:type="dxa"/>
            <w:shd w:val="clear" w:color="auto" w:fill="F2F2F2" w:themeFill="background1" w:themeFillShade="F2"/>
          </w:tcPr>
          <w:p w14:paraId="2F2CA2EF" w14:textId="77777777" w:rsidR="001B23EB" w:rsidRPr="00E84598" w:rsidRDefault="001B23EB" w:rsidP="00B138B1">
            <w:pPr>
              <w:jc w:val="both"/>
              <w:rPr>
                <w:i/>
              </w:rPr>
            </w:pPr>
            <w:bookmarkStart w:id="24" w:name="_Toc453069558"/>
            <w:r w:rsidRPr="00E84598">
              <w:rPr>
                <w:i/>
              </w:rPr>
              <w:t>NOPTA assesses that it has met KPI 1</w:t>
            </w:r>
            <w:r w:rsidR="00BF5C69">
              <w:rPr>
                <w:i/>
              </w:rPr>
              <w:t xml:space="preserve">. This has been achieved through a </w:t>
            </w:r>
            <w:r w:rsidR="00BF5C69" w:rsidRPr="00E84598">
              <w:rPr>
                <w:i/>
              </w:rPr>
              <w:t>strong commitment to continuous improvement</w:t>
            </w:r>
            <w:r w:rsidR="00BF5C69">
              <w:rPr>
                <w:i/>
              </w:rPr>
              <w:t xml:space="preserve"> of our internal processes and active engagement with stakeholders to execute our functions </w:t>
            </w:r>
            <w:r w:rsidRPr="00E84598">
              <w:rPr>
                <w:i/>
              </w:rPr>
              <w:t xml:space="preserve">in accordance with leading regulatory practice. </w:t>
            </w:r>
          </w:p>
        </w:tc>
      </w:tr>
    </w:tbl>
    <w:p w14:paraId="0F454FFD" w14:textId="77777777" w:rsidR="00B90F51" w:rsidRPr="00E84598" w:rsidRDefault="00B90F51" w:rsidP="00E84598">
      <w:pPr>
        <w:spacing w:after="0"/>
        <w:rPr>
          <w:b/>
        </w:rPr>
      </w:pPr>
    </w:p>
    <w:p w14:paraId="711A4658" w14:textId="77777777" w:rsidR="00B372E8" w:rsidRPr="00E52AD1" w:rsidRDefault="00951D44"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sidRPr="00E52AD1">
        <w:rPr>
          <w:rFonts w:asciiTheme="minorHAnsi" w:hAnsiTheme="minorHAnsi"/>
          <w:color w:val="auto"/>
          <w:sz w:val="22"/>
          <w:szCs w:val="22"/>
        </w:rPr>
        <w:t>NOPTA is a</w:t>
      </w:r>
      <w:r w:rsidR="00DA6D80">
        <w:rPr>
          <w:rFonts w:asciiTheme="minorHAnsi" w:hAnsiTheme="minorHAnsi"/>
          <w:color w:val="auto"/>
          <w:sz w:val="22"/>
          <w:szCs w:val="22"/>
        </w:rPr>
        <w:t xml:space="preserve"> </w:t>
      </w:r>
      <w:r w:rsidRPr="00E52AD1">
        <w:rPr>
          <w:rFonts w:asciiTheme="minorHAnsi" w:hAnsiTheme="minorHAnsi"/>
          <w:color w:val="auto"/>
          <w:sz w:val="22"/>
          <w:szCs w:val="22"/>
        </w:rPr>
        <w:t>member of the International Regulators Forum (IRF)</w:t>
      </w:r>
      <w:r w:rsidR="00B372E8">
        <w:rPr>
          <w:rFonts w:asciiTheme="minorHAnsi" w:hAnsiTheme="minorHAnsi"/>
          <w:color w:val="auto"/>
          <w:sz w:val="22"/>
          <w:szCs w:val="22"/>
        </w:rPr>
        <w:t xml:space="preserve"> and </w:t>
      </w:r>
      <w:r w:rsidRPr="00E52AD1">
        <w:rPr>
          <w:rFonts w:asciiTheme="minorHAnsi" w:hAnsiTheme="minorHAnsi"/>
          <w:color w:val="auto"/>
          <w:sz w:val="22"/>
          <w:szCs w:val="22"/>
        </w:rPr>
        <w:t>the International Upstream Forum (IUF</w:t>
      </w:r>
      <w:r w:rsidR="00B372E8">
        <w:rPr>
          <w:rFonts w:asciiTheme="minorHAnsi" w:hAnsiTheme="minorHAnsi"/>
          <w:color w:val="auto"/>
          <w:sz w:val="22"/>
          <w:szCs w:val="22"/>
        </w:rPr>
        <w:t>)</w:t>
      </w:r>
      <w:r w:rsidRPr="00E52AD1">
        <w:rPr>
          <w:rFonts w:asciiTheme="minorHAnsi" w:hAnsiTheme="minorHAnsi"/>
          <w:color w:val="auto"/>
          <w:sz w:val="22"/>
          <w:szCs w:val="22"/>
        </w:rPr>
        <w:t xml:space="preserve">. </w:t>
      </w:r>
      <w:r w:rsidR="00B372E8" w:rsidRPr="00E52AD1">
        <w:rPr>
          <w:rFonts w:asciiTheme="minorHAnsi" w:hAnsiTheme="minorHAnsi"/>
          <w:color w:val="auto"/>
          <w:sz w:val="22"/>
          <w:szCs w:val="22"/>
        </w:rPr>
        <w:t>NOPTA is also an active participant in the Council of Australian Governments (COAG) Energy Council, Upstream Petroleum Resources (UPR) Working Group</w:t>
      </w:r>
      <w:r w:rsidR="00B372E8" w:rsidRPr="00FA66AC">
        <w:rPr>
          <w:rFonts w:asciiTheme="minorHAnsi" w:hAnsiTheme="minorHAnsi"/>
          <w:color w:val="auto"/>
          <w:sz w:val="22"/>
          <w:szCs w:val="22"/>
        </w:rPr>
        <w:t xml:space="preserve">. </w:t>
      </w:r>
    </w:p>
    <w:p w14:paraId="180988F8" w14:textId="77777777" w:rsidR="00951D44" w:rsidRPr="00E52AD1" w:rsidRDefault="00A53D08"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NOPTA</w:t>
      </w:r>
      <w:r w:rsidRPr="00E52AD1">
        <w:rPr>
          <w:rFonts w:asciiTheme="minorHAnsi" w:hAnsiTheme="minorHAnsi"/>
          <w:color w:val="auto"/>
          <w:sz w:val="22"/>
          <w:szCs w:val="22"/>
        </w:rPr>
        <w:t xml:space="preserve"> </w:t>
      </w:r>
      <w:r w:rsidR="00951D44" w:rsidRPr="00E52AD1">
        <w:rPr>
          <w:rFonts w:asciiTheme="minorHAnsi" w:hAnsiTheme="minorHAnsi"/>
          <w:color w:val="auto"/>
          <w:sz w:val="22"/>
          <w:szCs w:val="22"/>
        </w:rPr>
        <w:t>participate</w:t>
      </w:r>
      <w:r>
        <w:rPr>
          <w:rFonts w:asciiTheme="minorHAnsi" w:hAnsiTheme="minorHAnsi"/>
          <w:color w:val="auto"/>
          <w:sz w:val="22"/>
          <w:szCs w:val="22"/>
        </w:rPr>
        <w:t>s</w:t>
      </w:r>
      <w:r w:rsidR="00951D44" w:rsidRPr="00E52AD1">
        <w:rPr>
          <w:rFonts w:asciiTheme="minorHAnsi" w:hAnsiTheme="minorHAnsi"/>
          <w:color w:val="auto"/>
          <w:sz w:val="22"/>
          <w:szCs w:val="22"/>
        </w:rPr>
        <w:t xml:space="preserve"> in data standards forums including the National Data Repositories Working Group</w:t>
      </w:r>
      <w:r w:rsidR="00B372E8">
        <w:rPr>
          <w:rFonts w:asciiTheme="minorHAnsi" w:hAnsiTheme="minorHAnsi"/>
          <w:color w:val="auto"/>
          <w:sz w:val="22"/>
          <w:szCs w:val="22"/>
        </w:rPr>
        <w:t>,</w:t>
      </w:r>
      <w:r w:rsidR="00951D44" w:rsidRPr="00E52AD1">
        <w:rPr>
          <w:rFonts w:asciiTheme="minorHAnsi" w:hAnsiTheme="minorHAnsi"/>
          <w:color w:val="auto"/>
          <w:sz w:val="22"/>
          <w:szCs w:val="22"/>
        </w:rPr>
        <w:t xml:space="preserve"> the</w:t>
      </w:r>
      <w:r w:rsidR="00B372E8">
        <w:rPr>
          <w:rFonts w:asciiTheme="minorHAnsi" w:hAnsiTheme="minorHAnsi"/>
          <w:color w:val="auto"/>
          <w:sz w:val="22"/>
          <w:szCs w:val="22"/>
        </w:rPr>
        <w:t xml:space="preserve"> </w:t>
      </w:r>
      <w:r w:rsidR="00B372E8" w:rsidRPr="00E52AD1">
        <w:rPr>
          <w:rFonts w:asciiTheme="minorHAnsi" w:hAnsiTheme="minorHAnsi"/>
          <w:color w:val="auto"/>
          <w:sz w:val="22"/>
          <w:szCs w:val="22"/>
        </w:rPr>
        <w:t>Professional Petroleum Data Management</w:t>
      </w:r>
      <w:r w:rsidR="00951D44" w:rsidRPr="00E52AD1">
        <w:rPr>
          <w:rFonts w:asciiTheme="minorHAnsi" w:hAnsiTheme="minorHAnsi"/>
          <w:color w:val="auto"/>
          <w:sz w:val="22"/>
          <w:szCs w:val="22"/>
        </w:rPr>
        <w:t xml:space="preserve"> </w:t>
      </w:r>
      <w:r w:rsidR="00B372E8">
        <w:rPr>
          <w:rFonts w:asciiTheme="minorHAnsi" w:hAnsiTheme="minorHAnsi"/>
          <w:color w:val="auto"/>
          <w:sz w:val="22"/>
          <w:szCs w:val="22"/>
        </w:rPr>
        <w:t>(</w:t>
      </w:r>
      <w:r w:rsidR="00951D44" w:rsidRPr="00E52AD1">
        <w:rPr>
          <w:rFonts w:asciiTheme="minorHAnsi" w:hAnsiTheme="minorHAnsi"/>
          <w:color w:val="auto"/>
          <w:sz w:val="22"/>
          <w:szCs w:val="22"/>
        </w:rPr>
        <w:t>PPDM</w:t>
      </w:r>
      <w:r w:rsidR="00B372E8">
        <w:rPr>
          <w:rFonts w:asciiTheme="minorHAnsi" w:hAnsiTheme="minorHAnsi"/>
          <w:color w:val="auto"/>
          <w:sz w:val="22"/>
          <w:szCs w:val="22"/>
        </w:rPr>
        <w:t>)</w:t>
      </w:r>
      <w:r w:rsidR="00951D44" w:rsidRPr="00E52AD1">
        <w:rPr>
          <w:rFonts w:asciiTheme="minorHAnsi" w:hAnsiTheme="minorHAnsi"/>
          <w:color w:val="auto"/>
          <w:sz w:val="22"/>
          <w:szCs w:val="22"/>
        </w:rPr>
        <w:t xml:space="preserve"> Regulatory Data Standards Committee</w:t>
      </w:r>
      <w:r w:rsidR="00B372E8">
        <w:rPr>
          <w:rFonts w:asciiTheme="minorHAnsi" w:hAnsiTheme="minorHAnsi"/>
          <w:color w:val="auto"/>
          <w:sz w:val="22"/>
          <w:szCs w:val="22"/>
        </w:rPr>
        <w:t xml:space="preserve"> and Energistics</w:t>
      </w:r>
      <w:r w:rsidR="00951D44" w:rsidRPr="00E52AD1">
        <w:rPr>
          <w:rFonts w:asciiTheme="minorHAnsi" w:hAnsiTheme="minorHAnsi"/>
          <w:color w:val="auto"/>
          <w:sz w:val="22"/>
          <w:szCs w:val="22"/>
        </w:rPr>
        <w:t xml:space="preserve">. </w:t>
      </w:r>
    </w:p>
    <w:p w14:paraId="40D85441" w14:textId="77777777" w:rsidR="00951D44" w:rsidRPr="00E52AD1" w:rsidRDefault="00951D44"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sidRPr="00E52AD1">
        <w:rPr>
          <w:rFonts w:asciiTheme="minorHAnsi" w:hAnsiTheme="minorHAnsi"/>
          <w:color w:val="auto"/>
          <w:sz w:val="22"/>
          <w:szCs w:val="22"/>
        </w:rPr>
        <w:t>These</w:t>
      </w:r>
      <w:r w:rsidR="00614358" w:rsidRPr="00E52AD1">
        <w:rPr>
          <w:rFonts w:asciiTheme="minorHAnsi" w:hAnsiTheme="minorHAnsi"/>
          <w:color w:val="auto"/>
          <w:sz w:val="22"/>
          <w:szCs w:val="22"/>
        </w:rPr>
        <w:t xml:space="preserve"> forums</w:t>
      </w:r>
      <w:r w:rsidRPr="00E52AD1">
        <w:rPr>
          <w:rFonts w:asciiTheme="minorHAnsi" w:hAnsiTheme="minorHAnsi"/>
          <w:color w:val="auto"/>
          <w:sz w:val="22"/>
          <w:szCs w:val="22"/>
        </w:rPr>
        <w:t xml:space="preserve"> </w:t>
      </w:r>
      <w:r w:rsidR="00EE4D75">
        <w:rPr>
          <w:rFonts w:asciiTheme="minorHAnsi" w:hAnsiTheme="minorHAnsi"/>
          <w:color w:val="auto"/>
          <w:sz w:val="22"/>
          <w:szCs w:val="22"/>
        </w:rPr>
        <w:t>are</w:t>
      </w:r>
      <w:r w:rsidRPr="00E52AD1">
        <w:rPr>
          <w:rFonts w:asciiTheme="minorHAnsi" w:hAnsiTheme="minorHAnsi"/>
          <w:color w:val="auto"/>
          <w:sz w:val="22"/>
          <w:szCs w:val="22"/>
        </w:rPr>
        <w:t xml:space="preserve"> important avenue</w:t>
      </w:r>
      <w:r w:rsidR="00614358" w:rsidRPr="00E52AD1">
        <w:rPr>
          <w:rFonts w:asciiTheme="minorHAnsi" w:hAnsiTheme="minorHAnsi"/>
          <w:color w:val="auto"/>
          <w:sz w:val="22"/>
          <w:szCs w:val="22"/>
        </w:rPr>
        <w:t>s</w:t>
      </w:r>
      <w:r w:rsidRPr="00E52AD1">
        <w:rPr>
          <w:rFonts w:asciiTheme="minorHAnsi" w:hAnsiTheme="minorHAnsi"/>
          <w:color w:val="auto"/>
          <w:sz w:val="22"/>
          <w:szCs w:val="22"/>
        </w:rPr>
        <w:t xml:space="preserve"> to</w:t>
      </w:r>
      <w:r w:rsidR="00731A37">
        <w:rPr>
          <w:rFonts w:asciiTheme="minorHAnsi" w:hAnsiTheme="minorHAnsi"/>
          <w:color w:val="auto"/>
          <w:sz w:val="22"/>
          <w:szCs w:val="22"/>
        </w:rPr>
        <w:t xml:space="preserve"> discuss</w:t>
      </w:r>
      <w:r w:rsidRPr="00E52AD1">
        <w:rPr>
          <w:rFonts w:asciiTheme="minorHAnsi" w:hAnsiTheme="minorHAnsi"/>
          <w:color w:val="auto"/>
          <w:sz w:val="22"/>
          <w:szCs w:val="22"/>
        </w:rPr>
        <w:t xml:space="preserve"> </w:t>
      </w:r>
      <w:r w:rsidR="00614358" w:rsidRPr="00E52AD1">
        <w:rPr>
          <w:rFonts w:asciiTheme="minorHAnsi" w:hAnsiTheme="minorHAnsi"/>
          <w:color w:val="auto"/>
          <w:sz w:val="22"/>
          <w:szCs w:val="22"/>
        </w:rPr>
        <w:t xml:space="preserve">current and </w:t>
      </w:r>
      <w:r w:rsidRPr="00E52AD1">
        <w:rPr>
          <w:rFonts w:asciiTheme="minorHAnsi" w:hAnsiTheme="minorHAnsi"/>
          <w:color w:val="auto"/>
          <w:sz w:val="22"/>
          <w:szCs w:val="22"/>
        </w:rPr>
        <w:t xml:space="preserve">emerging issues, share ideas and implement improvement strategies derived from </w:t>
      </w:r>
      <w:r w:rsidR="001E0BFA">
        <w:rPr>
          <w:rFonts w:asciiTheme="minorHAnsi" w:hAnsiTheme="minorHAnsi"/>
          <w:color w:val="auto"/>
          <w:sz w:val="22"/>
          <w:szCs w:val="22"/>
        </w:rPr>
        <w:t>the</w:t>
      </w:r>
      <w:r w:rsidR="00DE7023">
        <w:rPr>
          <w:rFonts w:asciiTheme="minorHAnsi" w:hAnsiTheme="minorHAnsi"/>
          <w:color w:val="auto"/>
          <w:sz w:val="22"/>
          <w:szCs w:val="22"/>
        </w:rPr>
        <w:t xml:space="preserve"> </w:t>
      </w:r>
      <w:r w:rsidRPr="00E52AD1">
        <w:rPr>
          <w:rFonts w:asciiTheme="minorHAnsi" w:hAnsiTheme="minorHAnsi"/>
          <w:color w:val="auto"/>
          <w:sz w:val="22"/>
          <w:szCs w:val="22"/>
        </w:rPr>
        <w:t xml:space="preserve">experiences </w:t>
      </w:r>
      <w:r w:rsidR="001E0BFA">
        <w:rPr>
          <w:rFonts w:asciiTheme="minorHAnsi" w:hAnsiTheme="minorHAnsi"/>
          <w:color w:val="auto"/>
          <w:sz w:val="22"/>
          <w:szCs w:val="22"/>
        </w:rPr>
        <w:t xml:space="preserve">of </w:t>
      </w:r>
      <w:r w:rsidR="001E0BFA" w:rsidRPr="00E52AD1">
        <w:rPr>
          <w:rFonts w:asciiTheme="minorHAnsi" w:hAnsiTheme="minorHAnsi"/>
          <w:color w:val="auto"/>
          <w:sz w:val="22"/>
          <w:szCs w:val="22"/>
        </w:rPr>
        <w:t>peer</w:t>
      </w:r>
      <w:r w:rsidR="001E0BFA">
        <w:rPr>
          <w:rFonts w:asciiTheme="minorHAnsi" w:hAnsiTheme="minorHAnsi"/>
          <w:color w:val="auto"/>
          <w:sz w:val="22"/>
          <w:szCs w:val="22"/>
        </w:rPr>
        <w:t>s</w:t>
      </w:r>
      <w:r w:rsidR="001E0BFA" w:rsidRPr="00E52AD1">
        <w:rPr>
          <w:rFonts w:asciiTheme="minorHAnsi" w:hAnsiTheme="minorHAnsi"/>
          <w:color w:val="auto"/>
          <w:sz w:val="22"/>
          <w:szCs w:val="22"/>
        </w:rPr>
        <w:t xml:space="preserve"> </w:t>
      </w:r>
      <w:r w:rsidRPr="00E52AD1">
        <w:rPr>
          <w:rFonts w:asciiTheme="minorHAnsi" w:hAnsiTheme="minorHAnsi"/>
          <w:color w:val="auto"/>
          <w:sz w:val="22"/>
          <w:szCs w:val="22"/>
        </w:rPr>
        <w:t>and in</w:t>
      </w:r>
      <w:r w:rsidR="00A53D08">
        <w:rPr>
          <w:rFonts w:asciiTheme="minorHAnsi" w:hAnsiTheme="minorHAnsi"/>
          <w:color w:val="auto"/>
          <w:sz w:val="22"/>
          <w:szCs w:val="22"/>
        </w:rPr>
        <w:t xml:space="preserve"> </w:t>
      </w:r>
      <w:r w:rsidRPr="00E52AD1">
        <w:rPr>
          <w:rFonts w:asciiTheme="minorHAnsi" w:hAnsiTheme="minorHAnsi"/>
          <w:color w:val="auto"/>
          <w:sz w:val="22"/>
          <w:szCs w:val="22"/>
        </w:rPr>
        <w:t xml:space="preserve">line with </w:t>
      </w:r>
      <w:r w:rsidR="005B6935">
        <w:rPr>
          <w:rFonts w:asciiTheme="minorHAnsi" w:hAnsiTheme="minorHAnsi"/>
          <w:color w:val="auto"/>
          <w:sz w:val="22"/>
          <w:szCs w:val="22"/>
        </w:rPr>
        <w:t xml:space="preserve">leading </w:t>
      </w:r>
      <w:r w:rsidRPr="00E52AD1">
        <w:rPr>
          <w:rFonts w:asciiTheme="minorHAnsi" w:hAnsiTheme="minorHAnsi"/>
          <w:color w:val="auto"/>
          <w:sz w:val="22"/>
          <w:szCs w:val="22"/>
        </w:rPr>
        <w:t xml:space="preserve">practice. </w:t>
      </w:r>
    </w:p>
    <w:p w14:paraId="46252A5D" w14:textId="77777777" w:rsidR="00A01490" w:rsidRPr="00E52AD1" w:rsidRDefault="00B90F51"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sidRPr="00E52AD1">
        <w:rPr>
          <w:rFonts w:asciiTheme="minorHAnsi" w:hAnsiTheme="minorHAnsi"/>
          <w:color w:val="auto"/>
          <w:sz w:val="22"/>
          <w:szCs w:val="22"/>
        </w:rPr>
        <w:t>NOPTA’s timeframes for application assessments and advice to the JA continue to be achieved in-line with the published ‘Operating Protocols for Offshore Petroleum Joint Authorities and supporting institutions’</w:t>
      </w:r>
      <w:r w:rsidR="001D5100">
        <w:rPr>
          <w:rFonts w:asciiTheme="minorHAnsi" w:hAnsiTheme="minorHAnsi"/>
          <w:color w:val="auto"/>
          <w:sz w:val="22"/>
          <w:szCs w:val="22"/>
        </w:rPr>
        <w:t xml:space="preserve"> (Joint Authority Protocol)</w:t>
      </w:r>
      <w:r w:rsidRPr="00E52AD1">
        <w:rPr>
          <w:rFonts w:asciiTheme="minorHAnsi" w:hAnsiTheme="minorHAnsi"/>
          <w:color w:val="auto"/>
          <w:sz w:val="22"/>
          <w:szCs w:val="22"/>
        </w:rPr>
        <w:t xml:space="preserve">. NOPTA is not required to report publicly on timeframe adherence but does provide a quarterly report to the </w:t>
      </w:r>
      <w:r w:rsidR="00814E71">
        <w:rPr>
          <w:rFonts w:asciiTheme="minorHAnsi" w:hAnsiTheme="minorHAnsi"/>
          <w:color w:val="auto"/>
          <w:sz w:val="22"/>
          <w:szCs w:val="22"/>
        </w:rPr>
        <w:t>UPR</w:t>
      </w:r>
      <w:r w:rsidR="00814E71" w:rsidRPr="00E52AD1">
        <w:rPr>
          <w:rFonts w:asciiTheme="minorHAnsi" w:hAnsiTheme="minorHAnsi"/>
          <w:color w:val="auto"/>
          <w:sz w:val="22"/>
          <w:szCs w:val="22"/>
        </w:rPr>
        <w:t xml:space="preserve"> </w:t>
      </w:r>
      <w:r w:rsidRPr="00E52AD1">
        <w:rPr>
          <w:rFonts w:asciiTheme="minorHAnsi" w:hAnsiTheme="minorHAnsi"/>
          <w:color w:val="auto"/>
          <w:sz w:val="22"/>
          <w:szCs w:val="22"/>
        </w:rPr>
        <w:t xml:space="preserve">on these metrics. </w:t>
      </w:r>
    </w:p>
    <w:p w14:paraId="1AD70914" w14:textId="77777777" w:rsidR="00051D27" w:rsidRDefault="00B90F51"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sidRPr="00E52AD1">
        <w:rPr>
          <w:rFonts w:asciiTheme="minorHAnsi" w:hAnsiTheme="minorHAnsi"/>
          <w:color w:val="auto"/>
          <w:sz w:val="22"/>
          <w:szCs w:val="22"/>
        </w:rPr>
        <w:t xml:space="preserve">Stakeholders can track the progress of applications via </w:t>
      </w:r>
      <w:r w:rsidR="00B372E8">
        <w:rPr>
          <w:rFonts w:asciiTheme="minorHAnsi" w:hAnsiTheme="minorHAnsi"/>
          <w:color w:val="auto"/>
          <w:sz w:val="22"/>
          <w:szCs w:val="22"/>
        </w:rPr>
        <w:t>the National Electronic Approvals Tracking System (</w:t>
      </w:r>
      <w:r w:rsidRPr="00E52AD1">
        <w:rPr>
          <w:rFonts w:asciiTheme="minorHAnsi" w:hAnsiTheme="minorHAnsi"/>
          <w:color w:val="auto"/>
          <w:sz w:val="22"/>
          <w:szCs w:val="22"/>
        </w:rPr>
        <w:t>NEATS</w:t>
      </w:r>
      <w:r w:rsidR="00B372E8">
        <w:rPr>
          <w:rFonts w:asciiTheme="minorHAnsi" w:hAnsiTheme="minorHAnsi"/>
          <w:color w:val="auto"/>
          <w:sz w:val="22"/>
          <w:szCs w:val="22"/>
        </w:rPr>
        <w:t xml:space="preserve">). </w:t>
      </w:r>
    </w:p>
    <w:p w14:paraId="46840F32" w14:textId="77777777" w:rsidR="00B90F51" w:rsidRPr="00E52AD1" w:rsidRDefault="00B372E8" w:rsidP="00B138B1">
      <w:pPr>
        <w:pStyle w:val="ListParagraph"/>
        <w:numPr>
          <w:ilvl w:val="0"/>
          <w:numId w:val="29"/>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T</w:t>
      </w:r>
      <w:r w:rsidR="00B90F51" w:rsidRPr="00E52AD1">
        <w:rPr>
          <w:rFonts w:asciiTheme="minorHAnsi" w:hAnsiTheme="minorHAnsi"/>
          <w:color w:val="auto"/>
          <w:sz w:val="22"/>
          <w:szCs w:val="22"/>
        </w:rPr>
        <w:t>he NOPTA Quarterly Dashboard Report provides a snapshot of aggregated key performance statistics</w:t>
      </w:r>
      <w:r>
        <w:rPr>
          <w:rFonts w:asciiTheme="minorHAnsi" w:hAnsiTheme="minorHAnsi"/>
          <w:color w:val="auto"/>
          <w:sz w:val="22"/>
          <w:szCs w:val="22"/>
        </w:rPr>
        <w:t xml:space="preserve"> relating to application processing timeframes, data management and </w:t>
      </w:r>
      <w:r w:rsidR="00051D27">
        <w:rPr>
          <w:rFonts w:asciiTheme="minorHAnsi" w:hAnsiTheme="minorHAnsi"/>
          <w:color w:val="auto"/>
          <w:sz w:val="22"/>
          <w:szCs w:val="22"/>
        </w:rPr>
        <w:t>NOPTA financials</w:t>
      </w:r>
      <w:r w:rsidR="00B90F51" w:rsidRPr="00E52AD1">
        <w:rPr>
          <w:rFonts w:asciiTheme="minorHAnsi" w:hAnsiTheme="minorHAnsi"/>
          <w:color w:val="auto"/>
          <w:sz w:val="22"/>
          <w:szCs w:val="22"/>
        </w:rPr>
        <w:t xml:space="preserve"> (see KPI 5). </w:t>
      </w:r>
    </w:p>
    <w:p w14:paraId="5347BD37" w14:textId="77777777" w:rsidR="00D15C43" w:rsidRPr="00D15C43" w:rsidRDefault="00692B9F" w:rsidP="00B138B1">
      <w:pPr>
        <w:pStyle w:val="ListParagraph"/>
        <w:numPr>
          <w:ilvl w:val="0"/>
          <w:numId w:val="29"/>
        </w:numPr>
        <w:spacing w:before="0" w:after="0"/>
        <w:ind w:left="426" w:hanging="426"/>
        <w:contextualSpacing w:val="0"/>
        <w:jc w:val="both"/>
        <w:rPr>
          <w:rFonts w:eastAsiaTheme="majorEastAsia" w:cstheme="majorBidi"/>
          <w:b/>
          <w:color w:val="2E74B5" w:themeColor="accent1" w:themeShade="BF"/>
        </w:rPr>
      </w:pPr>
      <w:r w:rsidRPr="00E52AD1">
        <w:rPr>
          <w:rFonts w:asciiTheme="minorHAnsi" w:hAnsiTheme="minorHAnsi"/>
          <w:color w:val="auto"/>
          <w:sz w:val="22"/>
          <w:szCs w:val="22"/>
        </w:rPr>
        <w:t xml:space="preserve">NOPTA periodically reviews its procedures to ensure </w:t>
      </w:r>
      <w:r w:rsidR="00960E3A" w:rsidRPr="00E52AD1">
        <w:rPr>
          <w:rFonts w:asciiTheme="minorHAnsi" w:hAnsiTheme="minorHAnsi"/>
          <w:color w:val="auto"/>
          <w:sz w:val="22"/>
          <w:szCs w:val="22"/>
        </w:rPr>
        <w:t>they are clear and up-to date</w:t>
      </w:r>
      <w:r w:rsidRPr="00E52AD1">
        <w:rPr>
          <w:rFonts w:asciiTheme="minorHAnsi" w:hAnsiTheme="minorHAnsi"/>
          <w:color w:val="auto"/>
          <w:sz w:val="22"/>
          <w:szCs w:val="22"/>
        </w:rPr>
        <w:t xml:space="preserve">. </w:t>
      </w:r>
      <w:r w:rsidR="00B90F51" w:rsidRPr="00E52AD1">
        <w:rPr>
          <w:rFonts w:asciiTheme="minorHAnsi" w:hAnsiTheme="minorHAnsi"/>
          <w:color w:val="auto"/>
          <w:sz w:val="22"/>
          <w:szCs w:val="22"/>
        </w:rPr>
        <w:t>As confirmed by the 2015 NOPTA Operational Review</w:t>
      </w:r>
      <w:r w:rsidR="00814E71">
        <w:rPr>
          <w:rStyle w:val="FootnoteReference"/>
          <w:rFonts w:asciiTheme="minorHAnsi" w:hAnsiTheme="minorHAnsi"/>
          <w:color w:val="auto"/>
          <w:sz w:val="22"/>
          <w:szCs w:val="22"/>
        </w:rPr>
        <w:footnoteReference w:id="4"/>
      </w:r>
      <w:r w:rsidR="00B90F51" w:rsidRPr="00E52AD1">
        <w:rPr>
          <w:rFonts w:asciiTheme="minorHAnsi" w:hAnsiTheme="minorHAnsi"/>
          <w:color w:val="auto"/>
          <w:sz w:val="22"/>
          <w:szCs w:val="22"/>
        </w:rPr>
        <w:t xml:space="preserve"> internal administrative processes are sound and </w:t>
      </w:r>
      <w:r w:rsidR="001E0BFA">
        <w:rPr>
          <w:rFonts w:asciiTheme="minorHAnsi" w:hAnsiTheme="minorHAnsi"/>
          <w:color w:val="auto"/>
          <w:sz w:val="22"/>
          <w:szCs w:val="22"/>
        </w:rPr>
        <w:t>NOPTA’s</w:t>
      </w:r>
      <w:r w:rsidR="001E0BFA" w:rsidRPr="00E52AD1">
        <w:rPr>
          <w:rFonts w:asciiTheme="minorHAnsi" w:hAnsiTheme="minorHAnsi"/>
          <w:color w:val="auto"/>
          <w:sz w:val="22"/>
          <w:szCs w:val="22"/>
        </w:rPr>
        <w:t xml:space="preserve"> </w:t>
      </w:r>
      <w:r w:rsidR="00B90F51" w:rsidRPr="00E52AD1">
        <w:rPr>
          <w:rFonts w:asciiTheme="minorHAnsi" w:hAnsiTheme="minorHAnsi"/>
          <w:color w:val="auto"/>
          <w:sz w:val="22"/>
          <w:szCs w:val="22"/>
        </w:rPr>
        <w:t xml:space="preserve">procedures </w:t>
      </w:r>
      <w:r w:rsidR="00D06DA3">
        <w:rPr>
          <w:rFonts w:asciiTheme="minorHAnsi" w:hAnsiTheme="minorHAnsi"/>
          <w:color w:val="auto"/>
          <w:sz w:val="22"/>
          <w:szCs w:val="22"/>
        </w:rPr>
        <w:t xml:space="preserve">continue to </w:t>
      </w:r>
      <w:r w:rsidR="00B90F51" w:rsidRPr="00E52AD1">
        <w:rPr>
          <w:rFonts w:asciiTheme="minorHAnsi" w:hAnsiTheme="minorHAnsi"/>
          <w:color w:val="auto"/>
          <w:sz w:val="22"/>
          <w:szCs w:val="22"/>
        </w:rPr>
        <w:t xml:space="preserve">reflect this. </w:t>
      </w:r>
      <w:bookmarkStart w:id="25" w:name="_Toc497215472"/>
      <w:bookmarkEnd w:id="24"/>
      <w:r w:rsidR="00D15C43" w:rsidRPr="00D15C43">
        <w:rPr>
          <w:rFonts w:asciiTheme="minorHAnsi" w:hAnsiTheme="minorHAnsi"/>
          <w:b/>
          <w:sz w:val="22"/>
          <w:szCs w:val="22"/>
        </w:rPr>
        <w:br w:type="page"/>
      </w:r>
    </w:p>
    <w:p w14:paraId="0232CED6" w14:textId="77777777" w:rsidR="006F6665" w:rsidRPr="00D15C43" w:rsidRDefault="006F6665" w:rsidP="00B138B1">
      <w:pPr>
        <w:pStyle w:val="Heading2"/>
        <w:spacing w:before="0" w:line="240" w:lineRule="auto"/>
        <w:jc w:val="both"/>
        <w:rPr>
          <w:rFonts w:asciiTheme="minorHAnsi" w:hAnsiTheme="minorHAnsi"/>
          <w:b/>
        </w:rPr>
      </w:pPr>
      <w:bookmarkStart w:id="26" w:name="_Toc528835737"/>
      <w:r w:rsidRPr="00D15C43">
        <w:rPr>
          <w:rFonts w:asciiTheme="minorHAnsi" w:hAnsiTheme="minorHAnsi"/>
          <w:b/>
        </w:rPr>
        <w:lastRenderedPageBreak/>
        <w:t>KPI 2: Communication with regulated entities is clear, targeted and effective</w:t>
      </w:r>
      <w:bookmarkEnd w:id="25"/>
      <w:bookmarkEnd w:id="26"/>
    </w:p>
    <w:p w14:paraId="723591C6" w14:textId="77777777" w:rsidR="00772396" w:rsidRDefault="00772396" w:rsidP="003738AE">
      <w:bookmarkStart w:id="27" w:name="_Toc497215473"/>
    </w:p>
    <w:p w14:paraId="0C265551" w14:textId="77777777" w:rsidR="006F6665" w:rsidRPr="00772396" w:rsidRDefault="006F6665" w:rsidP="00B138B1">
      <w:pPr>
        <w:pStyle w:val="Heading3"/>
        <w:spacing w:before="0" w:after="0"/>
        <w:jc w:val="both"/>
        <w:rPr>
          <w:rFonts w:asciiTheme="minorHAnsi" w:hAnsiTheme="minorHAnsi"/>
          <w:sz w:val="22"/>
          <w:szCs w:val="22"/>
        </w:rPr>
      </w:pPr>
      <w:bookmarkStart w:id="28" w:name="_Toc528835738"/>
      <w:r w:rsidRPr="00772396">
        <w:rPr>
          <w:rFonts w:asciiTheme="minorHAnsi" w:hAnsiTheme="minorHAnsi"/>
          <w:sz w:val="22"/>
          <w:szCs w:val="22"/>
        </w:rPr>
        <w:t>KPI Expectations</w:t>
      </w:r>
      <w:bookmarkEnd w:id="27"/>
      <w:bookmarkEnd w:id="28"/>
    </w:p>
    <w:p w14:paraId="35A3BCB3" w14:textId="7533D96F" w:rsidR="006F6665" w:rsidRPr="00772396" w:rsidRDefault="006F6665" w:rsidP="00B138B1">
      <w:pPr>
        <w:spacing w:after="0" w:line="240" w:lineRule="auto"/>
        <w:jc w:val="both"/>
      </w:pPr>
      <w:r w:rsidRPr="00772396">
        <w:t xml:space="preserve">To communicate effectively with regulated entities so they understand what they need to do. The regulator provides clear and consistent information through various mediums including guidelines that explain why the information is required and how it is used. Effective communication supports compliance, regulatory feedback and continuous improvement.  </w:t>
      </w:r>
    </w:p>
    <w:p w14:paraId="658AE250" w14:textId="77777777" w:rsidR="00772396" w:rsidRDefault="00772396" w:rsidP="003738AE">
      <w:bookmarkStart w:id="29" w:name="_Toc497215474"/>
    </w:p>
    <w:p w14:paraId="1C18F540" w14:textId="77777777" w:rsidR="006F6665" w:rsidRDefault="006F6665" w:rsidP="00B138B1">
      <w:pPr>
        <w:pStyle w:val="Heading3"/>
        <w:spacing w:before="0" w:after="0"/>
        <w:jc w:val="both"/>
        <w:rPr>
          <w:rFonts w:asciiTheme="minorHAnsi" w:hAnsiTheme="minorHAnsi"/>
          <w:sz w:val="22"/>
          <w:szCs w:val="22"/>
        </w:rPr>
      </w:pPr>
      <w:bookmarkStart w:id="30" w:name="_Toc528835739"/>
      <w:r w:rsidRPr="00772396">
        <w:rPr>
          <w:rFonts w:asciiTheme="minorHAnsi" w:hAnsiTheme="minorHAnsi"/>
          <w:sz w:val="22"/>
          <w:szCs w:val="22"/>
        </w:rPr>
        <w:t>NOPTA’s Approach</w:t>
      </w:r>
      <w:bookmarkEnd w:id="29"/>
      <w:bookmarkEnd w:id="30"/>
      <w:r w:rsidRPr="00772396">
        <w:rPr>
          <w:rFonts w:asciiTheme="minorHAnsi" w:hAnsiTheme="minorHAnsi"/>
          <w:sz w:val="22"/>
          <w:szCs w:val="22"/>
        </w:rPr>
        <w:t xml:space="preserve"> </w:t>
      </w:r>
    </w:p>
    <w:p w14:paraId="04855818" w14:textId="77777777" w:rsidR="005D63B0" w:rsidRPr="005D63B0" w:rsidRDefault="001E0BFA" w:rsidP="00B138B1">
      <w:pPr>
        <w:jc w:val="both"/>
      </w:pPr>
      <w:r>
        <w:t>NOPTA</w:t>
      </w:r>
      <w:r w:rsidRPr="005D63B0">
        <w:t xml:space="preserve"> </w:t>
      </w:r>
      <w:r w:rsidR="005D63B0" w:rsidRPr="005D63B0">
        <w:t>use</w:t>
      </w:r>
      <w:r>
        <w:t>s</w:t>
      </w:r>
      <w:r w:rsidR="005D63B0" w:rsidRPr="005D63B0">
        <w:t xml:space="preserve"> a variety of </w:t>
      </w:r>
      <w:r w:rsidR="00524112">
        <w:t>media</w:t>
      </w:r>
      <w:r w:rsidR="005D63B0" w:rsidRPr="005D63B0">
        <w:t xml:space="preserve"> to engage with stakeholders. This includes face-to-face meetings, attending industry conferences and providing information</w:t>
      </w:r>
      <w:r w:rsidR="00A630C1">
        <w:t>, such as</w:t>
      </w:r>
      <w:r w:rsidR="005D63B0" w:rsidRPr="005D63B0">
        <w:t xml:space="preserve"> guidelines, factsheets and </w:t>
      </w:r>
      <w:r w:rsidR="00F81402">
        <w:t>quarterly</w:t>
      </w:r>
      <w:r w:rsidR="005D63B0" w:rsidRPr="005D63B0">
        <w:t xml:space="preserve"> performance statistics on </w:t>
      </w:r>
      <w:r>
        <w:t>its</w:t>
      </w:r>
      <w:r w:rsidRPr="005D63B0">
        <w:t xml:space="preserve"> </w:t>
      </w:r>
      <w:r w:rsidR="005D63B0" w:rsidRPr="005D63B0">
        <w:t xml:space="preserve">website. Regular contact helps to build a shared understanding of titleholder issues and provides opportunities to raise any issues, clarify ambiguities and to address non-compliance. </w:t>
      </w:r>
    </w:p>
    <w:p w14:paraId="0A913AE8" w14:textId="77777777" w:rsidR="006F6665" w:rsidRPr="00B138B1" w:rsidRDefault="006F6665" w:rsidP="00B138B1">
      <w:pPr>
        <w:jc w:val="both"/>
        <w:rPr>
          <w:b/>
        </w:rPr>
      </w:pPr>
      <w:bookmarkStart w:id="31" w:name="_Toc497215475"/>
      <w:r w:rsidRPr="00B138B1">
        <w:rPr>
          <w:b/>
        </w:rPr>
        <w:t>Results</w:t>
      </w:r>
      <w:bookmarkEnd w:id="31"/>
      <w:r w:rsidR="004821E4" w:rsidRPr="00B138B1">
        <w:rPr>
          <w:b/>
        </w:rPr>
        <w:t xml:space="preserve">: </w:t>
      </w:r>
      <w:r w:rsidR="004821E4" w:rsidRPr="00B138B1">
        <w:rPr>
          <w:b/>
        </w:rPr>
        <w:tab/>
      </w:r>
      <w:r w:rsidR="004821E4" w:rsidRPr="00B138B1">
        <w:rPr>
          <w:b/>
        </w:rPr>
        <w:fldChar w:fldCharType="begin">
          <w:ffData>
            <w:name w:val="Check1"/>
            <w:enabled/>
            <w:calcOnExit w:val="0"/>
            <w:checkBox>
              <w:sizeAuto/>
              <w:default w:val="1"/>
            </w:checkBox>
          </w:ffData>
        </w:fldChar>
      </w:r>
      <w:r w:rsidR="004821E4" w:rsidRPr="00B138B1">
        <w:rPr>
          <w:b/>
        </w:rPr>
        <w:instrText xml:space="preserve"> FORMCHECKBOX </w:instrText>
      </w:r>
      <w:r w:rsidR="003738AE">
        <w:rPr>
          <w:b/>
        </w:rPr>
      </w:r>
      <w:r w:rsidR="003738AE">
        <w:rPr>
          <w:b/>
        </w:rPr>
        <w:fldChar w:fldCharType="separate"/>
      </w:r>
      <w:r w:rsidR="004821E4" w:rsidRPr="00B138B1">
        <w:rPr>
          <w:b/>
        </w:rPr>
        <w:fldChar w:fldCharType="end"/>
      </w:r>
      <w:r w:rsidR="004821E4" w:rsidRPr="00B138B1">
        <w:rPr>
          <w:b/>
        </w:rPr>
        <w:t xml:space="preserve"> Met</w:t>
      </w:r>
      <w:r w:rsidR="004821E4" w:rsidRPr="00B138B1">
        <w:rPr>
          <w:b/>
        </w:rPr>
        <w:tab/>
      </w:r>
      <w:r w:rsidR="004821E4" w:rsidRPr="00B138B1">
        <w:rPr>
          <w:b/>
        </w:rPr>
        <w:tab/>
      </w:r>
      <w:r w:rsidR="004821E4" w:rsidRPr="00B138B1">
        <w:rPr>
          <w:b/>
        </w:rPr>
        <w:fldChar w:fldCharType="begin">
          <w:ffData>
            <w:name w:val="Check2"/>
            <w:enabled/>
            <w:calcOnExit w:val="0"/>
            <w:checkBox>
              <w:sizeAuto/>
              <w:default w:val="0"/>
            </w:checkBox>
          </w:ffData>
        </w:fldChar>
      </w:r>
      <w:r w:rsidR="004821E4" w:rsidRPr="00B138B1">
        <w:rPr>
          <w:b/>
        </w:rPr>
        <w:instrText xml:space="preserve"> FORMCHECKBOX </w:instrText>
      </w:r>
      <w:r w:rsidR="003738AE">
        <w:rPr>
          <w:b/>
        </w:rPr>
      </w:r>
      <w:r w:rsidR="003738AE">
        <w:rPr>
          <w:b/>
        </w:rPr>
        <w:fldChar w:fldCharType="separate"/>
      </w:r>
      <w:r w:rsidR="004821E4" w:rsidRPr="00B138B1">
        <w:rPr>
          <w:b/>
        </w:rPr>
        <w:fldChar w:fldCharType="end"/>
      </w:r>
      <w:r w:rsidR="004821E4" w:rsidRPr="00B138B1">
        <w:rPr>
          <w:b/>
        </w:rPr>
        <w:t xml:space="preserve"> Partially Met</w:t>
      </w:r>
      <w:r w:rsidR="004821E4" w:rsidRPr="00B138B1">
        <w:rPr>
          <w:b/>
        </w:rPr>
        <w:tab/>
      </w:r>
      <w:r w:rsidR="004821E4" w:rsidRPr="00B138B1">
        <w:rPr>
          <w:b/>
        </w:rPr>
        <w:fldChar w:fldCharType="begin">
          <w:ffData>
            <w:name w:val="Check3"/>
            <w:enabled/>
            <w:calcOnExit w:val="0"/>
            <w:checkBox>
              <w:sizeAuto/>
              <w:default w:val="0"/>
            </w:checkBox>
          </w:ffData>
        </w:fldChar>
      </w:r>
      <w:r w:rsidR="004821E4" w:rsidRPr="00B138B1">
        <w:rPr>
          <w:b/>
        </w:rPr>
        <w:instrText xml:space="preserve"> FORMCHECKBOX </w:instrText>
      </w:r>
      <w:r w:rsidR="003738AE">
        <w:rPr>
          <w:b/>
        </w:rPr>
      </w:r>
      <w:r w:rsidR="003738AE">
        <w:rPr>
          <w:b/>
        </w:rPr>
        <w:fldChar w:fldCharType="separate"/>
      </w:r>
      <w:r w:rsidR="004821E4" w:rsidRPr="00B138B1">
        <w:rPr>
          <w:b/>
        </w:rPr>
        <w:fldChar w:fldCharType="end"/>
      </w:r>
      <w:r w:rsidR="004821E4"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Caption w:val="Highlighted box"/>
      </w:tblPr>
      <w:tblGrid>
        <w:gridCol w:w="9016"/>
      </w:tblGrid>
      <w:tr w:rsidR="00814E71" w14:paraId="526EB7B0" w14:textId="77777777" w:rsidTr="003738AE">
        <w:trPr>
          <w:tblHeader/>
        </w:trPr>
        <w:tc>
          <w:tcPr>
            <w:tcW w:w="9016" w:type="dxa"/>
            <w:shd w:val="clear" w:color="auto" w:fill="F2F2F2" w:themeFill="background1" w:themeFillShade="F2"/>
          </w:tcPr>
          <w:p w14:paraId="008D93E0" w14:textId="5FEF0A79" w:rsidR="00814E71" w:rsidRDefault="00A008EB" w:rsidP="00B138B1">
            <w:pPr>
              <w:jc w:val="both"/>
            </w:pPr>
            <w:r w:rsidRPr="00E84598">
              <w:rPr>
                <w:i/>
              </w:rPr>
              <w:t xml:space="preserve">NOPTA assesses that it has met KPI </w:t>
            </w:r>
            <w:r>
              <w:rPr>
                <w:i/>
              </w:rPr>
              <w:t>2. NOPTA has maintained a strong focus on clear, targeted and effective communication with its stakeholders over past reporting period</w:t>
            </w:r>
            <w:r w:rsidR="006522EF">
              <w:rPr>
                <w:i/>
              </w:rPr>
              <w:t>s</w:t>
            </w:r>
            <w:r>
              <w:rPr>
                <w:i/>
              </w:rPr>
              <w:t xml:space="preserve">. This supports compliance, regulatory feedback and continuous improvement.  </w:t>
            </w:r>
          </w:p>
        </w:tc>
      </w:tr>
    </w:tbl>
    <w:p w14:paraId="7C89C76E" w14:textId="77777777" w:rsidR="00814E71" w:rsidRPr="00814E71" w:rsidRDefault="00814E71" w:rsidP="00814E71">
      <w:pPr>
        <w:spacing w:after="0"/>
      </w:pPr>
    </w:p>
    <w:p w14:paraId="4CB4D33A" w14:textId="77777777" w:rsidR="00B94E91" w:rsidRPr="00960E3A" w:rsidRDefault="006203AC" w:rsidP="00B138B1">
      <w:pPr>
        <w:pStyle w:val="ListParagraph"/>
        <w:numPr>
          <w:ilvl w:val="0"/>
          <w:numId w:val="30"/>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 xml:space="preserve">The </w:t>
      </w:r>
      <w:r w:rsidR="009E13E2" w:rsidRPr="00960E3A">
        <w:rPr>
          <w:rFonts w:asciiTheme="minorHAnsi" w:hAnsiTheme="minorHAnsi"/>
          <w:color w:val="auto"/>
          <w:sz w:val="22"/>
          <w:szCs w:val="22"/>
        </w:rPr>
        <w:t>majority of interaction with stakeholders</w:t>
      </w:r>
      <w:r>
        <w:rPr>
          <w:rFonts w:asciiTheme="minorHAnsi" w:hAnsiTheme="minorHAnsi"/>
          <w:color w:val="auto"/>
          <w:sz w:val="22"/>
          <w:szCs w:val="22"/>
        </w:rPr>
        <w:t xml:space="preserve"> is conducted</w:t>
      </w:r>
      <w:r w:rsidR="009E13E2" w:rsidRPr="00960E3A">
        <w:rPr>
          <w:rFonts w:asciiTheme="minorHAnsi" w:hAnsiTheme="minorHAnsi"/>
          <w:color w:val="auto"/>
          <w:sz w:val="22"/>
          <w:szCs w:val="22"/>
        </w:rPr>
        <w:t xml:space="preserve"> </w:t>
      </w:r>
      <w:r w:rsidR="00F74074" w:rsidRPr="00960E3A">
        <w:rPr>
          <w:rFonts w:asciiTheme="minorHAnsi" w:hAnsiTheme="minorHAnsi"/>
          <w:color w:val="auto"/>
          <w:sz w:val="22"/>
          <w:szCs w:val="22"/>
        </w:rPr>
        <w:t>vi</w:t>
      </w:r>
      <w:r w:rsidR="009E13E2" w:rsidRPr="00960E3A">
        <w:rPr>
          <w:rFonts w:asciiTheme="minorHAnsi" w:hAnsiTheme="minorHAnsi"/>
          <w:color w:val="auto"/>
          <w:sz w:val="22"/>
          <w:szCs w:val="22"/>
        </w:rPr>
        <w:t>a</w:t>
      </w:r>
      <w:r w:rsidR="00F74074" w:rsidRPr="00960E3A">
        <w:rPr>
          <w:rFonts w:asciiTheme="minorHAnsi" w:hAnsiTheme="minorHAnsi"/>
          <w:color w:val="auto"/>
          <w:sz w:val="22"/>
          <w:szCs w:val="22"/>
        </w:rPr>
        <w:t xml:space="preserve"> email,</w:t>
      </w:r>
      <w:r w:rsidR="009E13E2" w:rsidRPr="00960E3A">
        <w:rPr>
          <w:rFonts w:asciiTheme="minorHAnsi" w:hAnsiTheme="minorHAnsi"/>
          <w:color w:val="auto"/>
          <w:sz w:val="22"/>
          <w:szCs w:val="22"/>
        </w:rPr>
        <w:t xml:space="preserve"> phone</w:t>
      </w:r>
      <w:r w:rsidR="00F74074" w:rsidRPr="00960E3A">
        <w:rPr>
          <w:rFonts w:asciiTheme="minorHAnsi" w:hAnsiTheme="minorHAnsi"/>
          <w:color w:val="auto"/>
          <w:sz w:val="22"/>
          <w:szCs w:val="22"/>
        </w:rPr>
        <w:t xml:space="preserve"> </w:t>
      </w:r>
      <w:r w:rsidR="009E13E2" w:rsidRPr="00960E3A">
        <w:rPr>
          <w:rFonts w:asciiTheme="minorHAnsi" w:hAnsiTheme="minorHAnsi"/>
          <w:color w:val="auto"/>
          <w:sz w:val="22"/>
          <w:szCs w:val="22"/>
        </w:rPr>
        <w:t xml:space="preserve">or face-to-face meetings. NOPTA welcomes </w:t>
      </w:r>
      <w:r w:rsidR="005F2249" w:rsidRPr="00960E3A">
        <w:rPr>
          <w:rFonts w:asciiTheme="minorHAnsi" w:hAnsiTheme="minorHAnsi"/>
          <w:color w:val="auto"/>
          <w:sz w:val="22"/>
          <w:szCs w:val="22"/>
        </w:rPr>
        <w:t xml:space="preserve">and encourages </w:t>
      </w:r>
      <w:r w:rsidR="00A630C1">
        <w:rPr>
          <w:rFonts w:asciiTheme="minorHAnsi" w:hAnsiTheme="minorHAnsi"/>
          <w:color w:val="auto"/>
          <w:sz w:val="22"/>
          <w:szCs w:val="22"/>
        </w:rPr>
        <w:t>ongoing</w:t>
      </w:r>
      <w:r w:rsidR="009E13E2" w:rsidRPr="00960E3A">
        <w:rPr>
          <w:rFonts w:asciiTheme="minorHAnsi" w:hAnsiTheme="minorHAnsi"/>
          <w:color w:val="auto"/>
          <w:sz w:val="22"/>
          <w:szCs w:val="22"/>
        </w:rPr>
        <w:t xml:space="preserve"> engagement with industry as </w:t>
      </w:r>
      <w:r w:rsidR="001E0BFA">
        <w:rPr>
          <w:rFonts w:asciiTheme="minorHAnsi" w:hAnsiTheme="minorHAnsi"/>
          <w:color w:val="auto"/>
          <w:sz w:val="22"/>
          <w:szCs w:val="22"/>
        </w:rPr>
        <w:t xml:space="preserve">a </w:t>
      </w:r>
      <w:r w:rsidR="009E13E2" w:rsidRPr="00960E3A">
        <w:rPr>
          <w:rFonts w:asciiTheme="minorHAnsi" w:hAnsiTheme="minorHAnsi"/>
          <w:color w:val="auto"/>
          <w:sz w:val="22"/>
          <w:szCs w:val="22"/>
        </w:rPr>
        <w:t xml:space="preserve">means to promote open dialogue and strengthen </w:t>
      </w:r>
      <w:r w:rsidR="001E0BFA">
        <w:rPr>
          <w:rFonts w:asciiTheme="minorHAnsi" w:hAnsiTheme="minorHAnsi"/>
          <w:color w:val="auto"/>
          <w:sz w:val="22"/>
          <w:szCs w:val="22"/>
        </w:rPr>
        <w:t>its</w:t>
      </w:r>
      <w:r w:rsidR="001E0BFA" w:rsidRPr="00960E3A">
        <w:rPr>
          <w:rFonts w:asciiTheme="minorHAnsi" w:hAnsiTheme="minorHAnsi"/>
          <w:color w:val="auto"/>
          <w:sz w:val="22"/>
          <w:szCs w:val="22"/>
        </w:rPr>
        <w:t xml:space="preserve"> </w:t>
      </w:r>
      <w:r w:rsidR="009E13E2" w:rsidRPr="00960E3A">
        <w:rPr>
          <w:rFonts w:asciiTheme="minorHAnsi" w:hAnsiTheme="minorHAnsi"/>
          <w:color w:val="auto"/>
          <w:sz w:val="22"/>
          <w:szCs w:val="22"/>
        </w:rPr>
        <w:t xml:space="preserve">relationships with key stakeholders. </w:t>
      </w:r>
    </w:p>
    <w:p w14:paraId="5018331C" w14:textId="77777777" w:rsidR="00BE7FEE" w:rsidRPr="00960E3A" w:rsidRDefault="00731A37" w:rsidP="00B138B1">
      <w:pPr>
        <w:pStyle w:val="ListParagraph"/>
        <w:numPr>
          <w:ilvl w:val="0"/>
          <w:numId w:val="30"/>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NOPTA’s</w:t>
      </w:r>
      <w:r w:rsidR="001E0BFA" w:rsidRPr="00960E3A">
        <w:rPr>
          <w:rFonts w:asciiTheme="minorHAnsi" w:hAnsiTheme="minorHAnsi"/>
          <w:color w:val="auto"/>
          <w:sz w:val="22"/>
          <w:szCs w:val="22"/>
        </w:rPr>
        <w:t xml:space="preserve"> </w:t>
      </w:r>
      <w:r w:rsidR="00BE7FEE" w:rsidRPr="00960E3A">
        <w:rPr>
          <w:rFonts w:asciiTheme="minorHAnsi" w:hAnsiTheme="minorHAnsi"/>
          <w:color w:val="auto"/>
          <w:sz w:val="22"/>
          <w:szCs w:val="22"/>
        </w:rPr>
        <w:t xml:space="preserve">Annual Report of Activities, which complements statutory annual reporting by the </w:t>
      </w:r>
      <w:r w:rsidR="00D03C6D">
        <w:rPr>
          <w:rFonts w:asciiTheme="minorHAnsi" w:hAnsiTheme="minorHAnsi"/>
          <w:color w:val="auto"/>
          <w:sz w:val="22"/>
          <w:szCs w:val="22"/>
        </w:rPr>
        <w:t>D</w:t>
      </w:r>
      <w:r w:rsidR="00BE7FEE" w:rsidRPr="00960E3A">
        <w:rPr>
          <w:rFonts w:asciiTheme="minorHAnsi" w:hAnsiTheme="minorHAnsi"/>
          <w:color w:val="auto"/>
          <w:sz w:val="22"/>
          <w:szCs w:val="22"/>
        </w:rPr>
        <w:t xml:space="preserve">epartment, provides stakeholders with information on </w:t>
      </w:r>
      <w:r w:rsidR="001E0BFA">
        <w:rPr>
          <w:rFonts w:asciiTheme="minorHAnsi" w:hAnsiTheme="minorHAnsi"/>
          <w:color w:val="auto"/>
          <w:sz w:val="22"/>
          <w:szCs w:val="22"/>
        </w:rPr>
        <w:t>its</w:t>
      </w:r>
      <w:r w:rsidR="001E0BFA" w:rsidRPr="00960E3A">
        <w:rPr>
          <w:rFonts w:asciiTheme="minorHAnsi" w:hAnsiTheme="minorHAnsi"/>
          <w:color w:val="auto"/>
          <w:sz w:val="22"/>
          <w:szCs w:val="22"/>
        </w:rPr>
        <w:t xml:space="preserve"> </w:t>
      </w:r>
      <w:r w:rsidR="00BE7FEE" w:rsidRPr="00960E3A">
        <w:rPr>
          <w:rFonts w:asciiTheme="minorHAnsi" w:hAnsiTheme="minorHAnsi"/>
          <w:color w:val="auto"/>
          <w:sz w:val="22"/>
          <w:szCs w:val="22"/>
        </w:rPr>
        <w:t xml:space="preserve">activities, achievements, financial results and outlook for the following year. The annual report of activities has been tailored to align with </w:t>
      </w:r>
      <w:r w:rsidR="001E0BFA">
        <w:rPr>
          <w:rFonts w:asciiTheme="minorHAnsi" w:hAnsiTheme="minorHAnsi"/>
          <w:color w:val="auto"/>
          <w:sz w:val="22"/>
          <w:szCs w:val="22"/>
        </w:rPr>
        <w:t>the</w:t>
      </w:r>
      <w:r w:rsidR="001E0BFA" w:rsidRPr="00960E3A">
        <w:rPr>
          <w:rFonts w:asciiTheme="minorHAnsi" w:hAnsiTheme="minorHAnsi"/>
          <w:color w:val="auto"/>
          <w:sz w:val="22"/>
          <w:szCs w:val="22"/>
        </w:rPr>
        <w:t xml:space="preserve"> </w:t>
      </w:r>
      <w:r w:rsidR="00BE7FEE" w:rsidRPr="00960E3A">
        <w:rPr>
          <w:rFonts w:asciiTheme="minorHAnsi" w:hAnsiTheme="minorHAnsi"/>
          <w:color w:val="auto"/>
          <w:sz w:val="22"/>
          <w:szCs w:val="22"/>
        </w:rPr>
        <w:t xml:space="preserve">objectives and deliverables under the NOPTA 2017-2020 Corporate Plan. </w:t>
      </w:r>
    </w:p>
    <w:p w14:paraId="4B6D873F" w14:textId="67E471E4" w:rsidR="00D03C6D" w:rsidRPr="00D03C6D" w:rsidRDefault="004C538B" w:rsidP="00B138B1">
      <w:pPr>
        <w:pStyle w:val="ListParagraph"/>
        <w:numPr>
          <w:ilvl w:val="0"/>
          <w:numId w:val="30"/>
        </w:numPr>
        <w:spacing w:before="0" w:after="0"/>
        <w:ind w:left="425" w:hanging="425"/>
        <w:contextualSpacing w:val="0"/>
        <w:jc w:val="both"/>
        <w:rPr>
          <w:rFonts w:asciiTheme="minorHAnsi" w:hAnsiTheme="minorHAnsi"/>
          <w:color w:val="auto"/>
          <w:sz w:val="22"/>
          <w:szCs w:val="22"/>
        </w:rPr>
      </w:pPr>
      <w:r>
        <w:rPr>
          <w:rFonts w:asciiTheme="minorHAnsi" w:hAnsiTheme="minorHAnsi"/>
          <w:color w:val="auto"/>
          <w:sz w:val="22"/>
          <w:szCs w:val="22"/>
        </w:rPr>
        <w:t xml:space="preserve">To ensure clear and consistent information is available for regulated stakeholders, </w:t>
      </w:r>
      <w:r w:rsidR="001E0BFA">
        <w:rPr>
          <w:rFonts w:asciiTheme="minorHAnsi" w:hAnsiTheme="minorHAnsi"/>
          <w:color w:val="auto"/>
          <w:sz w:val="22"/>
          <w:szCs w:val="22"/>
        </w:rPr>
        <w:t>NOPTA</w:t>
      </w:r>
      <w:r w:rsidR="001E0BFA" w:rsidRPr="00D03C6D">
        <w:rPr>
          <w:rFonts w:asciiTheme="minorHAnsi" w:hAnsiTheme="minorHAnsi"/>
          <w:color w:val="auto"/>
          <w:sz w:val="22"/>
          <w:szCs w:val="22"/>
        </w:rPr>
        <w:t xml:space="preserve"> </w:t>
      </w:r>
      <w:r w:rsidR="00D03C6D" w:rsidRPr="00D03C6D">
        <w:rPr>
          <w:rFonts w:asciiTheme="minorHAnsi" w:hAnsiTheme="minorHAnsi"/>
          <w:color w:val="auto"/>
          <w:sz w:val="22"/>
          <w:szCs w:val="22"/>
        </w:rPr>
        <w:t>developed and updated the following guidelines in consultation with the Offshore Resources Branch within the Department:</w:t>
      </w:r>
    </w:p>
    <w:p w14:paraId="43EA6011" w14:textId="77777777" w:rsidR="00D03C6D" w:rsidRPr="00D03C6D" w:rsidRDefault="00D03C6D" w:rsidP="00B138B1">
      <w:pPr>
        <w:pStyle w:val="ListParagraph"/>
        <w:numPr>
          <w:ilvl w:val="0"/>
          <w:numId w:val="41"/>
        </w:numPr>
        <w:ind w:left="1276" w:hanging="436"/>
        <w:jc w:val="both"/>
        <w:rPr>
          <w:rFonts w:asciiTheme="minorHAnsi" w:hAnsiTheme="minorHAnsi"/>
          <w:color w:val="auto"/>
          <w:sz w:val="22"/>
          <w:szCs w:val="22"/>
        </w:rPr>
      </w:pPr>
      <w:r w:rsidRPr="00D03C6D">
        <w:rPr>
          <w:rFonts w:asciiTheme="minorHAnsi" w:hAnsiTheme="minorHAnsi"/>
          <w:color w:val="auto"/>
          <w:sz w:val="22"/>
          <w:szCs w:val="22"/>
        </w:rPr>
        <w:t>new Offshore Petroleum: Declaration of a Location Guideline (July 2017)</w:t>
      </w:r>
    </w:p>
    <w:p w14:paraId="11744066" w14:textId="7071AD74" w:rsidR="00D03C6D" w:rsidRPr="00D03C6D" w:rsidRDefault="00D03C6D" w:rsidP="00B138B1">
      <w:pPr>
        <w:pStyle w:val="ListParagraph"/>
        <w:numPr>
          <w:ilvl w:val="0"/>
          <w:numId w:val="41"/>
        </w:numPr>
        <w:spacing w:after="120"/>
        <w:ind w:left="1276" w:hanging="437"/>
        <w:contextualSpacing w:val="0"/>
        <w:jc w:val="both"/>
        <w:rPr>
          <w:rFonts w:asciiTheme="minorHAnsi" w:hAnsiTheme="minorHAnsi"/>
          <w:color w:val="auto"/>
          <w:sz w:val="22"/>
          <w:szCs w:val="22"/>
        </w:rPr>
      </w:pPr>
      <w:r w:rsidRPr="00D03C6D">
        <w:rPr>
          <w:rFonts w:asciiTheme="minorHAnsi" w:hAnsiTheme="minorHAnsi"/>
          <w:color w:val="auto"/>
          <w:sz w:val="22"/>
          <w:szCs w:val="22"/>
        </w:rPr>
        <w:t>revised Transfers and Dealings in Petroleum Titles Guideline (May 2018)</w:t>
      </w:r>
      <w:r w:rsidR="006522EF">
        <w:rPr>
          <w:rFonts w:asciiTheme="minorHAnsi" w:hAnsiTheme="minorHAnsi"/>
          <w:color w:val="auto"/>
          <w:sz w:val="22"/>
          <w:szCs w:val="22"/>
        </w:rPr>
        <w:t>.</w:t>
      </w:r>
    </w:p>
    <w:p w14:paraId="33D742D3" w14:textId="77777777" w:rsidR="00D03C6D" w:rsidRPr="00D03C6D" w:rsidRDefault="001E0BFA" w:rsidP="00B138B1">
      <w:pPr>
        <w:pStyle w:val="ListParagraph"/>
        <w:numPr>
          <w:ilvl w:val="0"/>
          <w:numId w:val="30"/>
        </w:numPr>
        <w:spacing w:before="0" w:after="0"/>
        <w:ind w:left="425" w:hanging="425"/>
        <w:contextualSpacing w:val="0"/>
        <w:jc w:val="both"/>
        <w:rPr>
          <w:rFonts w:asciiTheme="minorHAnsi" w:hAnsiTheme="minorHAnsi"/>
          <w:color w:val="auto"/>
          <w:sz w:val="22"/>
          <w:szCs w:val="22"/>
        </w:rPr>
      </w:pPr>
      <w:r>
        <w:rPr>
          <w:rFonts w:asciiTheme="minorHAnsi" w:hAnsiTheme="minorHAnsi"/>
          <w:color w:val="auto"/>
          <w:sz w:val="22"/>
          <w:szCs w:val="22"/>
        </w:rPr>
        <w:t xml:space="preserve">NOPTA </w:t>
      </w:r>
      <w:r w:rsidR="00D03C6D" w:rsidRPr="00D03C6D">
        <w:rPr>
          <w:rFonts w:asciiTheme="minorHAnsi" w:hAnsiTheme="minorHAnsi"/>
          <w:color w:val="auto"/>
          <w:sz w:val="22"/>
          <w:szCs w:val="22"/>
        </w:rPr>
        <w:t>continued to work with the Offshore Resources Branch and NOPSEMA on decommissioning matters under the OPGGS Act, including the following:</w:t>
      </w:r>
    </w:p>
    <w:p w14:paraId="642B7436" w14:textId="77777777" w:rsidR="00D03C6D" w:rsidRPr="00D03C6D" w:rsidRDefault="00D03C6D" w:rsidP="00B138B1">
      <w:pPr>
        <w:pStyle w:val="ListParagraph"/>
        <w:numPr>
          <w:ilvl w:val="0"/>
          <w:numId w:val="41"/>
        </w:numPr>
        <w:ind w:left="1276" w:hanging="436"/>
        <w:jc w:val="both"/>
        <w:rPr>
          <w:rFonts w:asciiTheme="minorHAnsi" w:hAnsiTheme="minorHAnsi"/>
          <w:color w:val="auto"/>
          <w:sz w:val="22"/>
          <w:szCs w:val="22"/>
        </w:rPr>
      </w:pPr>
      <w:r w:rsidRPr="00D03C6D">
        <w:rPr>
          <w:rFonts w:asciiTheme="minorHAnsi" w:hAnsiTheme="minorHAnsi"/>
          <w:color w:val="auto"/>
          <w:sz w:val="22"/>
          <w:szCs w:val="22"/>
        </w:rPr>
        <w:t>publication of an Offshore Petroleum Decommissioning Guideline (January 2018)</w:t>
      </w:r>
    </w:p>
    <w:p w14:paraId="72163A78" w14:textId="541831C0" w:rsidR="00D03C6D" w:rsidRPr="00D03C6D" w:rsidRDefault="00D03C6D" w:rsidP="00B138B1">
      <w:pPr>
        <w:pStyle w:val="ListParagraph"/>
        <w:numPr>
          <w:ilvl w:val="0"/>
          <w:numId w:val="41"/>
        </w:numPr>
        <w:spacing w:after="120"/>
        <w:ind w:left="1276" w:hanging="437"/>
        <w:contextualSpacing w:val="0"/>
        <w:jc w:val="both"/>
        <w:rPr>
          <w:rFonts w:asciiTheme="minorHAnsi" w:hAnsiTheme="minorHAnsi"/>
          <w:color w:val="auto"/>
          <w:sz w:val="22"/>
          <w:szCs w:val="22"/>
        </w:rPr>
      </w:pPr>
      <w:r w:rsidRPr="00D03C6D">
        <w:rPr>
          <w:rFonts w:asciiTheme="minorHAnsi" w:hAnsiTheme="minorHAnsi"/>
          <w:color w:val="auto"/>
          <w:sz w:val="22"/>
          <w:szCs w:val="22"/>
        </w:rPr>
        <w:t>progressing an interagency protocol for the provision of decommissioning advice to inform title-related decision making</w:t>
      </w:r>
      <w:r w:rsidR="006522EF">
        <w:rPr>
          <w:rFonts w:asciiTheme="minorHAnsi" w:hAnsiTheme="minorHAnsi"/>
          <w:color w:val="auto"/>
          <w:sz w:val="22"/>
          <w:szCs w:val="22"/>
        </w:rPr>
        <w:t>.</w:t>
      </w:r>
    </w:p>
    <w:p w14:paraId="59CDFB4A" w14:textId="77777777" w:rsidR="00BE7FEE" w:rsidRPr="00832457" w:rsidRDefault="00BE7FEE" w:rsidP="00B138B1">
      <w:pPr>
        <w:pStyle w:val="ListParagraph"/>
        <w:numPr>
          <w:ilvl w:val="0"/>
          <w:numId w:val="30"/>
        </w:numPr>
        <w:spacing w:before="0" w:after="120"/>
        <w:ind w:left="425" w:hanging="425"/>
        <w:contextualSpacing w:val="0"/>
        <w:jc w:val="both"/>
        <w:rPr>
          <w:rFonts w:asciiTheme="minorHAnsi" w:hAnsiTheme="minorHAnsi"/>
          <w:color w:val="auto"/>
          <w:sz w:val="22"/>
          <w:szCs w:val="22"/>
        </w:rPr>
      </w:pPr>
      <w:r w:rsidRPr="00832457">
        <w:rPr>
          <w:rFonts w:asciiTheme="minorHAnsi" w:hAnsiTheme="minorHAnsi"/>
          <w:color w:val="auto"/>
          <w:sz w:val="22"/>
          <w:szCs w:val="22"/>
        </w:rPr>
        <w:t xml:space="preserve">Stakeholders were consulted </w:t>
      </w:r>
      <w:r w:rsidR="00614824">
        <w:rPr>
          <w:rFonts w:asciiTheme="minorHAnsi" w:hAnsiTheme="minorHAnsi"/>
          <w:color w:val="auto"/>
          <w:sz w:val="22"/>
          <w:szCs w:val="22"/>
        </w:rPr>
        <w:t>and provided</w:t>
      </w:r>
      <w:r w:rsidR="00614824" w:rsidRPr="00832457">
        <w:rPr>
          <w:rFonts w:asciiTheme="minorHAnsi" w:hAnsiTheme="minorHAnsi"/>
          <w:color w:val="auto"/>
          <w:sz w:val="22"/>
          <w:szCs w:val="22"/>
        </w:rPr>
        <w:t xml:space="preserve"> </w:t>
      </w:r>
      <w:r w:rsidRPr="00832457">
        <w:rPr>
          <w:rFonts w:asciiTheme="minorHAnsi" w:hAnsiTheme="minorHAnsi"/>
          <w:color w:val="auto"/>
          <w:sz w:val="22"/>
          <w:szCs w:val="22"/>
        </w:rPr>
        <w:t xml:space="preserve">opportunities to comment on draft </w:t>
      </w:r>
      <w:r w:rsidR="006203AC">
        <w:rPr>
          <w:rFonts w:asciiTheme="minorHAnsi" w:hAnsiTheme="minorHAnsi"/>
          <w:color w:val="auto"/>
          <w:sz w:val="22"/>
          <w:szCs w:val="22"/>
        </w:rPr>
        <w:t>guidelines</w:t>
      </w:r>
      <w:r w:rsidRPr="00832457">
        <w:rPr>
          <w:rFonts w:asciiTheme="minorHAnsi" w:hAnsiTheme="minorHAnsi"/>
          <w:color w:val="auto"/>
          <w:sz w:val="22"/>
          <w:szCs w:val="22"/>
        </w:rPr>
        <w:t xml:space="preserve">. </w:t>
      </w:r>
      <w:r w:rsidR="00C25EB4">
        <w:rPr>
          <w:rFonts w:asciiTheme="minorHAnsi" w:hAnsiTheme="minorHAnsi"/>
          <w:color w:val="auto"/>
          <w:sz w:val="22"/>
          <w:szCs w:val="22"/>
        </w:rPr>
        <w:t xml:space="preserve">Comments were considered and </w:t>
      </w:r>
      <w:r w:rsidR="00D06DA3">
        <w:rPr>
          <w:rFonts w:asciiTheme="minorHAnsi" w:hAnsiTheme="minorHAnsi"/>
          <w:color w:val="auto"/>
          <w:sz w:val="22"/>
          <w:szCs w:val="22"/>
        </w:rPr>
        <w:t>actioned</w:t>
      </w:r>
      <w:r w:rsidR="00C25EB4">
        <w:rPr>
          <w:rFonts w:asciiTheme="minorHAnsi" w:hAnsiTheme="minorHAnsi"/>
          <w:color w:val="auto"/>
          <w:sz w:val="22"/>
          <w:szCs w:val="22"/>
        </w:rPr>
        <w:t xml:space="preserve"> where appropriate. </w:t>
      </w:r>
      <w:r w:rsidRPr="00832457">
        <w:rPr>
          <w:rFonts w:asciiTheme="minorHAnsi" w:hAnsiTheme="minorHAnsi"/>
          <w:color w:val="auto"/>
          <w:sz w:val="22"/>
          <w:szCs w:val="22"/>
        </w:rPr>
        <w:t xml:space="preserve">Stakeholders were </w:t>
      </w:r>
      <w:r w:rsidR="002A037A" w:rsidRPr="00832457">
        <w:rPr>
          <w:rFonts w:asciiTheme="minorHAnsi" w:hAnsiTheme="minorHAnsi"/>
          <w:color w:val="auto"/>
          <w:sz w:val="22"/>
          <w:szCs w:val="22"/>
        </w:rPr>
        <w:t xml:space="preserve">kept informed of </w:t>
      </w:r>
      <w:r w:rsidRPr="00832457">
        <w:rPr>
          <w:rFonts w:asciiTheme="minorHAnsi" w:hAnsiTheme="minorHAnsi"/>
          <w:color w:val="auto"/>
          <w:sz w:val="22"/>
          <w:szCs w:val="22"/>
        </w:rPr>
        <w:t xml:space="preserve">the release of </w:t>
      </w:r>
      <w:r w:rsidR="002A037A" w:rsidRPr="00832457">
        <w:rPr>
          <w:rFonts w:asciiTheme="minorHAnsi" w:hAnsiTheme="minorHAnsi"/>
          <w:color w:val="auto"/>
          <w:sz w:val="22"/>
          <w:szCs w:val="22"/>
        </w:rPr>
        <w:t xml:space="preserve">new </w:t>
      </w:r>
      <w:r w:rsidRPr="00832457">
        <w:rPr>
          <w:rFonts w:asciiTheme="minorHAnsi" w:hAnsiTheme="minorHAnsi"/>
          <w:color w:val="auto"/>
          <w:sz w:val="22"/>
          <w:szCs w:val="22"/>
        </w:rPr>
        <w:t xml:space="preserve">guidance material via the NOPTA website and the </w:t>
      </w:r>
      <w:r w:rsidR="00D03C6D">
        <w:rPr>
          <w:rFonts w:asciiTheme="minorHAnsi" w:hAnsiTheme="minorHAnsi"/>
          <w:color w:val="auto"/>
          <w:sz w:val="22"/>
          <w:szCs w:val="22"/>
        </w:rPr>
        <w:t>D</w:t>
      </w:r>
      <w:r w:rsidR="006203AC">
        <w:rPr>
          <w:rFonts w:asciiTheme="minorHAnsi" w:hAnsiTheme="minorHAnsi"/>
          <w:color w:val="auto"/>
          <w:sz w:val="22"/>
          <w:szCs w:val="22"/>
        </w:rPr>
        <w:t>epartment’s</w:t>
      </w:r>
      <w:r w:rsidRPr="00832457">
        <w:rPr>
          <w:rFonts w:asciiTheme="minorHAnsi" w:hAnsiTheme="minorHAnsi"/>
          <w:color w:val="auto"/>
          <w:sz w:val="22"/>
          <w:szCs w:val="22"/>
        </w:rPr>
        <w:t xml:space="preserve"> Australian Petroleum News</w:t>
      </w:r>
      <w:r w:rsidR="002A037A" w:rsidRPr="00832457">
        <w:rPr>
          <w:rFonts w:asciiTheme="minorHAnsi" w:hAnsiTheme="minorHAnsi"/>
          <w:color w:val="auto"/>
          <w:sz w:val="22"/>
          <w:szCs w:val="22"/>
        </w:rPr>
        <w:t xml:space="preserve"> (APN)</w:t>
      </w:r>
      <w:r w:rsidRPr="00832457">
        <w:rPr>
          <w:rFonts w:asciiTheme="minorHAnsi" w:hAnsiTheme="minorHAnsi"/>
          <w:color w:val="auto"/>
          <w:sz w:val="22"/>
          <w:szCs w:val="22"/>
        </w:rPr>
        <w:t xml:space="preserve"> publication.  </w:t>
      </w:r>
    </w:p>
    <w:p w14:paraId="4E2E1CB9" w14:textId="77777777" w:rsidR="002A037A" w:rsidRPr="00832457" w:rsidRDefault="00BE7FEE" w:rsidP="00B138B1">
      <w:pPr>
        <w:pStyle w:val="ListParagraph"/>
        <w:numPr>
          <w:ilvl w:val="0"/>
          <w:numId w:val="30"/>
        </w:numPr>
        <w:spacing w:before="0" w:after="120"/>
        <w:ind w:left="426" w:hanging="426"/>
        <w:contextualSpacing w:val="0"/>
        <w:jc w:val="both"/>
        <w:rPr>
          <w:rFonts w:asciiTheme="minorHAnsi" w:hAnsiTheme="minorHAnsi"/>
          <w:color w:val="auto"/>
          <w:sz w:val="22"/>
          <w:szCs w:val="22"/>
        </w:rPr>
      </w:pPr>
      <w:r w:rsidRPr="00832457">
        <w:rPr>
          <w:rFonts w:asciiTheme="minorHAnsi" w:hAnsiTheme="minorHAnsi"/>
          <w:color w:val="auto"/>
          <w:sz w:val="22"/>
          <w:szCs w:val="22"/>
        </w:rPr>
        <w:t xml:space="preserve">NOPTA has a range of standardised templates to ensure consistency in </w:t>
      </w:r>
      <w:r w:rsidR="0082722F">
        <w:rPr>
          <w:rFonts w:asciiTheme="minorHAnsi" w:hAnsiTheme="minorHAnsi"/>
          <w:color w:val="auto"/>
          <w:sz w:val="22"/>
          <w:szCs w:val="22"/>
        </w:rPr>
        <w:t xml:space="preserve">our processes and </w:t>
      </w:r>
      <w:r w:rsidRPr="00832457">
        <w:rPr>
          <w:rFonts w:asciiTheme="minorHAnsi" w:hAnsiTheme="minorHAnsi"/>
          <w:color w:val="auto"/>
          <w:sz w:val="22"/>
          <w:szCs w:val="22"/>
        </w:rPr>
        <w:t>communication with stakeholders</w:t>
      </w:r>
      <w:r w:rsidR="00CE432D">
        <w:rPr>
          <w:rFonts w:asciiTheme="minorHAnsi" w:hAnsiTheme="minorHAnsi"/>
          <w:color w:val="auto"/>
          <w:sz w:val="22"/>
          <w:szCs w:val="22"/>
        </w:rPr>
        <w:t>,</w:t>
      </w:r>
      <w:r w:rsidR="002A037A" w:rsidRPr="00832457">
        <w:rPr>
          <w:rFonts w:asciiTheme="minorHAnsi" w:hAnsiTheme="minorHAnsi"/>
          <w:color w:val="auto"/>
          <w:sz w:val="22"/>
          <w:szCs w:val="22"/>
        </w:rPr>
        <w:t xml:space="preserve"> which </w:t>
      </w:r>
      <w:r w:rsidR="00CE432D">
        <w:rPr>
          <w:rFonts w:asciiTheme="minorHAnsi" w:hAnsiTheme="minorHAnsi"/>
          <w:color w:val="auto"/>
          <w:sz w:val="22"/>
          <w:szCs w:val="22"/>
        </w:rPr>
        <w:t>are</w:t>
      </w:r>
      <w:r w:rsidR="00CE432D" w:rsidRPr="00832457">
        <w:rPr>
          <w:rFonts w:asciiTheme="minorHAnsi" w:hAnsiTheme="minorHAnsi"/>
          <w:color w:val="auto"/>
          <w:sz w:val="22"/>
          <w:szCs w:val="22"/>
        </w:rPr>
        <w:t xml:space="preserve"> </w:t>
      </w:r>
      <w:r w:rsidR="002A037A" w:rsidRPr="00832457">
        <w:rPr>
          <w:rFonts w:asciiTheme="minorHAnsi" w:hAnsiTheme="minorHAnsi"/>
          <w:color w:val="auto"/>
          <w:sz w:val="22"/>
          <w:szCs w:val="22"/>
        </w:rPr>
        <w:t>reviewed periodically</w:t>
      </w:r>
      <w:r w:rsidR="005D63B0">
        <w:rPr>
          <w:rFonts w:asciiTheme="minorHAnsi" w:hAnsiTheme="minorHAnsi"/>
          <w:color w:val="auto"/>
          <w:sz w:val="22"/>
          <w:szCs w:val="22"/>
        </w:rPr>
        <w:t xml:space="preserve"> (see KPI 1)</w:t>
      </w:r>
      <w:r w:rsidRPr="00832457">
        <w:rPr>
          <w:rFonts w:asciiTheme="minorHAnsi" w:hAnsiTheme="minorHAnsi"/>
          <w:color w:val="auto"/>
          <w:sz w:val="22"/>
          <w:szCs w:val="22"/>
        </w:rPr>
        <w:t xml:space="preserve">. </w:t>
      </w:r>
    </w:p>
    <w:p w14:paraId="5A10D30D" w14:textId="77777777" w:rsidR="00BE7FEE" w:rsidRPr="00832457" w:rsidRDefault="00BE7FEE" w:rsidP="00B138B1">
      <w:pPr>
        <w:pStyle w:val="ListParagraph"/>
        <w:numPr>
          <w:ilvl w:val="0"/>
          <w:numId w:val="30"/>
        </w:numPr>
        <w:spacing w:before="0" w:after="120"/>
        <w:ind w:left="426" w:hanging="426"/>
        <w:contextualSpacing w:val="0"/>
        <w:jc w:val="both"/>
        <w:rPr>
          <w:rFonts w:asciiTheme="minorHAnsi" w:hAnsiTheme="minorHAnsi"/>
          <w:color w:val="auto"/>
          <w:sz w:val="22"/>
          <w:szCs w:val="22"/>
        </w:rPr>
      </w:pPr>
      <w:r w:rsidRPr="00832457">
        <w:rPr>
          <w:rFonts w:asciiTheme="minorHAnsi" w:hAnsiTheme="minorHAnsi"/>
          <w:color w:val="auto"/>
          <w:sz w:val="22"/>
          <w:szCs w:val="22"/>
        </w:rPr>
        <w:t>When notifying titleholders of a decision, this is accompanied by sufficient information to justify the outcome. Where there is</w:t>
      </w:r>
      <w:r w:rsidR="00F6003B">
        <w:rPr>
          <w:rFonts w:asciiTheme="minorHAnsi" w:hAnsiTheme="minorHAnsi"/>
          <w:color w:val="auto"/>
          <w:sz w:val="22"/>
          <w:szCs w:val="22"/>
        </w:rPr>
        <w:t xml:space="preserve"> the potential for</w:t>
      </w:r>
      <w:r w:rsidRPr="00832457">
        <w:rPr>
          <w:rFonts w:asciiTheme="minorHAnsi" w:hAnsiTheme="minorHAnsi"/>
          <w:color w:val="auto"/>
          <w:sz w:val="22"/>
          <w:szCs w:val="22"/>
        </w:rPr>
        <w:t xml:space="preserve"> an adverse decision, stakeholders are</w:t>
      </w:r>
      <w:r w:rsidR="00F6003B">
        <w:rPr>
          <w:rFonts w:asciiTheme="minorHAnsi" w:hAnsiTheme="minorHAnsi"/>
          <w:color w:val="auto"/>
          <w:sz w:val="22"/>
          <w:szCs w:val="22"/>
        </w:rPr>
        <w:t xml:space="preserve"> consulted</w:t>
      </w:r>
      <w:r w:rsidRPr="00832457">
        <w:rPr>
          <w:rFonts w:asciiTheme="minorHAnsi" w:hAnsiTheme="minorHAnsi"/>
          <w:color w:val="auto"/>
          <w:sz w:val="22"/>
          <w:szCs w:val="22"/>
        </w:rPr>
        <w:t xml:space="preserve"> </w:t>
      </w:r>
      <w:r w:rsidR="00F6003B">
        <w:rPr>
          <w:rFonts w:asciiTheme="minorHAnsi" w:hAnsiTheme="minorHAnsi"/>
          <w:color w:val="auto"/>
          <w:sz w:val="22"/>
          <w:szCs w:val="22"/>
        </w:rPr>
        <w:t xml:space="preserve">and </w:t>
      </w:r>
      <w:r w:rsidRPr="00832457">
        <w:rPr>
          <w:rFonts w:asciiTheme="minorHAnsi" w:hAnsiTheme="minorHAnsi"/>
          <w:color w:val="auto"/>
          <w:sz w:val="22"/>
          <w:szCs w:val="22"/>
        </w:rPr>
        <w:t xml:space="preserve">advised of the </w:t>
      </w:r>
      <w:r w:rsidR="00F6003B">
        <w:rPr>
          <w:rFonts w:asciiTheme="minorHAnsi" w:hAnsiTheme="minorHAnsi"/>
          <w:color w:val="auto"/>
          <w:sz w:val="22"/>
          <w:szCs w:val="22"/>
        </w:rPr>
        <w:t xml:space="preserve">process, including any </w:t>
      </w:r>
      <w:r w:rsidRPr="00832457">
        <w:rPr>
          <w:rFonts w:asciiTheme="minorHAnsi" w:hAnsiTheme="minorHAnsi"/>
          <w:color w:val="auto"/>
          <w:sz w:val="22"/>
          <w:szCs w:val="22"/>
        </w:rPr>
        <w:t>relevant appeal mechanisms</w:t>
      </w:r>
      <w:r w:rsidR="00F6003B">
        <w:rPr>
          <w:rFonts w:asciiTheme="minorHAnsi" w:hAnsiTheme="minorHAnsi"/>
          <w:color w:val="auto"/>
          <w:sz w:val="22"/>
          <w:szCs w:val="22"/>
        </w:rPr>
        <w:t>, prior to any decision</w:t>
      </w:r>
      <w:r w:rsidRPr="00832457">
        <w:rPr>
          <w:rFonts w:asciiTheme="minorHAnsi" w:hAnsiTheme="minorHAnsi"/>
          <w:color w:val="auto"/>
          <w:sz w:val="22"/>
          <w:szCs w:val="22"/>
        </w:rPr>
        <w:t xml:space="preserve">. </w:t>
      </w:r>
    </w:p>
    <w:p w14:paraId="527D7E80" w14:textId="77777777" w:rsidR="00BE7FEE" w:rsidRPr="00832457" w:rsidRDefault="00BE7FEE" w:rsidP="00B138B1">
      <w:pPr>
        <w:pStyle w:val="ListParagraph"/>
        <w:numPr>
          <w:ilvl w:val="0"/>
          <w:numId w:val="30"/>
        </w:numPr>
        <w:spacing w:before="0" w:after="120"/>
        <w:ind w:left="426" w:hanging="426"/>
        <w:contextualSpacing w:val="0"/>
        <w:jc w:val="both"/>
        <w:rPr>
          <w:rFonts w:asciiTheme="minorHAnsi" w:hAnsiTheme="minorHAnsi"/>
          <w:color w:val="auto"/>
          <w:sz w:val="22"/>
          <w:szCs w:val="22"/>
        </w:rPr>
      </w:pPr>
      <w:r w:rsidRPr="00832457">
        <w:rPr>
          <w:rFonts w:asciiTheme="minorHAnsi" w:hAnsiTheme="minorHAnsi"/>
          <w:color w:val="auto"/>
          <w:sz w:val="22"/>
          <w:szCs w:val="22"/>
        </w:rPr>
        <w:t xml:space="preserve">In August 2017 </w:t>
      </w:r>
      <w:r w:rsidR="001E0BFA">
        <w:rPr>
          <w:rFonts w:asciiTheme="minorHAnsi" w:hAnsiTheme="minorHAnsi"/>
          <w:color w:val="auto"/>
          <w:sz w:val="22"/>
          <w:szCs w:val="22"/>
        </w:rPr>
        <w:t>NOPTA</w:t>
      </w:r>
      <w:r w:rsidR="001E0BFA" w:rsidRPr="00832457">
        <w:rPr>
          <w:rFonts w:asciiTheme="minorHAnsi" w:hAnsiTheme="minorHAnsi"/>
          <w:color w:val="auto"/>
          <w:sz w:val="22"/>
          <w:szCs w:val="22"/>
        </w:rPr>
        <w:t xml:space="preserve"> </w:t>
      </w:r>
      <w:r w:rsidRPr="00832457">
        <w:rPr>
          <w:rFonts w:asciiTheme="minorHAnsi" w:hAnsiTheme="minorHAnsi"/>
          <w:color w:val="auto"/>
          <w:sz w:val="22"/>
          <w:szCs w:val="22"/>
        </w:rPr>
        <w:t xml:space="preserve">launched </w:t>
      </w:r>
      <w:r w:rsidR="00695B9B">
        <w:rPr>
          <w:rFonts w:asciiTheme="minorHAnsi" w:hAnsiTheme="minorHAnsi"/>
          <w:color w:val="auto"/>
          <w:sz w:val="22"/>
          <w:szCs w:val="22"/>
        </w:rPr>
        <w:t xml:space="preserve">a refreshed </w:t>
      </w:r>
      <w:r w:rsidRPr="00832457">
        <w:rPr>
          <w:rFonts w:asciiTheme="minorHAnsi" w:hAnsiTheme="minorHAnsi"/>
          <w:color w:val="auto"/>
          <w:sz w:val="22"/>
          <w:szCs w:val="22"/>
        </w:rPr>
        <w:t>website which significantly improve</w:t>
      </w:r>
      <w:r w:rsidR="002A037A" w:rsidRPr="00832457">
        <w:rPr>
          <w:rFonts w:asciiTheme="minorHAnsi" w:hAnsiTheme="minorHAnsi"/>
          <w:color w:val="auto"/>
          <w:sz w:val="22"/>
          <w:szCs w:val="22"/>
        </w:rPr>
        <w:t>s</w:t>
      </w:r>
      <w:r w:rsidRPr="00832457">
        <w:rPr>
          <w:rFonts w:asciiTheme="minorHAnsi" w:hAnsiTheme="minorHAnsi"/>
          <w:color w:val="auto"/>
          <w:sz w:val="22"/>
          <w:szCs w:val="22"/>
        </w:rPr>
        <w:t xml:space="preserve"> how information is presented and accessed. The </w:t>
      </w:r>
      <w:r w:rsidR="0082722F">
        <w:rPr>
          <w:rFonts w:asciiTheme="minorHAnsi" w:hAnsiTheme="minorHAnsi"/>
          <w:color w:val="auto"/>
          <w:sz w:val="22"/>
          <w:szCs w:val="22"/>
        </w:rPr>
        <w:t>update</w:t>
      </w:r>
      <w:r w:rsidR="0082722F" w:rsidRPr="00832457">
        <w:rPr>
          <w:rFonts w:asciiTheme="minorHAnsi" w:hAnsiTheme="minorHAnsi"/>
          <w:color w:val="auto"/>
          <w:sz w:val="22"/>
          <w:szCs w:val="22"/>
        </w:rPr>
        <w:t xml:space="preserve"> </w:t>
      </w:r>
      <w:r w:rsidRPr="00832457">
        <w:rPr>
          <w:rFonts w:asciiTheme="minorHAnsi" w:hAnsiTheme="minorHAnsi"/>
          <w:color w:val="auto"/>
          <w:sz w:val="22"/>
          <w:szCs w:val="22"/>
        </w:rPr>
        <w:t xml:space="preserve">was initiated following opportunities </w:t>
      </w:r>
      <w:r w:rsidRPr="00832457">
        <w:rPr>
          <w:rFonts w:asciiTheme="minorHAnsi" w:hAnsiTheme="minorHAnsi"/>
          <w:color w:val="auto"/>
          <w:sz w:val="22"/>
          <w:szCs w:val="22"/>
        </w:rPr>
        <w:lastRenderedPageBreak/>
        <w:t xml:space="preserve">identified by stakeholders </w:t>
      </w:r>
      <w:r w:rsidR="006203AC">
        <w:rPr>
          <w:rFonts w:asciiTheme="minorHAnsi" w:hAnsiTheme="minorHAnsi"/>
          <w:color w:val="auto"/>
          <w:sz w:val="22"/>
          <w:szCs w:val="22"/>
        </w:rPr>
        <w:t>in</w:t>
      </w:r>
      <w:r w:rsidRPr="00832457">
        <w:rPr>
          <w:rFonts w:asciiTheme="minorHAnsi" w:hAnsiTheme="minorHAnsi"/>
          <w:color w:val="auto"/>
          <w:sz w:val="22"/>
          <w:szCs w:val="22"/>
        </w:rPr>
        <w:t xml:space="preserve"> the 2017 stakeholder survey. NOPTA u</w:t>
      </w:r>
      <w:r w:rsidR="006203AC">
        <w:rPr>
          <w:rFonts w:asciiTheme="minorHAnsi" w:hAnsiTheme="minorHAnsi"/>
          <w:color w:val="auto"/>
          <w:sz w:val="22"/>
          <w:szCs w:val="22"/>
        </w:rPr>
        <w:t>sed</w:t>
      </w:r>
      <w:r w:rsidRPr="00832457">
        <w:rPr>
          <w:rFonts w:asciiTheme="minorHAnsi" w:hAnsiTheme="minorHAnsi"/>
          <w:color w:val="auto"/>
          <w:sz w:val="22"/>
          <w:szCs w:val="22"/>
        </w:rPr>
        <w:t xml:space="preserve"> a third party provider </w:t>
      </w:r>
      <w:r w:rsidR="00CE432D">
        <w:rPr>
          <w:rFonts w:asciiTheme="minorHAnsi" w:hAnsiTheme="minorHAnsi"/>
          <w:color w:val="auto"/>
          <w:sz w:val="22"/>
          <w:szCs w:val="22"/>
        </w:rPr>
        <w:t>to</w:t>
      </w:r>
      <w:r w:rsidRPr="00832457">
        <w:rPr>
          <w:rFonts w:asciiTheme="minorHAnsi" w:hAnsiTheme="minorHAnsi"/>
          <w:color w:val="auto"/>
          <w:sz w:val="22"/>
          <w:szCs w:val="22"/>
        </w:rPr>
        <w:t xml:space="preserve"> design and build the website </w:t>
      </w:r>
      <w:r w:rsidR="00CE432D">
        <w:rPr>
          <w:rFonts w:asciiTheme="minorHAnsi" w:hAnsiTheme="minorHAnsi"/>
          <w:color w:val="auto"/>
          <w:sz w:val="22"/>
          <w:szCs w:val="22"/>
        </w:rPr>
        <w:t>ensuring</w:t>
      </w:r>
      <w:r w:rsidRPr="00832457">
        <w:rPr>
          <w:rFonts w:asciiTheme="minorHAnsi" w:hAnsiTheme="minorHAnsi"/>
          <w:color w:val="auto"/>
          <w:sz w:val="22"/>
          <w:szCs w:val="22"/>
        </w:rPr>
        <w:t xml:space="preserve"> strict compliance with the Australian Government web accessibility guidelines. </w:t>
      </w:r>
    </w:p>
    <w:p w14:paraId="336ADA1B" w14:textId="298F1D92" w:rsidR="00BE7FEE" w:rsidRPr="00832457" w:rsidRDefault="001E0BFA" w:rsidP="00B138B1">
      <w:pPr>
        <w:pStyle w:val="ListParagraph"/>
        <w:numPr>
          <w:ilvl w:val="0"/>
          <w:numId w:val="30"/>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 xml:space="preserve">NOPTA </w:t>
      </w:r>
      <w:r w:rsidR="006203AC">
        <w:rPr>
          <w:rFonts w:asciiTheme="minorHAnsi" w:hAnsiTheme="minorHAnsi"/>
          <w:color w:val="auto"/>
          <w:sz w:val="22"/>
          <w:szCs w:val="22"/>
        </w:rPr>
        <w:t>ha</w:t>
      </w:r>
      <w:r>
        <w:rPr>
          <w:rFonts w:asciiTheme="minorHAnsi" w:hAnsiTheme="minorHAnsi"/>
          <w:color w:val="auto"/>
          <w:sz w:val="22"/>
          <w:szCs w:val="22"/>
        </w:rPr>
        <w:t>s</w:t>
      </w:r>
      <w:r w:rsidR="00BE7FEE" w:rsidRPr="00832457">
        <w:rPr>
          <w:rFonts w:asciiTheme="minorHAnsi" w:hAnsiTheme="minorHAnsi"/>
          <w:color w:val="auto"/>
          <w:sz w:val="22"/>
          <w:szCs w:val="22"/>
        </w:rPr>
        <w:t xml:space="preserve"> produced a range of short tutorial videos to assist users in navigating and using</w:t>
      </w:r>
      <w:r w:rsidR="00051D27">
        <w:rPr>
          <w:rFonts w:asciiTheme="minorHAnsi" w:hAnsiTheme="minorHAnsi"/>
          <w:color w:val="auto"/>
          <w:sz w:val="22"/>
          <w:szCs w:val="22"/>
        </w:rPr>
        <w:t xml:space="preserve"> </w:t>
      </w:r>
      <w:r w:rsidR="00695B9B">
        <w:rPr>
          <w:rFonts w:asciiTheme="minorHAnsi" w:hAnsiTheme="minorHAnsi"/>
          <w:color w:val="auto"/>
          <w:sz w:val="22"/>
          <w:szCs w:val="22"/>
        </w:rPr>
        <w:t>the</w:t>
      </w:r>
      <w:r w:rsidR="00695B9B" w:rsidRPr="00832457">
        <w:rPr>
          <w:rFonts w:asciiTheme="minorHAnsi" w:hAnsiTheme="minorHAnsi"/>
          <w:color w:val="auto"/>
          <w:sz w:val="22"/>
          <w:szCs w:val="22"/>
        </w:rPr>
        <w:t xml:space="preserve"> NEATS</w:t>
      </w:r>
      <w:r w:rsidR="00051D27">
        <w:rPr>
          <w:rFonts w:asciiTheme="minorHAnsi" w:hAnsiTheme="minorHAnsi"/>
          <w:color w:val="auto"/>
          <w:sz w:val="22"/>
          <w:szCs w:val="22"/>
        </w:rPr>
        <w:t xml:space="preserve"> public portal</w:t>
      </w:r>
      <w:r w:rsidR="00BE7FEE" w:rsidRPr="00832457">
        <w:rPr>
          <w:rFonts w:asciiTheme="minorHAnsi" w:hAnsiTheme="minorHAnsi"/>
          <w:color w:val="auto"/>
          <w:sz w:val="22"/>
          <w:szCs w:val="22"/>
        </w:rPr>
        <w:t xml:space="preserve">, with a focus on highlighting the system’s key features and tips for effective use. NOPTA developed the videos following stakeholder feedback </w:t>
      </w:r>
      <w:r w:rsidR="006203AC">
        <w:rPr>
          <w:rFonts w:asciiTheme="minorHAnsi" w:hAnsiTheme="minorHAnsi"/>
          <w:color w:val="auto"/>
          <w:sz w:val="22"/>
          <w:szCs w:val="22"/>
        </w:rPr>
        <w:t>obtained from</w:t>
      </w:r>
      <w:r w:rsidR="00BE7FEE" w:rsidRPr="00832457">
        <w:rPr>
          <w:rFonts w:asciiTheme="minorHAnsi" w:hAnsiTheme="minorHAnsi"/>
          <w:color w:val="auto"/>
          <w:sz w:val="22"/>
          <w:szCs w:val="22"/>
        </w:rPr>
        <w:t xml:space="preserve"> the NEATS 2020 report</w:t>
      </w:r>
      <w:r w:rsidR="00051D27">
        <w:rPr>
          <w:rStyle w:val="FootnoteReference"/>
          <w:rFonts w:asciiTheme="minorHAnsi" w:hAnsiTheme="minorHAnsi"/>
          <w:color w:val="auto"/>
          <w:sz w:val="22"/>
          <w:szCs w:val="22"/>
        </w:rPr>
        <w:footnoteReference w:id="5"/>
      </w:r>
      <w:r w:rsidR="00BE7FEE" w:rsidRPr="00832457">
        <w:rPr>
          <w:rFonts w:asciiTheme="minorHAnsi" w:hAnsiTheme="minorHAnsi"/>
          <w:color w:val="auto"/>
          <w:sz w:val="22"/>
          <w:szCs w:val="22"/>
        </w:rPr>
        <w:t>. NOPTA has received positive feedback regarding the videos</w:t>
      </w:r>
      <w:r w:rsidR="006522EF">
        <w:rPr>
          <w:rFonts w:asciiTheme="minorHAnsi" w:hAnsiTheme="minorHAnsi"/>
          <w:color w:val="auto"/>
          <w:sz w:val="22"/>
          <w:szCs w:val="22"/>
        </w:rPr>
        <w:t>’</w:t>
      </w:r>
      <w:r w:rsidR="00BE7FEE" w:rsidRPr="00832457">
        <w:rPr>
          <w:rFonts w:asciiTheme="minorHAnsi" w:hAnsiTheme="minorHAnsi"/>
          <w:color w:val="auto"/>
          <w:sz w:val="22"/>
          <w:szCs w:val="22"/>
        </w:rPr>
        <w:t xml:space="preserve"> </w:t>
      </w:r>
      <w:r w:rsidR="006203AC">
        <w:rPr>
          <w:rFonts w:asciiTheme="minorHAnsi" w:hAnsiTheme="minorHAnsi"/>
          <w:color w:val="auto"/>
          <w:sz w:val="22"/>
          <w:szCs w:val="22"/>
        </w:rPr>
        <w:t xml:space="preserve">helpfulness </w:t>
      </w:r>
      <w:r w:rsidR="00BE7FEE" w:rsidRPr="00832457">
        <w:rPr>
          <w:rFonts w:asciiTheme="minorHAnsi" w:hAnsiTheme="minorHAnsi"/>
          <w:color w:val="auto"/>
          <w:sz w:val="22"/>
          <w:szCs w:val="22"/>
        </w:rPr>
        <w:t>for new NEATS users.</w:t>
      </w:r>
    </w:p>
    <w:p w14:paraId="253DFCFA" w14:textId="77777777" w:rsidR="00BE7FEE" w:rsidRPr="00832457" w:rsidRDefault="00BE7FEE" w:rsidP="00B138B1">
      <w:pPr>
        <w:pStyle w:val="ListParagraph"/>
        <w:numPr>
          <w:ilvl w:val="0"/>
          <w:numId w:val="30"/>
        </w:numPr>
        <w:spacing w:before="0" w:after="120"/>
        <w:ind w:left="426" w:hanging="426"/>
        <w:contextualSpacing w:val="0"/>
        <w:jc w:val="both"/>
        <w:rPr>
          <w:rFonts w:asciiTheme="minorHAnsi" w:hAnsiTheme="minorHAnsi"/>
          <w:color w:val="auto"/>
          <w:sz w:val="22"/>
          <w:szCs w:val="22"/>
        </w:rPr>
      </w:pPr>
      <w:r w:rsidRPr="00832457">
        <w:rPr>
          <w:rFonts w:asciiTheme="minorHAnsi" w:hAnsiTheme="minorHAnsi"/>
          <w:color w:val="auto"/>
          <w:sz w:val="22"/>
          <w:szCs w:val="22"/>
        </w:rPr>
        <w:t xml:space="preserve">Complementing the NEATS videos, </w:t>
      </w:r>
      <w:r w:rsidR="001E0BFA">
        <w:rPr>
          <w:rFonts w:asciiTheme="minorHAnsi" w:hAnsiTheme="minorHAnsi"/>
          <w:color w:val="auto"/>
          <w:sz w:val="22"/>
          <w:szCs w:val="22"/>
        </w:rPr>
        <w:t>NOPTA</w:t>
      </w:r>
      <w:r w:rsidR="001E0BFA" w:rsidRPr="00832457">
        <w:rPr>
          <w:rFonts w:asciiTheme="minorHAnsi" w:hAnsiTheme="minorHAnsi"/>
          <w:color w:val="auto"/>
          <w:sz w:val="22"/>
          <w:szCs w:val="22"/>
        </w:rPr>
        <w:t xml:space="preserve"> </w:t>
      </w:r>
      <w:r w:rsidRPr="00832457">
        <w:rPr>
          <w:rFonts w:asciiTheme="minorHAnsi" w:hAnsiTheme="minorHAnsi"/>
          <w:color w:val="auto"/>
          <w:sz w:val="22"/>
          <w:szCs w:val="22"/>
        </w:rPr>
        <w:t xml:space="preserve">also published new online guidance </w:t>
      </w:r>
      <w:r w:rsidR="001500D2">
        <w:rPr>
          <w:rFonts w:asciiTheme="minorHAnsi" w:hAnsiTheme="minorHAnsi"/>
          <w:color w:val="auto"/>
          <w:sz w:val="22"/>
          <w:szCs w:val="22"/>
        </w:rPr>
        <w:t>around t</w:t>
      </w:r>
      <w:r w:rsidRPr="00832457">
        <w:rPr>
          <w:rFonts w:asciiTheme="minorHAnsi" w:hAnsiTheme="minorHAnsi"/>
          <w:color w:val="auto"/>
          <w:sz w:val="22"/>
          <w:szCs w:val="22"/>
        </w:rPr>
        <w:t xml:space="preserve">he use of the NEATS Industry Portal. </w:t>
      </w:r>
    </w:p>
    <w:p w14:paraId="561EBB04" w14:textId="77777777" w:rsidR="00BE7FEE" w:rsidRPr="00832457" w:rsidRDefault="00BE7FEE" w:rsidP="00B138B1">
      <w:pPr>
        <w:pStyle w:val="ListParagraph"/>
        <w:numPr>
          <w:ilvl w:val="0"/>
          <w:numId w:val="30"/>
        </w:numPr>
        <w:spacing w:before="0" w:after="120"/>
        <w:ind w:left="426" w:hanging="426"/>
        <w:contextualSpacing w:val="0"/>
        <w:jc w:val="both"/>
        <w:rPr>
          <w:rFonts w:asciiTheme="minorHAnsi" w:hAnsiTheme="minorHAnsi"/>
          <w:color w:val="auto"/>
          <w:sz w:val="22"/>
          <w:szCs w:val="22"/>
        </w:rPr>
      </w:pPr>
      <w:r w:rsidRPr="00832457">
        <w:rPr>
          <w:rFonts w:asciiTheme="minorHAnsi" w:hAnsiTheme="minorHAnsi"/>
          <w:color w:val="auto"/>
          <w:sz w:val="22"/>
          <w:szCs w:val="22"/>
        </w:rPr>
        <w:t xml:space="preserve">As a result of the above </w:t>
      </w:r>
      <w:r w:rsidR="00FA6E82">
        <w:rPr>
          <w:rFonts w:asciiTheme="minorHAnsi" w:hAnsiTheme="minorHAnsi"/>
          <w:color w:val="auto"/>
          <w:sz w:val="22"/>
          <w:szCs w:val="22"/>
        </w:rPr>
        <w:t xml:space="preserve">website and NEATS </w:t>
      </w:r>
      <w:r w:rsidRPr="00832457">
        <w:rPr>
          <w:rFonts w:asciiTheme="minorHAnsi" w:hAnsiTheme="minorHAnsi"/>
          <w:color w:val="auto"/>
          <w:sz w:val="22"/>
          <w:szCs w:val="22"/>
        </w:rPr>
        <w:t xml:space="preserve">initiatives, </w:t>
      </w:r>
      <w:r w:rsidR="001E0BFA">
        <w:rPr>
          <w:rFonts w:asciiTheme="minorHAnsi" w:hAnsiTheme="minorHAnsi"/>
          <w:color w:val="auto"/>
          <w:sz w:val="22"/>
          <w:szCs w:val="22"/>
        </w:rPr>
        <w:t>NOPTA has</w:t>
      </w:r>
      <w:r w:rsidRPr="00832457">
        <w:rPr>
          <w:rFonts w:asciiTheme="minorHAnsi" w:hAnsiTheme="minorHAnsi"/>
          <w:color w:val="auto"/>
          <w:sz w:val="22"/>
          <w:szCs w:val="22"/>
        </w:rPr>
        <w:t xml:space="preserve"> </w:t>
      </w:r>
      <w:r w:rsidR="00F1120D">
        <w:rPr>
          <w:rFonts w:asciiTheme="minorHAnsi" w:hAnsiTheme="minorHAnsi"/>
          <w:color w:val="auto"/>
          <w:sz w:val="22"/>
          <w:szCs w:val="22"/>
        </w:rPr>
        <w:t xml:space="preserve">noted </w:t>
      </w:r>
      <w:r w:rsidRPr="00832457">
        <w:rPr>
          <w:rFonts w:asciiTheme="minorHAnsi" w:hAnsiTheme="minorHAnsi"/>
          <w:color w:val="auto"/>
          <w:sz w:val="22"/>
          <w:szCs w:val="22"/>
        </w:rPr>
        <w:t xml:space="preserve">a reduced number of </w:t>
      </w:r>
      <w:r w:rsidR="00DC1580">
        <w:rPr>
          <w:rFonts w:asciiTheme="minorHAnsi" w:hAnsiTheme="minorHAnsi"/>
          <w:color w:val="auto"/>
          <w:sz w:val="22"/>
          <w:szCs w:val="22"/>
        </w:rPr>
        <w:t xml:space="preserve">stakeholder </w:t>
      </w:r>
      <w:r w:rsidRPr="00832457">
        <w:rPr>
          <w:rFonts w:asciiTheme="minorHAnsi" w:hAnsiTheme="minorHAnsi"/>
          <w:color w:val="auto"/>
          <w:sz w:val="22"/>
          <w:szCs w:val="22"/>
        </w:rPr>
        <w:t xml:space="preserve">queries around the use of these systems.  </w:t>
      </w:r>
    </w:p>
    <w:p w14:paraId="73F96B21" w14:textId="77777777" w:rsidR="00BE7FEE" w:rsidRPr="00832457" w:rsidRDefault="00BE7FEE" w:rsidP="00B138B1">
      <w:pPr>
        <w:pStyle w:val="ListParagraph"/>
        <w:numPr>
          <w:ilvl w:val="0"/>
          <w:numId w:val="30"/>
        </w:numPr>
        <w:spacing w:before="0" w:after="0"/>
        <w:ind w:left="426" w:hanging="426"/>
        <w:contextualSpacing w:val="0"/>
        <w:jc w:val="both"/>
        <w:rPr>
          <w:rFonts w:asciiTheme="minorHAnsi" w:hAnsiTheme="minorHAnsi"/>
          <w:color w:val="auto"/>
          <w:sz w:val="22"/>
          <w:szCs w:val="22"/>
        </w:rPr>
      </w:pPr>
      <w:r w:rsidRPr="00832457">
        <w:rPr>
          <w:rFonts w:asciiTheme="minorHAnsi" w:hAnsiTheme="minorHAnsi"/>
          <w:color w:val="auto"/>
          <w:sz w:val="22"/>
          <w:szCs w:val="22"/>
        </w:rPr>
        <w:t>Working in conjunction with other government agencies, staff were available at a dedicated NOPTA booth to discuss any general or specific issues with stakeholders</w:t>
      </w:r>
      <w:r w:rsidR="001500D2">
        <w:rPr>
          <w:rFonts w:asciiTheme="minorHAnsi" w:hAnsiTheme="minorHAnsi"/>
          <w:color w:val="auto"/>
          <w:sz w:val="22"/>
          <w:szCs w:val="22"/>
        </w:rPr>
        <w:t xml:space="preserve"> at the May 2018 APPEA conference</w:t>
      </w:r>
      <w:r w:rsidRPr="00832457">
        <w:rPr>
          <w:rFonts w:asciiTheme="minorHAnsi" w:hAnsiTheme="minorHAnsi"/>
          <w:color w:val="auto"/>
          <w:sz w:val="22"/>
          <w:szCs w:val="22"/>
        </w:rPr>
        <w:t xml:space="preserve">. </w:t>
      </w:r>
    </w:p>
    <w:p w14:paraId="428FD9A8" w14:textId="77777777" w:rsidR="00A10D52" w:rsidRPr="00772396" w:rsidRDefault="00A10D52" w:rsidP="00B138B1">
      <w:pPr>
        <w:spacing w:after="0" w:line="240" w:lineRule="auto"/>
        <w:jc w:val="both"/>
      </w:pPr>
    </w:p>
    <w:p w14:paraId="239DE7DC" w14:textId="77777777" w:rsidR="006F6665" w:rsidRPr="00772396" w:rsidRDefault="006F6665" w:rsidP="00772396">
      <w:pPr>
        <w:spacing w:after="0" w:line="240" w:lineRule="auto"/>
      </w:pPr>
    </w:p>
    <w:p w14:paraId="7BD4B6FD" w14:textId="77777777" w:rsidR="00D15C43" w:rsidRDefault="00D15C43">
      <w:pPr>
        <w:rPr>
          <w:rFonts w:eastAsiaTheme="majorEastAsia" w:cstheme="majorBidi"/>
          <w:b/>
          <w:color w:val="2E74B5" w:themeColor="accent1" w:themeShade="BF"/>
        </w:rPr>
      </w:pPr>
      <w:bookmarkStart w:id="32" w:name="_Toc497215476"/>
      <w:r>
        <w:rPr>
          <w:b/>
        </w:rPr>
        <w:br w:type="page"/>
      </w:r>
    </w:p>
    <w:p w14:paraId="2A7D0079" w14:textId="77777777" w:rsidR="006F6665" w:rsidRPr="00D15C43" w:rsidRDefault="006F6665" w:rsidP="00B138B1">
      <w:pPr>
        <w:pStyle w:val="Heading2"/>
        <w:spacing w:before="0" w:line="240" w:lineRule="auto"/>
        <w:jc w:val="both"/>
        <w:rPr>
          <w:rFonts w:asciiTheme="minorHAnsi" w:hAnsiTheme="minorHAnsi"/>
          <w:b/>
        </w:rPr>
      </w:pPr>
      <w:bookmarkStart w:id="33" w:name="_Toc528835740"/>
      <w:r w:rsidRPr="00D15C43">
        <w:rPr>
          <w:rFonts w:asciiTheme="minorHAnsi" w:hAnsiTheme="minorHAnsi"/>
          <w:b/>
        </w:rPr>
        <w:lastRenderedPageBreak/>
        <w:t>KPI 3: Actions undertaken by regulators are proportionate to the regulatory risk being managed</w:t>
      </w:r>
      <w:bookmarkEnd w:id="32"/>
      <w:bookmarkEnd w:id="33"/>
    </w:p>
    <w:p w14:paraId="1887DF7A" w14:textId="77777777" w:rsidR="00772396" w:rsidRDefault="00772396" w:rsidP="003738AE">
      <w:bookmarkStart w:id="34" w:name="_Toc497215477"/>
    </w:p>
    <w:p w14:paraId="2F9503AB" w14:textId="77777777" w:rsidR="006F6665" w:rsidRPr="00772396" w:rsidRDefault="006F6665" w:rsidP="00B138B1">
      <w:pPr>
        <w:pStyle w:val="Heading3"/>
        <w:spacing w:before="0" w:after="0"/>
        <w:jc w:val="both"/>
        <w:rPr>
          <w:rFonts w:asciiTheme="minorHAnsi" w:hAnsiTheme="minorHAnsi"/>
          <w:sz w:val="22"/>
          <w:szCs w:val="22"/>
        </w:rPr>
      </w:pPr>
      <w:bookmarkStart w:id="35" w:name="_Toc528835741"/>
      <w:r w:rsidRPr="00772396">
        <w:rPr>
          <w:rFonts w:asciiTheme="minorHAnsi" w:hAnsiTheme="minorHAnsi"/>
          <w:sz w:val="22"/>
          <w:szCs w:val="22"/>
        </w:rPr>
        <w:t>KPI Expectations</w:t>
      </w:r>
      <w:bookmarkEnd w:id="34"/>
      <w:bookmarkEnd w:id="35"/>
    </w:p>
    <w:p w14:paraId="02BA8161" w14:textId="77777777" w:rsidR="006F6665" w:rsidRPr="00772396" w:rsidRDefault="006F6665" w:rsidP="00B138B1">
      <w:pPr>
        <w:spacing w:after="0" w:line="240" w:lineRule="auto"/>
        <w:jc w:val="both"/>
      </w:pPr>
      <w:r w:rsidRPr="00772396">
        <w:t xml:space="preserve">A risk-based approach is used to promote the most efficient use of resources and improve the effectiveness of the regulatory framework. This is achieved through minimising burden on those who are voluntarily compliant and ensuring that enforcement action is proportionate and undertaken only when necessary. </w:t>
      </w:r>
    </w:p>
    <w:p w14:paraId="480219F0" w14:textId="77777777" w:rsidR="00772396" w:rsidRDefault="00772396" w:rsidP="003738AE">
      <w:bookmarkStart w:id="36" w:name="_Toc497215478"/>
    </w:p>
    <w:p w14:paraId="13A9F2C5" w14:textId="77777777" w:rsidR="006F6665" w:rsidRPr="00772396" w:rsidRDefault="006F6665" w:rsidP="00B138B1">
      <w:pPr>
        <w:pStyle w:val="Heading3"/>
        <w:spacing w:before="0" w:after="0"/>
        <w:jc w:val="both"/>
        <w:rPr>
          <w:rFonts w:asciiTheme="minorHAnsi" w:hAnsiTheme="minorHAnsi"/>
          <w:sz w:val="22"/>
          <w:szCs w:val="22"/>
        </w:rPr>
      </w:pPr>
      <w:bookmarkStart w:id="37" w:name="_Toc528835742"/>
      <w:r w:rsidRPr="00772396">
        <w:rPr>
          <w:rFonts w:asciiTheme="minorHAnsi" w:hAnsiTheme="minorHAnsi"/>
          <w:sz w:val="22"/>
          <w:szCs w:val="22"/>
        </w:rPr>
        <w:t>NOPTA’s Approach</w:t>
      </w:r>
      <w:bookmarkEnd w:id="36"/>
      <w:bookmarkEnd w:id="37"/>
      <w:r w:rsidRPr="00772396">
        <w:rPr>
          <w:rFonts w:asciiTheme="minorHAnsi" w:hAnsiTheme="minorHAnsi"/>
          <w:sz w:val="22"/>
          <w:szCs w:val="22"/>
        </w:rPr>
        <w:t xml:space="preserve"> </w:t>
      </w:r>
    </w:p>
    <w:p w14:paraId="79D32D3B" w14:textId="77777777" w:rsidR="00AA167B" w:rsidRPr="00F20765" w:rsidRDefault="001E0BFA" w:rsidP="00B138B1">
      <w:pPr>
        <w:jc w:val="both"/>
      </w:pPr>
      <w:bookmarkStart w:id="38" w:name="_Toc497215479"/>
      <w:r>
        <w:t>NOPTA takes</w:t>
      </w:r>
      <w:r w:rsidR="00A726EC" w:rsidRPr="00F20765">
        <w:t xml:space="preserve"> a risk-based approach to titles administration, engagement with industry and compliance and enforcement, allowing for proportionate responses to risks suited to</w:t>
      </w:r>
      <w:r w:rsidR="00DC1580">
        <w:t xml:space="preserve"> the</w:t>
      </w:r>
      <w:r w:rsidR="00A726EC" w:rsidRPr="00F20765">
        <w:t xml:space="preserve"> nature and complexity</w:t>
      </w:r>
      <w:r w:rsidR="00F20920">
        <w:t xml:space="preserve"> of the issue at hand</w:t>
      </w:r>
      <w:r w:rsidR="00A726EC" w:rsidRPr="00F20765">
        <w:t>.</w:t>
      </w:r>
    </w:p>
    <w:p w14:paraId="357B1D15" w14:textId="77777777" w:rsidR="006F6665" w:rsidRPr="00B138B1" w:rsidRDefault="006F6665" w:rsidP="00B138B1">
      <w:pPr>
        <w:jc w:val="both"/>
        <w:rPr>
          <w:b/>
        </w:rPr>
      </w:pPr>
      <w:r w:rsidRPr="00B138B1">
        <w:rPr>
          <w:b/>
        </w:rPr>
        <w:t>Results</w:t>
      </w:r>
      <w:bookmarkEnd w:id="38"/>
      <w:r w:rsidR="002C3F5D" w:rsidRPr="00B138B1">
        <w:rPr>
          <w:b/>
        </w:rPr>
        <w:t xml:space="preserve">: </w:t>
      </w:r>
      <w:r w:rsidR="002C3F5D" w:rsidRPr="00B138B1">
        <w:rPr>
          <w:b/>
        </w:rPr>
        <w:tab/>
      </w:r>
      <w:r w:rsidR="002C3F5D" w:rsidRPr="00B138B1">
        <w:rPr>
          <w:b/>
        </w:rPr>
        <w:fldChar w:fldCharType="begin">
          <w:ffData>
            <w:name w:val="Check1"/>
            <w:enabled/>
            <w:calcOnExit w:val="0"/>
            <w:checkBox>
              <w:sizeAuto/>
              <w:default w:val="1"/>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Met</w:t>
      </w:r>
      <w:r w:rsidR="002C3F5D" w:rsidRPr="00B138B1">
        <w:rPr>
          <w:b/>
        </w:rPr>
        <w:tab/>
      </w:r>
      <w:r w:rsidR="002C3F5D" w:rsidRPr="00B138B1">
        <w:rPr>
          <w:b/>
        </w:rPr>
        <w:tab/>
      </w:r>
      <w:r w:rsidR="002C3F5D" w:rsidRPr="00B138B1">
        <w:rPr>
          <w:b/>
        </w:rPr>
        <w:fldChar w:fldCharType="begin">
          <w:ffData>
            <w:name w:val="Check2"/>
            <w:enabled/>
            <w:calcOnExit w:val="0"/>
            <w:checkBox>
              <w:sizeAuto/>
              <w:default w:val="0"/>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Partially Met</w:t>
      </w:r>
      <w:r w:rsidR="002C3F5D" w:rsidRPr="00B138B1">
        <w:rPr>
          <w:b/>
        </w:rPr>
        <w:tab/>
      </w:r>
      <w:r w:rsidR="002C3F5D" w:rsidRPr="00B138B1">
        <w:rPr>
          <w:b/>
        </w:rPr>
        <w:fldChar w:fldCharType="begin">
          <w:ffData>
            <w:name w:val="Check3"/>
            <w:enabled/>
            <w:calcOnExit w:val="0"/>
            <w:checkBox>
              <w:sizeAuto/>
              <w:default w:val="0"/>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Caption w:val="Highlighted box"/>
      </w:tblPr>
      <w:tblGrid>
        <w:gridCol w:w="9016"/>
      </w:tblGrid>
      <w:tr w:rsidR="00C568F0" w:rsidRPr="00B74AFA" w14:paraId="514EDE22" w14:textId="77777777" w:rsidTr="003738AE">
        <w:trPr>
          <w:tblHeader/>
        </w:trPr>
        <w:tc>
          <w:tcPr>
            <w:tcW w:w="9016" w:type="dxa"/>
            <w:shd w:val="clear" w:color="auto" w:fill="F2F2F2" w:themeFill="background1" w:themeFillShade="F2"/>
          </w:tcPr>
          <w:p w14:paraId="4F1770CA" w14:textId="77777777" w:rsidR="00C568F0" w:rsidRPr="00B74AFA" w:rsidRDefault="00B74AFA" w:rsidP="00B138B1">
            <w:pPr>
              <w:jc w:val="both"/>
              <w:rPr>
                <w:i/>
              </w:rPr>
            </w:pPr>
            <w:r w:rsidRPr="00B74AFA">
              <w:rPr>
                <w:i/>
              </w:rPr>
              <w:t>NOPTA assesses that it has met KPI 3. NOPTA continues to encourage early engagement with stakeholders and ensure</w:t>
            </w:r>
            <w:r>
              <w:rPr>
                <w:i/>
              </w:rPr>
              <w:t xml:space="preserve"> that</w:t>
            </w:r>
            <w:r w:rsidRPr="00B74AFA">
              <w:rPr>
                <w:i/>
              </w:rPr>
              <w:t xml:space="preserve"> </w:t>
            </w:r>
            <w:r>
              <w:rPr>
                <w:i/>
              </w:rPr>
              <w:t>our</w:t>
            </w:r>
            <w:r w:rsidRPr="00B74AFA">
              <w:rPr>
                <w:i/>
              </w:rPr>
              <w:t xml:space="preserve"> actions are transparent, flexible and consistent.  </w:t>
            </w:r>
          </w:p>
        </w:tc>
      </w:tr>
    </w:tbl>
    <w:p w14:paraId="59AC95A4" w14:textId="77777777" w:rsidR="00C568F0" w:rsidRPr="00772396" w:rsidRDefault="00C568F0" w:rsidP="00772396">
      <w:pPr>
        <w:spacing w:after="0" w:line="240" w:lineRule="auto"/>
      </w:pPr>
    </w:p>
    <w:p w14:paraId="4CF5A5DF" w14:textId="77777777" w:rsidR="00DD7463" w:rsidRPr="00832457" w:rsidRDefault="00B45EA7" w:rsidP="00B138B1">
      <w:pPr>
        <w:pStyle w:val="ListParagraph"/>
        <w:numPr>
          <w:ilvl w:val="0"/>
          <w:numId w:val="2"/>
        </w:numPr>
        <w:spacing w:before="0" w:after="120"/>
        <w:ind w:left="426" w:hanging="426"/>
        <w:contextualSpacing w:val="0"/>
        <w:jc w:val="both"/>
        <w:rPr>
          <w:rFonts w:asciiTheme="minorHAnsi" w:hAnsiTheme="minorHAnsi" w:cs="Arial"/>
          <w:color w:val="auto"/>
          <w:sz w:val="22"/>
          <w:szCs w:val="22"/>
          <w:lang w:val="en"/>
        </w:rPr>
      </w:pPr>
      <w:r>
        <w:rPr>
          <w:rFonts w:asciiTheme="minorHAnsi" w:hAnsiTheme="minorHAnsi" w:cs="Arial"/>
          <w:color w:val="auto"/>
          <w:sz w:val="22"/>
          <w:szCs w:val="22"/>
          <w:lang w:val="en"/>
        </w:rPr>
        <w:t>As</w:t>
      </w:r>
      <w:r w:rsidR="00DD7463" w:rsidRPr="00832457">
        <w:rPr>
          <w:rFonts w:asciiTheme="minorHAnsi" w:hAnsiTheme="minorHAnsi" w:cs="Arial"/>
          <w:color w:val="auto"/>
          <w:sz w:val="22"/>
          <w:szCs w:val="22"/>
          <w:lang w:val="en"/>
        </w:rPr>
        <w:t xml:space="preserve"> indicated in previous </w:t>
      </w:r>
      <w:r w:rsidR="007D5F6A">
        <w:rPr>
          <w:rFonts w:asciiTheme="minorHAnsi" w:hAnsiTheme="minorHAnsi" w:cs="Arial"/>
          <w:color w:val="auto"/>
          <w:sz w:val="22"/>
          <w:szCs w:val="22"/>
          <w:lang w:val="en"/>
        </w:rPr>
        <w:t xml:space="preserve">stakeholder </w:t>
      </w:r>
      <w:r w:rsidR="00DD7463" w:rsidRPr="00832457">
        <w:rPr>
          <w:rFonts w:asciiTheme="minorHAnsi" w:hAnsiTheme="minorHAnsi" w:cs="Arial"/>
          <w:color w:val="auto"/>
          <w:sz w:val="22"/>
          <w:szCs w:val="22"/>
          <w:lang w:val="en"/>
        </w:rPr>
        <w:t xml:space="preserve">surveys, </w:t>
      </w:r>
      <w:r>
        <w:rPr>
          <w:rFonts w:asciiTheme="minorHAnsi" w:hAnsiTheme="minorHAnsi" w:cs="Arial"/>
          <w:color w:val="auto"/>
          <w:sz w:val="22"/>
          <w:szCs w:val="22"/>
          <w:lang w:val="en"/>
        </w:rPr>
        <w:t>a significant</w:t>
      </w:r>
      <w:r w:rsidR="00DD7463" w:rsidRPr="00832457">
        <w:rPr>
          <w:rFonts w:asciiTheme="minorHAnsi" w:hAnsiTheme="minorHAnsi" w:cs="Arial"/>
          <w:color w:val="auto"/>
          <w:sz w:val="22"/>
          <w:szCs w:val="22"/>
          <w:lang w:val="en"/>
        </w:rPr>
        <w:t xml:space="preserve"> </w:t>
      </w:r>
      <w:r>
        <w:rPr>
          <w:rFonts w:asciiTheme="minorHAnsi" w:hAnsiTheme="minorHAnsi" w:cs="Arial"/>
          <w:color w:val="auto"/>
          <w:sz w:val="22"/>
          <w:szCs w:val="22"/>
          <w:lang w:val="en"/>
        </w:rPr>
        <w:t xml:space="preserve">majority of </w:t>
      </w:r>
      <w:r w:rsidR="001E0BFA">
        <w:rPr>
          <w:rFonts w:asciiTheme="minorHAnsi" w:hAnsiTheme="minorHAnsi" w:cs="Arial"/>
          <w:color w:val="auto"/>
          <w:sz w:val="22"/>
          <w:szCs w:val="22"/>
          <w:lang w:val="en"/>
        </w:rPr>
        <w:t>NOPTA’s</w:t>
      </w:r>
      <w:r w:rsidR="001E0BFA" w:rsidRPr="00832457">
        <w:rPr>
          <w:rFonts w:asciiTheme="minorHAnsi" w:hAnsiTheme="minorHAnsi" w:cs="Arial"/>
          <w:color w:val="auto"/>
          <w:sz w:val="22"/>
          <w:szCs w:val="22"/>
          <w:lang w:val="en"/>
        </w:rPr>
        <w:t xml:space="preserve"> </w:t>
      </w:r>
      <w:r w:rsidR="00DD7463" w:rsidRPr="00832457">
        <w:rPr>
          <w:rFonts w:asciiTheme="minorHAnsi" w:hAnsiTheme="minorHAnsi" w:cs="Arial"/>
          <w:color w:val="auto"/>
          <w:sz w:val="22"/>
          <w:szCs w:val="22"/>
          <w:lang w:val="en"/>
        </w:rPr>
        <w:t>stakeholders consider the time and effort spent on complying with NOPTA administered functions is reasonable, relative to the regulatory risk we manage. There is no evidence to indicate that this has</w:t>
      </w:r>
      <w:r w:rsidR="00BF5F6A" w:rsidRPr="00832457">
        <w:rPr>
          <w:rFonts w:asciiTheme="minorHAnsi" w:hAnsiTheme="minorHAnsi" w:cs="Arial"/>
          <w:color w:val="auto"/>
          <w:sz w:val="22"/>
          <w:szCs w:val="22"/>
          <w:lang w:val="en"/>
        </w:rPr>
        <w:t xml:space="preserve"> changed. </w:t>
      </w:r>
      <w:r w:rsidR="001E0BFA">
        <w:rPr>
          <w:rFonts w:asciiTheme="minorHAnsi" w:hAnsiTheme="minorHAnsi" w:cs="Arial"/>
          <w:color w:val="auto"/>
          <w:sz w:val="22"/>
          <w:szCs w:val="22"/>
          <w:lang w:val="en"/>
        </w:rPr>
        <w:t>The</w:t>
      </w:r>
      <w:r w:rsidR="001E0BFA" w:rsidRPr="00832457">
        <w:rPr>
          <w:rFonts w:asciiTheme="minorHAnsi" w:hAnsiTheme="minorHAnsi" w:cs="Arial"/>
          <w:color w:val="auto"/>
          <w:sz w:val="22"/>
          <w:szCs w:val="22"/>
          <w:lang w:val="en"/>
        </w:rPr>
        <w:t xml:space="preserve"> </w:t>
      </w:r>
      <w:r w:rsidR="00BF5F6A" w:rsidRPr="00832457">
        <w:rPr>
          <w:rFonts w:asciiTheme="minorHAnsi" w:hAnsiTheme="minorHAnsi" w:cs="Arial"/>
          <w:color w:val="auto"/>
          <w:sz w:val="22"/>
          <w:szCs w:val="22"/>
          <w:lang w:val="en"/>
        </w:rPr>
        <w:t xml:space="preserve">next survey is planned </w:t>
      </w:r>
      <w:r w:rsidR="00CE432D">
        <w:rPr>
          <w:rFonts w:asciiTheme="minorHAnsi" w:hAnsiTheme="minorHAnsi" w:cs="Arial"/>
          <w:color w:val="auto"/>
          <w:sz w:val="22"/>
          <w:szCs w:val="22"/>
          <w:lang w:val="en"/>
        </w:rPr>
        <w:t xml:space="preserve">in </w:t>
      </w:r>
      <w:r w:rsidR="00BF5F6A" w:rsidRPr="00832457">
        <w:rPr>
          <w:rFonts w:asciiTheme="minorHAnsi" w:hAnsiTheme="minorHAnsi" w:cs="Arial"/>
          <w:color w:val="auto"/>
          <w:sz w:val="22"/>
          <w:szCs w:val="22"/>
          <w:lang w:val="en"/>
        </w:rPr>
        <w:t>2019</w:t>
      </w:r>
      <w:r w:rsidR="00DD7463" w:rsidRPr="00832457">
        <w:rPr>
          <w:rFonts w:asciiTheme="minorHAnsi" w:hAnsiTheme="minorHAnsi" w:cs="Arial"/>
          <w:color w:val="auto"/>
          <w:sz w:val="22"/>
          <w:szCs w:val="22"/>
          <w:lang w:val="en"/>
        </w:rPr>
        <w:t>.</w:t>
      </w:r>
    </w:p>
    <w:p w14:paraId="06E92811" w14:textId="77777777" w:rsidR="00DD7463" w:rsidRPr="00832457" w:rsidRDefault="001E0BFA" w:rsidP="00B138B1">
      <w:pPr>
        <w:pStyle w:val="ListParagraph"/>
        <w:numPr>
          <w:ilvl w:val="0"/>
          <w:numId w:val="2"/>
        </w:numPr>
        <w:spacing w:before="0" w:after="120"/>
        <w:ind w:left="426" w:hanging="426"/>
        <w:contextualSpacing w:val="0"/>
        <w:jc w:val="both"/>
        <w:rPr>
          <w:rFonts w:asciiTheme="minorHAnsi" w:hAnsiTheme="minorHAnsi" w:cs="Arial"/>
          <w:color w:val="auto"/>
          <w:sz w:val="22"/>
          <w:szCs w:val="22"/>
          <w:lang w:val="en"/>
        </w:rPr>
      </w:pPr>
      <w:r>
        <w:rPr>
          <w:rFonts w:asciiTheme="minorHAnsi" w:hAnsiTheme="minorHAnsi" w:cs="Arial"/>
          <w:color w:val="auto"/>
          <w:sz w:val="22"/>
          <w:szCs w:val="22"/>
          <w:lang w:val="en"/>
        </w:rPr>
        <w:t>NOPTA</w:t>
      </w:r>
      <w:r w:rsidRPr="00832457">
        <w:rPr>
          <w:rFonts w:asciiTheme="minorHAnsi" w:hAnsiTheme="minorHAnsi" w:cs="Arial"/>
          <w:color w:val="auto"/>
          <w:sz w:val="22"/>
          <w:szCs w:val="22"/>
          <w:lang w:val="en"/>
        </w:rPr>
        <w:t xml:space="preserve"> </w:t>
      </w:r>
      <w:r w:rsidR="00DD7463" w:rsidRPr="00832457">
        <w:rPr>
          <w:rFonts w:asciiTheme="minorHAnsi" w:hAnsiTheme="minorHAnsi" w:cs="Arial"/>
          <w:color w:val="auto"/>
          <w:sz w:val="22"/>
          <w:szCs w:val="22"/>
          <w:lang w:val="en"/>
        </w:rPr>
        <w:t>encourage</w:t>
      </w:r>
      <w:r>
        <w:rPr>
          <w:rFonts w:asciiTheme="minorHAnsi" w:hAnsiTheme="minorHAnsi" w:cs="Arial"/>
          <w:color w:val="auto"/>
          <w:sz w:val="22"/>
          <w:szCs w:val="22"/>
          <w:lang w:val="en"/>
        </w:rPr>
        <w:t>s</w:t>
      </w:r>
      <w:r w:rsidR="00DD7463" w:rsidRPr="00832457">
        <w:rPr>
          <w:rFonts w:asciiTheme="minorHAnsi" w:hAnsiTheme="minorHAnsi" w:cs="Arial"/>
          <w:color w:val="auto"/>
          <w:sz w:val="22"/>
          <w:szCs w:val="22"/>
          <w:lang w:val="en"/>
        </w:rPr>
        <w:t xml:space="preserve"> stakeholders to provide feedback on </w:t>
      </w:r>
      <w:r>
        <w:rPr>
          <w:rFonts w:asciiTheme="minorHAnsi" w:hAnsiTheme="minorHAnsi" w:cs="Arial"/>
          <w:color w:val="auto"/>
          <w:sz w:val="22"/>
          <w:szCs w:val="22"/>
          <w:lang w:val="en"/>
        </w:rPr>
        <w:t>its</w:t>
      </w:r>
      <w:r w:rsidRPr="00832457">
        <w:rPr>
          <w:rFonts w:asciiTheme="minorHAnsi" w:hAnsiTheme="minorHAnsi" w:cs="Arial"/>
          <w:color w:val="auto"/>
          <w:sz w:val="22"/>
          <w:szCs w:val="22"/>
          <w:lang w:val="en"/>
        </w:rPr>
        <w:t xml:space="preserve"> </w:t>
      </w:r>
      <w:r w:rsidR="00DD7463" w:rsidRPr="00832457">
        <w:rPr>
          <w:rFonts w:asciiTheme="minorHAnsi" w:hAnsiTheme="minorHAnsi" w:cs="Arial"/>
          <w:color w:val="auto"/>
          <w:sz w:val="22"/>
          <w:szCs w:val="22"/>
          <w:lang w:val="en"/>
        </w:rPr>
        <w:t>performance</w:t>
      </w:r>
      <w:r w:rsidR="00CE432D">
        <w:rPr>
          <w:rFonts w:asciiTheme="minorHAnsi" w:hAnsiTheme="minorHAnsi" w:cs="Arial"/>
          <w:color w:val="auto"/>
          <w:sz w:val="22"/>
          <w:szCs w:val="22"/>
          <w:lang w:val="en"/>
        </w:rPr>
        <w:t xml:space="preserve"> via </w:t>
      </w:r>
      <w:r w:rsidR="00DD7463" w:rsidRPr="00832457">
        <w:rPr>
          <w:rFonts w:asciiTheme="minorHAnsi" w:hAnsiTheme="minorHAnsi" w:cs="Arial"/>
          <w:color w:val="auto"/>
          <w:sz w:val="22"/>
          <w:szCs w:val="22"/>
          <w:lang w:val="en"/>
        </w:rPr>
        <w:t xml:space="preserve">a dedicated email </w:t>
      </w:r>
      <w:r w:rsidR="00CE432D">
        <w:rPr>
          <w:rFonts w:asciiTheme="minorHAnsi" w:hAnsiTheme="minorHAnsi" w:cs="Arial"/>
          <w:color w:val="auto"/>
          <w:sz w:val="22"/>
          <w:szCs w:val="22"/>
          <w:lang w:val="en"/>
        </w:rPr>
        <w:t xml:space="preserve">address </w:t>
      </w:r>
      <w:r w:rsidR="00F20920">
        <w:rPr>
          <w:rFonts w:asciiTheme="minorHAnsi" w:hAnsiTheme="minorHAnsi" w:cs="Arial"/>
          <w:color w:val="auto"/>
          <w:sz w:val="22"/>
          <w:szCs w:val="22"/>
          <w:lang w:val="en"/>
        </w:rPr>
        <w:t>(</w:t>
      </w:r>
      <w:hyperlink r:id="rId14" w:history="1">
        <w:r w:rsidR="00DD7463" w:rsidRPr="00832457">
          <w:rPr>
            <w:rStyle w:val="Hyperlink"/>
            <w:rFonts w:asciiTheme="minorHAnsi" w:eastAsiaTheme="majorEastAsia" w:hAnsiTheme="minorHAnsi" w:cs="Arial"/>
            <w:color w:val="2E74B5" w:themeColor="accent1" w:themeShade="BF"/>
            <w:sz w:val="22"/>
            <w:szCs w:val="22"/>
            <w:lang w:val="en"/>
          </w:rPr>
          <w:t>feedback@nopta.gov.au</w:t>
        </w:r>
      </w:hyperlink>
      <w:r w:rsidR="00F20920" w:rsidRPr="00837BDE">
        <w:rPr>
          <w:rStyle w:val="Hyperlink"/>
          <w:rFonts w:asciiTheme="minorHAnsi" w:eastAsiaTheme="majorEastAsia" w:hAnsiTheme="minorHAnsi" w:cs="Arial"/>
          <w:color w:val="auto"/>
          <w:sz w:val="22"/>
          <w:szCs w:val="22"/>
          <w:lang w:val="en"/>
        </w:rPr>
        <w:t>)</w:t>
      </w:r>
      <w:r w:rsidR="00DD7463" w:rsidRPr="00832457">
        <w:rPr>
          <w:rFonts w:asciiTheme="minorHAnsi" w:hAnsiTheme="minorHAnsi" w:cs="Arial"/>
          <w:color w:val="auto"/>
          <w:sz w:val="22"/>
          <w:szCs w:val="22"/>
          <w:lang w:val="en"/>
        </w:rPr>
        <w:t xml:space="preserve"> located on </w:t>
      </w:r>
      <w:r>
        <w:rPr>
          <w:rFonts w:asciiTheme="minorHAnsi" w:hAnsiTheme="minorHAnsi" w:cs="Arial"/>
          <w:color w:val="auto"/>
          <w:sz w:val="22"/>
          <w:szCs w:val="22"/>
          <w:lang w:val="en"/>
        </w:rPr>
        <w:t>its</w:t>
      </w:r>
      <w:r w:rsidRPr="00832457">
        <w:rPr>
          <w:rFonts w:asciiTheme="minorHAnsi" w:hAnsiTheme="minorHAnsi" w:cs="Arial"/>
          <w:color w:val="auto"/>
          <w:sz w:val="22"/>
          <w:szCs w:val="22"/>
          <w:lang w:val="en"/>
        </w:rPr>
        <w:t xml:space="preserve"> </w:t>
      </w:r>
      <w:r w:rsidR="00DD7463" w:rsidRPr="00832457">
        <w:rPr>
          <w:rFonts w:asciiTheme="minorHAnsi" w:hAnsiTheme="minorHAnsi" w:cs="Arial"/>
          <w:color w:val="auto"/>
          <w:sz w:val="22"/>
          <w:szCs w:val="22"/>
          <w:lang w:val="en"/>
        </w:rPr>
        <w:t xml:space="preserve">website. NOPTA </w:t>
      </w:r>
      <w:r w:rsidR="00B45EA7">
        <w:rPr>
          <w:rFonts w:asciiTheme="minorHAnsi" w:hAnsiTheme="minorHAnsi" w:cs="Arial"/>
          <w:color w:val="auto"/>
          <w:sz w:val="22"/>
          <w:szCs w:val="22"/>
          <w:lang w:val="en"/>
        </w:rPr>
        <w:t xml:space="preserve">did </w:t>
      </w:r>
      <w:r w:rsidR="00DD7463" w:rsidRPr="00832457">
        <w:rPr>
          <w:rFonts w:asciiTheme="minorHAnsi" w:hAnsiTheme="minorHAnsi" w:cs="Arial"/>
          <w:color w:val="auto"/>
          <w:sz w:val="22"/>
          <w:szCs w:val="22"/>
          <w:lang w:val="en"/>
        </w:rPr>
        <w:t xml:space="preserve">not receive any formal complaints </w:t>
      </w:r>
      <w:r w:rsidR="00B45EA7">
        <w:rPr>
          <w:rFonts w:asciiTheme="minorHAnsi" w:hAnsiTheme="minorHAnsi" w:cs="Arial"/>
          <w:color w:val="auto"/>
          <w:sz w:val="22"/>
          <w:szCs w:val="22"/>
          <w:lang w:val="en"/>
        </w:rPr>
        <w:t>in 2017/18</w:t>
      </w:r>
      <w:r w:rsidR="00DD7463" w:rsidRPr="00832457">
        <w:rPr>
          <w:rFonts w:asciiTheme="minorHAnsi" w:hAnsiTheme="minorHAnsi" w:cs="Arial"/>
          <w:color w:val="auto"/>
          <w:sz w:val="22"/>
          <w:szCs w:val="22"/>
          <w:lang w:val="en"/>
        </w:rPr>
        <w:t>.</w:t>
      </w:r>
    </w:p>
    <w:p w14:paraId="39B2D5AA" w14:textId="77777777" w:rsidR="00B60A2D" w:rsidRPr="00832457" w:rsidRDefault="00A220E4" w:rsidP="00B138B1">
      <w:pPr>
        <w:pStyle w:val="ListParagraph"/>
        <w:numPr>
          <w:ilvl w:val="0"/>
          <w:numId w:val="2"/>
        </w:numPr>
        <w:spacing w:before="0" w:after="120"/>
        <w:ind w:left="426" w:hanging="426"/>
        <w:contextualSpacing w:val="0"/>
        <w:jc w:val="both"/>
        <w:rPr>
          <w:rFonts w:asciiTheme="minorHAnsi" w:hAnsiTheme="minorHAnsi"/>
          <w:color w:val="auto"/>
          <w:sz w:val="22"/>
          <w:szCs w:val="22"/>
        </w:rPr>
      </w:pPr>
      <w:r w:rsidRPr="00832457">
        <w:rPr>
          <w:rFonts w:asciiTheme="minorHAnsi" w:hAnsiTheme="minorHAnsi"/>
          <w:color w:val="auto"/>
          <w:sz w:val="22"/>
          <w:szCs w:val="22"/>
        </w:rPr>
        <w:t>NOPTA</w:t>
      </w:r>
      <w:r w:rsidR="00B12AD8" w:rsidRPr="00832457">
        <w:rPr>
          <w:rFonts w:asciiTheme="minorHAnsi" w:hAnsiTheme="minorHAnsi"/>
          <w:color w:val="auto"/>
          <w:sz w:val="22"/>
          <w:szCs w:val="22"/>
        </w:rPr>
        <w:t>’s</w:t>
      </w:r>
      <w:r w:rsidRPr="00832457">
        <w:rPr>
          <w:rFonts w:asciiTheme="minorHAnsi" w:hAnsiTheme="minorHAnsi"/>
          <w:color w:val="auto"/>
          <w:sz w:val="22"/>
          <w:szCs w:val="22"/>
        </w:rPr>
        <w:t xml:space="preserve"> risk</w:t>
      </w:r>
      <w:r w:rsidR="00B12AD8" w:rsidRPr="00832457">
        <w:rPr>
          <w:rFonts w:asciiTheme="minorHAnsi" w:hAnsiTheme="minorHAnsi"/>
          <w:color w:val="auto"/>
          <w:sz w:val="22"/>
          <w:szCs w:val="22"/>
        </w:rPr>
        <w:t xml:space="preserve"> </w:t>
      </w:r>
      <w:r w:rsidR="00B45EA7">
        <w:rPr>
          <w:rFonts w:asciiTheme="minorHAnsi" w:hAnsiTheme="minorHAnsi"/>
          <w:color w:val="auto"/>
          <w:sz w:val="22"/>
          <w:szCs w:val="22"/>
        </w:rPr>
        <w:t>register</w:t>
      </w:r>
      <w:r w:rsidRPr="00832457">
        <w:rPr>
          <w:rFonts w:asciiTheme="minorHAnsi" w:hAnsiTheme="minorHAnsi"/>
          <w:color w:val="auto"/>
          <w:sz w:val="22"/>
          <w:szCs w:val="22"/>
        </w:rPr>
        <w:t xml:space="preserve"> was </w:t>
      </w:r>
      <w:r w:rsidR="00CE432D">
        <w:rPr>
          <w:rFonts w:asciiTheme="minorHAnsi" w:hAnsiTheme="minorHAnsi"/>
          <w:color w:val="auto"/>
          <w:sz w:val="22"/>
          <w:szCs w:val="22"/>
        </w:rPr>
        <w:t>updat</w:t>
      </w:r>
      <w:r w:rsidR="00CE432D" w:rsidRPr="00832457">
        <w:rPr>
          <w:rFonts w:asciiTheme="minorHAnsi" w:hAnsiTheme="minorHAnsi"/>
          <w:color w:val="auto"/>
          <w:sz w:val="22"/>
          <w:szCs w:val="22"/>
        </w:rPr>
        <w:t xml:space="preserve">ed </w:t>
      </w:r>
      <w:r w:rsidR="00B12AD8" w:rsidRPr="00832457">
        <w:rPr>
          <w:rFonts w:asciiTheme="minorHAnsi" w:hAnsiTheme="minorHAnsi"/>
          <w:color w:val="auto"/>
          <w:sz w:val="22"/>
          <w:szCs w:val="22"/>
        </w:rPr>
        <w:t xml:space="preserve">and endorsed by the NOPTA senior management </w:t>
      </w:r>
      <w:r w:rsidR="00DD7463" w:rsidRPr="00832457">
        <w:rPr>
          <w:rFonts w:asciiTheme="minorHAnsi" w:hAnsiTheme="minorHAnsi"/>
          <w:color w:val="auto"/>
          <w:sz w:val="22"/>
          <w:szCs w:val="22"/>
        </w:rPr>
        <w:t>team</w:t>
      </w:r>
      <w:r w:rsidR="00B12AD8" w:rsidRPr="00832457">
        <w:rPr>
          <w:rFonts w:asciiTheme="minorHAnsi" w:hAnsiTheme="minorHAnsi"/>
          <w:color w:val="auto"/>
          <w:sz w:val="22"/>
          <w:szCs w:val="22"/>
        </w:rPr>
        <w:t xml:space="preserve"> in February 2018.</w:t>
      </w:r>
      <w:r w:rsidRPr="00832457">
        <w:rPr>
          <w:rFonts w:asciiTheme="minorHAnsi" w:hAnsiTheme="minorHAnsi"/>
          <w:color w:val="auto"/>
          <w:sz w:val="22"/>
          <w:szCs w:val="22"/>
        </w:rPr>
        <w:t xml:space="preserve"> The risk </w:t>
      </w:r>
      <w:r w:rsidR="00B45EA7">
        <w:rPr>
          <w:rFonts w:asciiTheme="minorHAnsi" w:hAnsiTheme="minorHAnsi"/>
          <w:color w:val="auto"/>
          <w:sz w:val="22"/>
          <w:szCs w:val="22"/>
        </w:rPr>
        <w:t>register</w:t>
      </w:r>
      <w:r w:rsidRPr="00832457">
        <w:rPr>
          <w:rFonts w:asciiTheme="minorHAnsi" w:hAnsiTheme="minorHAnsi"/>
          <w:color w:val="auto"/>
          <w:sz w:val="22"/>
          <w:szCs w:val="22"/>
        </w:rPr>
        <w:t xml:space="preserve"> is a live document, reviewed quarterly and </w:t>
      </w:r>
      <w:r w:rsidR="00CE432D">
        <w:rPr>
          <w:rFonts w:asciiTheme="minorHAnsi" w:hAnsiTheme="minorHAnsi"/>
          <w:color w:val="auto"/>
          <w:sz w:val="22"/>
          <w:szCs w:val="22"/>
        </w:rPr>
        <w:t>amend</w:t>
      </w:r>
      <w:r w:rsidR="00CE432D" w:rsidRPr="00832457">
        <w:rPr>
          <w:rFonts w:asciiTheme="minorHAnsi" w:hAnsiTheme="minorHAnsi"/>
          <w:color w:val="auto"/>
          <w:sz w:val="22"/>
          <w:szCs w:val="22"/>
        </w:rPr>
        <w:t xml:space="preserve">ed </w:t>
      </w:r>
      <w:r w:rsidRPr="00832457">
        <w:rPr>
          <w:rFonts w:asciiTheme="minorHAnsi" w:hAnsiTheme="minorHAnsi"/>
          <w:color w:val="auto"/>
          <w:sz w:val="22"/>
          <w:szCs w:val="22"/>
        </w:rPr>
        <w:t xml:space="preserve">when new risks or changes to existing risks are identified. </w:t>
      </w:r>
    </w:p>
    <w:p w14:paraId="1CBBAB29" w14:textId="77777777" w:rsidR="00B60A2D" w:rsidRPr="00832457" w:rsidRDefault="001E0BFA" w:rsidP="00B138B1">
      <w:pPr>
        <w:pStyle w:val="ListParagraph"/>
        <w:numPr>
          <w:ilvl w:val="0"/>
          <w:numId w:val="2"/>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NOPTA’s</w:t>
      </w:r>
      <w:r w:rsidRPr="00832457">
        <w:rPr>
          <w:rFonts w:asciiTheme="minorHAnsi" w:hAnsiTheme="minorHAnsi"/>
          <w:color w:val="auto"/>
          <w:sz w:val="22"/>
          <w:szCs w:val="22"/>
        </w:rPr>
        <w:t xml:space="preserve"> </w:t>
      </w:r>
      <w:r w:rsidR="00B60A2D" w:rsidRPr="00832457">
        <w:rPr>
          <w:rFonts w:asciiTheme="minorHAnsi" w:hAnsiTheme="minorHAnsi"/>
          <w:color w:val="auto"/>
          <w:sz w:val="22"/>
          <w:szCs w:val="22"/>
        </w:rPr>
        <w:t xml:space="preserve">approach to compliance and enforcement is published on </w:t>
      </w:r>
      <w:r w:rsidR="00CE432D">
        <w:rPr>
          <w:rFonts w:asciiTheme="minorHAnsi" w:hAnsiTheme="minorHAnsi"/>
          <w:color w:val="auto"/>
          <w:sz w:val="22"/>
          <w:szCs w:val="22"/>
        </w:rPr>
        <w:t>its</w:t>
      </w:r>
      <w:r w:rsidR="00B60A2D" w:rsidRPr="00832457">
        <w:rPr>
          <w:rFonts w:asciiTheme="minorHAnsi" w:hAnsiTheme="minorHAnsi"/>
          <w:color w:val="auto"/>
          <w:sz w:val="22"/>
          <w:szCs w:val="22"/>
        </w:rPr>
        <w:t xml:space="preserve"> website. The program uses a graduated, risk based approach which recognises the nature and seriousness of the issue at hand. </w:t>
      </w:r>
    </w:p>
    <w:p w14:paraId="66A1F38C" w14:textId="77777777" w:rsidR="00C568F0" w:rsidRPr="00C568F0" w:rsidRDefault="001E0BFA" w:rsidP="00B138B1">
      <w:pPr>
        <w:pStyle w:val="ListParagraph"/>
        <w:numPr>
          <w:ilvl w:val="0"/>
          <w:numId w:val="2"/>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 xml:space="preserve">NOPTA </w:t>
      </w:r>
      <w:r w:rsidR="00695B9B">
        <w:rPr>
          <w:rFonts w:asciiTheme="minorHAnsi" w:hAnsiTheme="minorHAnsi"/>
          <w:color w:val="auto"/>
          <w:sz w:val="22"/>
          <w:szCs w:val="22"/>
        </w:rPr>
        <w:t>c</w:t>
      </w:r>
      <w:r w:rsidR="00C568F0" w:rsidRPr="00C568F0">
        <w:rPr>
          <w:rFonts w:asciiTheme="minorHAnsi" w:hAnsiTheme="minorHAnsi"/>
          <w:color w:val="auto"/>
          <w:sz w:val="22"/>
          <w:szCs w:val="22"/>
        </w:rPr>
        <w:t xml:space="preserve">ommenced the transition of </w:t>
      </w:r>
      <w:r>
        <w:rPr>
          <w:rFonts w:asciiTheme="minorHAnsi" w:hAnsiTheme="minorHAnsi"/>
          <w:color w:val="auto"/>
          <w:sz w:val="22"/>
          <w:szCs w:val="22"/>
        </w:rPr>
        <w:t>its</w:t>
      </w:r>
      <w:r w:rsidRPr="00C568F0">
        <w:rPr>
          <w:rFonts w:asciiTheme="minorHAnsi" w:hAnsiTheme="minorHAnsi"/>
          <w:color w:val="auto"/>
          <w:sz w:val="22"/>
          <w:szCs w:val="22"/>
        </w:rPr>
        <w:t xml:space="preserve"> </w:t>
      </w:r>
      <w:r w:rsidR="00C568F0" w:rsidRPr="00C568F0">
        <w:rPr>
          <w:rFonts w:asciiTheme="minorHAnsi" w:hAnsiTheme="minorHAnsi"/>
          <w:color w:val="auto"/>
          <w:sz w:val="22"/>
          <w:szCs w:val="22"/>
        </w:rPr>
        <w:t xml:space="preserve">ICT systems to a cost-effective </w:t>
      </w:r>
      <w:r w:rsidR="00695B9B">
        <w:rPr>
          <w:rFonts w:asciiTheme="minorHAnsi" w:hAnsiTheme="minorHAnsi"/>
          <w:color w:val="auto"/>
          <w:sz w:val="22"/>
          <w:szCs w:val="22"/>
        </w:rPr>
        <w:t>c</w:t>
      </w:r>
      <w:r w:rsidR="00C568F0" w:rsidRPr="00C568F0">
        <w:rPr>
          <w:rFonts w:asciiTheme="minorHAnsi" w:hAnsiTheme="minorHAnsi"/>
          <w:color w:val="auto"/>
          <w:sz w:val="22"/>
          <w:szCs w:val="22"/>
        </w:rPr>
        <w:t>loud</w:t>
      </w:r>
      <w:r w:rsidR="00B17DDC">
        <w:rPr>
          <w:rFonts w:asciiTheme="minorHAnsi" w:hAnsiTheme="minorHAnsi"/>
          <w:color w:val="auto"/>
          <w:sz w:val="22"/>
          <w:szCs w:val="22"/>
        </w:rPr>
        <w:t>-</w:t>
      </w:r>
      <w:r w:rsidR="00C568F0" w:rsidRPr="00C568F0">
        <w:rPr>
          <w:rFonts w:asciiTheme="minorHAnsi" w:hAnsiTheme="minorHAnsi"/>
          <w:color w:val="auto"/>
          <w:sz w:val="22"/>
          <w:szCs w:val="22"/>
        </w:rPr>
        <w:t xml:space="preserve">based environment to meet ongoing business requirements and maintain secure, reliable and responsible information technology systems. </w:t>
      </w:r>
    </w:p>
    <w:p w14:paraId="6E092FC7" w14:textId="77777777" w:rsidR="00C25EB4" w:rsidRPr="001744D0" w:rsidRDefault="001744D0" w:rsidP="00B138B1">
      <w:pPr>
        <w:pStyle w:val="ListParagraph"/>
        <w:numPr>
          <w:ilvl w:val="0"/>
          <w:numId w:val="2"/>
        </w:numPr>
        <w:spacing w:before="0" w:after="0"/>
        <w:ind w:left="426" w:hanging="426"/>
        <w:contextualSpacing w:val="0"/>
        <w:jc w:val="both"/>
        <w:rPr>
          <w:rFonts w:asciiTheme="minorHAnsi" w:hAnsiTheme="minorHAnsi"/>
          <w:color w:val="auto"/>
          <w:sz w:val="22"/>
          <w:szCs w:val="22"/>
        </w:rPr>
      </w:pPr>
      <w:r w:rsidRPr="001744D0">
        <w:rPr>
          <w:rFonts w:asciiTheme="minorHAnsi" w:hAnsiTheme="minorHAnsi"/>
          <w:color w:val="auto"/>
          <w:sz w:val="22"/>
          <w:szCs w:val="22"/>
        </w:rPr>
        <w:t xml:space="preserve">On 29 June 2018 </w:t>
      </w:r>
      <w:r w:rsidR="00B17DDC">
        <w:rPr>
          <w:rFonts w:asciiTheme="minorHAnsi" w:hAnsiTheme="minorHAnsi"/>
          <w:color w:val="auto"/>
          <w:sz w:val="22"/>
          <w:szCs w:val="22"/>
        </w:rPr>
        <w:t xml:space="preserve">NOPTA </w:t>
      </w:r>
      <w:r w:rsidRPr="001744D0">
        <w:rPr>
          <w:rFonts w:asciiTheme="minorHAnsi" w:hAnsiTheme="minorHAnsi"/>
          <w:color w:val="auto"/>
          <w:sz w:val="22"/>
          <w:szCs w:val="22"/>
        </w:rPr>
        <w:t>published a Statement of Intent in response to the Minister’s Statement of</w:t>
      </w:r>
      <w:r>
        <w:rPr>
          <w:rFonts w:asciiTheme="minorHAnsi" w:hAnsiTheme="minorHAnsi"/>
          <w:color w:val="auto"/>
          <w:sz w:val="22"/>
          <w:szCs w:val="22"/>
        </w:rPr>
        <w:t xml:space="preserve"> </w:t>
      </w:r>
      <w:r w:rsidRPr="001744D0">
        <w:rPr>
          <w:rFonts w:asciiTheme="minorHAnsi" w:hAnsiTheme="minorHAnsi"/>
          <w:color w:val="auto"/>
          <w:sz w:val="22"/>
          <w:szCs w:val="22"/>
        </w:rPr>
        <w:t xml:space="preserve">Expectations. </w:t>
      </w:r>
      <w:r w:rsidR="009F31C1" w:rsidRPr="001744D0">
        <w:rPr>
          <w:rFonts w:asciiTheme="minorHAnsi" w:hAnsiTheme="minorHAnsi"/>
          <w:color w:val="auto"/>
          <w:sz w:val="22"/>
          <w:szCs w:val="22"/>
        </w:rPr>
        <w:t xml:space="preserve">Both documents are published </w:t>
      </w:r>
      <w:r w:rsidR="004A6C7D" w:rsidRPr="001744D0">
        <w:rPr>
          <w:rFonts w:asciiTheme="minorHAnsi" w:hAnsiTheme="minorHAnsi"/>
          <w:color w:val="auto"/>
          <w:sz w:val="22"/>
          <w:szCs w:val="22"/>
        </w:rPr>
        <w:t xml:space="preserve">on </w:t>
      </w:r>
      <w:r w:rsidR="00CE432D">
        <w:rPr>
          <w:rFonts w:asciiTheme="minorHAnsi" w:hAnsiTheme="minorHAnsi"/>
          <w:color w:val="auto"/>
          <w:sz w:val="22"/>
          <w:szCs w:val="22"/>
        </w:rPr>
        <w:t>its</w:t>
      </w:r>
      <w:r w:rsidR="00CE432D" w:rsidRPr="001744D0">
        <w:rPr>
          <w:rFonts w:asciiTheme="minorHAnsi" w:hAnsiTheme="minorHAnsi"/>
          <w:color w:val="auto"/>
          <w:sz w:val="22"/>
          <w:szCs w:val="22"/>
        </w:rPr>
        <w:t xml:space="preserve"> </w:t>
      </w:r>
      <w:r w:rsidR="004A6C7D" w:rsidRPr="001744D0">
        <w:rPr>
          <w:rFonts w:asciiTheme="minorHAnsi" w:hAnsiTheme="minorHAnsi"/>
          <w:color w:val="auto"/>
          <w:sz w:val="22"/>
          <w:szCs w:val="22"/>
        </w:rPr>
        <w:t>website</w:t>
      </w:r>
      <w:r>
        <w:rPr>
          <w:rStyle w:val="FootnoteReference"/>
          <w:rFonts w:asciiTheme="minorHAnsi" w:hAnsiTheme="minorHAnsi"/>
          <w:color w:val="auto"/>
          <w:sz w:val="22"/>
          <w:szCs w:val="22"/>
        </w:rPr>
        <w:footnoteReference w:id="6"/>
      </w:r>
      <w:r w:rsidR="004A6C7D" w:rsidRPr="001744D0">
        <w:rPr>
          <w:rFonts w:asciiTheme="minorHAnsi" w:hAnsiTheme="minorHAnsi"/>
          <w:color w:val="auto"/>
          <w:sz w:val="22"/>
          <w:szCs w:val="22"/>
        </w:rPr>
        <w:t xml:space="preserve">. </w:t>
      </w:r>
    </w:p>
    <w:p w14:paraId="717AD10A" w14:textId="77777777" w:rsidR="006F6665" w:rsidRPr="00C25EB4" w:rsidRDefault="006F6665" w:rsidP="004849AE">
      <w:pPr>
        <w:pStyle w:val="ListParagraph"/>
        <w:spacing w:before="0" w:after="0"/>
        <w:ind w:left="720"/>
        <w:contextualSpacing w:val="0"/>
        <w:rPr>
          <w:rFonts w:eastAsiaTheme="majorEastAsia" w:cstheme="majorBidi"/>
          <w:b/>
          <w:color w:val="2E74B5" w:themeColor="accent1" w:themeShade="BF"/>
        </w:rPr>
      </w:pPr>
      <w:bookmarkStart w:id="39" w:name="_Toc497215480"/>
    </w:p>
    <w:p w14:paraId="0FB24E45" w14:textId="77777777" w:rsidR="00D15C43" w:rsidRDefault="00D15C43">
      <w:pPr>
        <w:rPr>
          <w:rFonts w:eastAsiaTheme="majorEastAsia" w:cstheme="majorBidi"/>
          <w:b/>
          <w:color w:val="2E74B5" w:themeColor="accent1" w:themeShade="BF"/>
        </w:rPr>
      </w:pPr>
      <w:r>
        <w:rPr>
          <w:b/>
        </w:rPr>
        <w:br w:type="page"/>
      </w:r>
    </w:p>
    <w:p w14:paraId="46715441" w14:textId="77777777" w:rsidR="006F6665" w:rsidRPr="00D15C43" w:rsidRDefault="006F6665" w:rsidP="00B138B1">
      <w:pPr>
        <w:pStyle w:val="Heading2"/>
        <w:spacing w:before="0" w:line="240" w:lineRule="auto"/>
        <w:jc w:val="both"/>
        <w:rPr>
          <w:rFonts w:asciiTheme="minorHAnsi" w:hAnsiTheme="minorHAnsi"/>
          <w:b/>
        </w:rPr>
      </w:pPr>
      <w:bookmarkStart w:id="40" w:name="_Toc528835743"/>
      <w:r w:rsidRPr="00D15C43">
        <w:rPr>
          <w:rFonts w:asciiTheme="minorHAnsi" w:hAnsiTheme="minorHAnsi"/>
          <w:b/>
        </w:rPr>
        <w:lastRenderedPageBreak/>
        <w:t>KPI 4: Compliance and monitoring approaches are streamlined and coordinated</w:t>
      </w:r>
      <w:bookmarkEnd w:id="39"/>
      <w:bookmarkEnd w:id="40"/>
      <w:r w:rsidRPr="00D15C43">
        <w:rPr>
          <w:rFonts w:asciiTheme="minorHAnsi" w:hAnsiTheme="minorHAnsi"/>
          <w:b/>
        </w:rPr>
        <w:t xml:space="preserve"> </w:t>
      </w:r>
    </w:p>
    <w:p w14:paraId="04BA1B62" w14:textId="77777777" w:rsidR="00772396" w:rsidRDefault="00772396" w:rsidP="003738AE">
      <w:bookmarkStart w:id="41" w:name="_Toc497215481"/>
    </w:p>
    <w:p w14:paraId="72B922F0" w14:textId="77777777" w:rsidR="006F6665" w:rsidRPr="00772396" w:rsidRDefault="006F6665" w:rsidP="00B138B1">
      <w:pPr>
        <w:pStyle w:val="Heading3"/>
        <w:spacing w:before="0" w:after="0"/>
        <w:jc w:val="both"/>
        <w:rPr>
          <w:rFonts w:asciiTheme="minorHAnsi" w:hAnsiTheme="minorHAnsi"/>
          <w:sz w:val="22"/>
          <w:szCs w:val="22"/>
        </w:rPr>
      </w:pPr>
      <w:bookmarkStart w:id="42" w:name="_Toc528835744"/>
      <w:r w:rsidRPr="00772396">
        <w:rPr>
          <w:rFonts w:asciiTheme="minorHAnsi" w:hAnsiTheme="minorHAnsi"/>
          <w:sz w:val="22"/>
          <w:szCs w:val="22"/>
        </w:rPr>
        <w:t>KPI Expectations</w:t>
      </w:r>
      <w:bookmarkEnd w:id="41"/>
      <w:bookmarkEnd w:id="42"/>
    </w:p>
    <w:p w14:paraId="437E5510" w14:textId="77777777" w:rsidR="006F6665" w:rsidRPr="00772396" w:rsidRDefault="006F6665" w:rsidP="00B138B1">
      <w:pPr>
        <w:spacing w:after="0" w:line="240" w:lineRule="auto"/>
        <w:jc w:val="both"/>
      </w:pPr>
      <w:r w:rsidRPr="00772396">
        <w:t>Information is only requested from regulated entities where it is required to achieve the regulatory objectives. Monitoring and inspection approaches are risk based and consider circumstances and operational needs of the regulated entity.</w:t>
      </w:r>
    </w:p>
    <w:p w14:paraId="609214A9" w14:textId="77777777" w:rsidR="00772396" w:rsidRDefault="00772396" w:rsidP="003738AE">
      <w:bookmarkStart w:id="43" w:name="_Toc497215482"/>
    </w:p>
    <w:p w14:paraId="5F2F8D08" w14:textId="77777777" w:rsidR="006F6665" w:rsidRPr="00772396" w:rsidRDefault="006F6665" w:rsidP="00B138B1">
      <w:pPr>
        <w:pStyle w:val="Heading3"/>
        <w:spacing w:before="0" w:after="0"/>
        <w:jc w:val="both"/>
        <w:rPr>
          <w:rFonts w:asciiTheme="minorHAnsi" w:hAnsiTheme="minorHAnsi"/>
          <w:sz w:val="22"/>
          <w:szCs w:val="22"/>
        </w:rPr>
      </w:pPr>
      <w:bookmarkStart w:id="44" w:name="_Toc528835745"/>
      <w:r w:rsidRPr="00772396">
        <w:rPr>
          <w:rFonts w:asciiTheme="minorHAnsi" w:hAnsiTheme="minorHAnsi"/>
          <w:sz w:val="22"/>
          <w:szCs w:val="22"/>
        </w:rPr>
        <w:t>NOPTA’s Approach</w:t>
      </w:r>
      <w:bookmarkEnd w:id="43"/>
      <w:bookmarkEnd w:id="44"/>
      <w:r w:rsidRPr="00772396">
        <w:rPr>
          <w:rFonts w:asciiTheme="minorHAnsi" w:hAnsiTheme="minorHAnsi"/>
          <w:sz w:val="22"/>
          <w:szCs w:val="22"/>
        </w:rPr>
        <w:t xml:space="preserve"> </w:t>
      </w:r>
    </w:p>
    <w:p w14:paraId="3E424C7D" w14:textId="77777777" w:rsidR="00F22EB4" w:rsidRPr="00F22EB4" w:rsidRDefault="00B17DDC" w:rsidP="00B138B1">
      <w:pPr>
        <w:spacing w:after="120"/>
        <w:jc w:val="both"/>
      </w:pPr>
      <w:bookmarkStart w:id="45" w:name="_Toc497215483"/>
      <w:r>
        <w:t>NOPTA</w:t>
      </w:r>
      <w:r w:rsidRPr="00F22EB4">
        <w:t xml:space="preserve"> </w:t>
      </w:r>
      <w:r w:rsidR="00F22EB4" w:rsidRPr="00F22EB4">
        <w:t>promote</w:t>
      </w:r>
      <w:r>
        <w:t>s</w:t>
      </w:r>
      <w:r w:rsidR="00F22EB4" w:rsidRPr="00F22EB4">
        <w:t xml:space="preserve"> early engagement with stakeholders on potential non-compliance issues as a means to maximise the range of options that may be available to address issues. </w:t>
      </w:r>
      <w:r>
        <w:t>NOPTA</w:t>
      </w:r>
      <w:r w:rsidRPr="00F22EB4">
        <w:t xml:space="preserve"> </w:t>
      </w:r>
      <w:r w:rsidR="00F22EB4" w:rsidRPr="00F22EB4">
        <w:t>ha</w:t>
      </w:r>
      <w:r>
        <w:t>s</w:t>
      </w:r>
      <w:r w:rsidR="00F22EB4" w:rsidRPr="00F22EB4">
        <w:t xml:space="preserve"> </w:t>
      </w:r>
      <w:r w:rsidR="00F22EB4">
        <w:rPr>
          <w:rFonts w:cs="Calibri"/>
        </w:rPr>
        <w:t xml:space="preserve">established internal </w:t>
      </w:r>
      <w:r w:rsidR="00F22EB4" w:rsidRPr="00F22EB4">
        <w:rPr>
          <w:rFonts w:cs="Calibri"/>
        </w:rPr>
        <w:t>information management systems, with a specific focus on compliance monitoring</w:t>
      </w:r>
      <w:r w:rsidR="00F22EB4">
        <w:rPr>
          <w:rFonts w:cs="Calibri"/>
        </w:rPr>
        <w:t xml:space="preserve">, which helps </w:t>
      </w:r>
      <w:r>
        <w:rPr>
          <w:rFonts w:cs="Calibri"/>
        </w:rPr>
        <w:t>to</w:t>
      </w:r>
      <w:r w:rsidR="00F22EB4">
        <w:t xml:space="preserve"> recognise when new information is required or </w:t>
      </w:r>
      <w:r>
        <w:t xml:space="preserve">whether </w:t>
      </w:r>
      <w:r w:rsidR="00F22EB4">
        <w:t>the information is already held by NOPTA.</w:t>
      </w:r>
    </w:p>
    <w:p w14:paraId="107D366C" w14:textId="77777777" w:rsidR="006F6665" w:rsidRPr="00B138B1" w:rsidRDefault="006F6665" w:rsidP="00B138B1">
      <w:pPr>
        <w:jc w:val="both"/>
        <w:rPr>
          <w:b/>
        </w:rPr>
      </w:pPr>
      <w:r w:rsidRPr="00B138B1">
        <w:rPr>
          <w:b/>
        </w:rPr>
        <w:t>Results</w:t>
      </w:r>
      <w:bookmarkEnd w:id="45"/>
      <w:r w:rsidR="002C3F5D" w:rsidRPr="00B138B1">
        <w:rPr>
          <w:b/>
        </w:rPr>
        <w:t xml:space="preserve">: </w:t>
      </w:r>
      <w:r w:rsidR="002C3F5D" w:rsidRPr="00B138B1">
        <w:rPr>
          <w:b/>
        </w:rPr>
        <w:tab/>
      </w:r>
      <w:r w:rsidR="002C3F5D" w:rsidRPr="00B138B1">
        <w:rPr>
          <w:b/>
        </w:rPr>
        <w:fldChar w:fldCharType="begin">
          <w:ffData>
            <w:name w:val="Check1"/>
            <w:enabled/>
            <w:calcOnExit w:val="0"/>
            <w:checkBox>
              <w:sizeAuto/>
              <w:default w:val="1"/>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Met</w:t>
      </w:r>
      <w:r w:rsidR="002C3F5D" w:rsidRPr="00B138B1">
        <w:rPr>
          <w:b/>
        </w:rPr>
        <w:tab/>
      </w:r>
      <w:r w:rsidR="002C3F5D" w:rsidRPr="00B138B1">
        <w:rPr>
          <w:b/>
        </w:rPr>
        <w:tab/>
      </w:r>
      <w:r w:rsidR="002C3F5D" w:rsidRPr="00B138B1">
        <w:rPr>
          <w:b/>
        </w:rPr>
        <w:fldChar w:fldCharType="begin">
          <w:ffData>
            <w:name w:val="Check2"/>
            <w:enabled/>
            <w:calcOnExit w:val="0"/>
            <w:checkBox>
              <w:sizeAuto/>
              <w:default w:val="0"/>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Partially Met</w:t>
      </w:r>
      <w:r w:rsidR="002C3F5D" w:rsidRPr="00B138B1">
        <w:rPr>
          <w:b/>
        </w:rPr>
        <w:tab/>
      </w:r>
      <w:r w:rsidR="002C3F5D" w:rsidRPr="00B138B1">
        <w:rPr>
          <w:b/>
        </w:rPr>
        <w:fldChar w:fldCharType="begin">
          <w:ffData>
            <w:name w:val="Check3"/>
            <w:enabled/>
            <w:calcOnExit w:val="0"/>
            <w:checkBox>
              <w:sizeAuto/>
              <w:default w:val="0"/>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Caption w:val="Highlighted box"/>
      </w:tblPr>
      <w:tblGrid>
        <w:gridCol w:w="9016"/>
      </w:tblGrid>
      <w:tr w:rsidR="006F536E" w14:paraId="6D370294" w14:textId="77777777" w:rsidTr="003738AE">
        <w:trPr>
          <w:tblHeader/>
        </w:trPr>
        <w:tc>
          <w:tcPr>
            <w:tcW w:w="9016" w:type="dxa"/>
            <w:shd w:val="clear" w:color="auto" w:fill="F2F2F2" w:themeFill="background1" w:themeFillShade="F2"/>
          </w:tcPr>
          <w:p w14:paraId="2E9D8D00" w14:textId="77777777" w:rsidR="006F536E" w:rsidRPr="006F536E" w:rsidRDefault="006F536E" w:rsidP="00B138B1">
            <w:pPr>
              <w:jc w:val="both"/>
              <w:rPr>
                <w:i/>
              </w:rPr>
            </w:pPr>
            <w:r w:rsidRPr="006F536E">
              <w:rPr>
                <w:i/>
              </w:rPr>
              <w:t xml:space="preserve">NOPTA assesses that it has met KPI 4. NOPTA’s compliance and monitoring approaches are continuously improving as a result of feedback, </w:t>
            </w:r>
            <w:r w:rsidR="000D11D9">
              <w:rPr>
                <w:i/>
              </w:rPr>
              <w:t xml:space="preserve">broader </w:t>
            </w:r>
            <w:r w:rsidRPr="006F536E">
              <w:rPr>
                <w:i/>
              </w:rPr>
              <w:t xml:space="preserve">government initiatives and </w:t>
            </w:r>
            <w:r>
              <w:rPr>
                <w:i/>
              </w:rPr>
              <w:t>associated</w:t>
            </w:r>
            <w:r w:rsidRPr="006F536E">
              <w:rPr>
                <w:i/>
              </w:rPr>
              <w:t xml:space="preserve"> review</w:t>
            </w:r>
            <w:r>
              <w:rPr>
                <w:i/>
              </w:rPr>
              <w:t xml:space="preserve"> processes</w:t>
            </w:r>
            <w:r w:rsidRPr="006F536E">
              <w:rPr>
                <w:i/>
              </w:rPr>
              <w:t xml:space="preserve">. NOPTA has </w:t>
            </w:r>
            <w:r>
              <w:rPr>
                <w:i/>
              </w:rPr>
              <w:t>continued to strengthen its</w:t>
            </w:r>
            <w:r w:rsidRPr="006F536E">
              <w:rPr>
                <w:i/>
              </w:rPr>
              <w:t xml:space="preserve"> collaborative and consultative relationships with its stakeholders </w:t>
            </w:r>
            <w:r>
              <w:rPr>
                <w:i/>
              </w:rPr>
              <w:t xml:space="preserve">which helps support a </w:t>
            </w:r>
            <w:r w:rsidRPr="006F536E">
              <w:rPr>
                <w:i/>
              </w:rPr>
              <w:t>shared understanding of how compliance underpins NOPTA’s regulatory, advice and resource management functions.</w:t>
            </w:r>
          </w:p>
        </w:tc>
      </w:tr>
    </w:tbl>
    <w:p w14:paraId="726ACFD7" w14:textId="77777777" w:rsidR="006F536E" w:rsidRPr="00772396" w:rsidRDefault="006F536E" w:rsidP="00772396">
      <w:pPr>
        <w:spacing w:after="0" w:line="240" w:lineRule="auto"/>
      </w:pPr>
    </w:p>
    <w:p w14:paraId="06B4507D" w14:textId="77777777" w:rsidR="00F24543" w:rsidRPr="00E52AD1" w:rsidRDefault="00F24543" w:rsidP="00B138B1">
      <w:pPr>
        <w:pStyle w:val="ListParagraph"/>
        <w:numPr>
          <w:ilvl w:val="0"/>
          <w:numId w:val="31"/>
        </w:numPr>
        <w:spacing w:before="0" w:after="120"/>
        <w:ind w:left="426" w:hanging="426"/>
        <w:contextualSpacing w:val="0"/>
        <w:jc w:val="both"/>
        <w:rPr>
          <w:rFonts w:asciiTheme="minorHAnsi" w:hAnsiTheme="minorHAnsi"/>
          <w:color w:val="auto"/>
          <w:sz w:val="22"/>
          <w:szCs w:val="22"/>
        </w:rPr>
      </w:pPr>
      <w:r w:rsidRPr="00E52AD1">
        <w:rPr>
          <w:rFonts w:asciiTheme="minorHAnsi" w:hAnsiTheme="minorHAnsi"/>
          <w:color w:val="auto"/>
          <w:sz w:val="22"/>
          <w:szCs w:val="22"/>
        </w:rPr>
        <w:t xml:space="preserve">NOPTA has </w:t>
      </w:r>
      <w:r w:rsidR="00BB2E69" w:rsidRPr="00E52AD1">
        <w:rPr>
          <w:rFonts w:asciiTheme="minorHAnsi" w:hAnsiTheme="minorHAnsi"/>
          <w:color w:val="auto"/>
          <w:sz w:val="22"/>
          <w:szCs w:val="22"/>
        </w:rPr>
        <w:t xml:space="preserve">well </w:t>
      </w:r>
      <w:r w:rsidRPr="00E52AD1">
        <w:rPr>
          <w:rFonts w:asciiTheme="minorHAnsi" w:hAnsiTheme="minorHAnsi"/>
          <w:color w:val="auto"/>
          <w:sz w:val="22"/>
          <w:szCs w:val="22"/>
        </w:rPr>
        <w:t>established internal process</w:t>
      </w:r>
      <w:r w:rsidR="00BB2E69" w:rsidRPr="00E52AD1">
        <w:rPr>
          <w:rFonts w:asciiTheme="minorHAnsi" w:hAnsiTheme="minorHAnsi"/>
          <w:color w:val="auto"/>
          <w:sz w:val="22"/>
          <w:szCs w:val="22"/>
        </w:rPr>
        <w:t>es</w:t>
      </w:r>
      <w:r w:rsidRPr="00E52AD1">
        <w:rPr>
          <w:rFonts w:asciiTheme="minorHAnsi" w:hAnsiTheme="minorHAnsi"/>
          <w:color w:val="auto"/>
          <w:sz w:val="22"/>
          <w:szCs w:val="22"/>
        </w:rPr>
        <w:t xml:space="preserve"> in place to ensure that requests for information are clear, targeted and coordinated across the organisation to minimise burden</w:t>
      </w:r>
      <w:r w:rsidR="00EA5865">
        <w:rPr>
          <w:rFonts w:asciiTheme="minorHAnsi" w:hAnsiTheme="minorHAnsi"/>
          <w:color w:val="auto"/>
          <w:sz w:val="22"/>
          <w:szCs w:val="22"/>
        </w:rPr>
        <w:t xml:space="preserve"> on stakeholders</w:t>
      </w:r>
      <w:r w:rsidRPr="00E52AD1">
        <w:rPr>
          <w:rFonts w:asciiTheme="minorHAnsi" w:hAnsiTheme="minorHAnsi"/>
          <w:color w:val="auto"/>
          <w:sz w:val="22"/>
          <w:szCs w:val="22"/>
        </w:rPr>
        <w:t>.</w:t>
      </w:r>
      <w:r w:rsidR="006F66AA">
        <w:rPr>
          <w:rFonts w:asciiTheme="minorHAnsi" w:hAnsiTheme="minorHAnsi"/>
          <w:color w:val="auto"/>
          <w:sz w:val="22"/>
          <w:szCs w:val="22"/>
        </w:rPr>
        <w:t xml:space="preserve"> </w:t>
      </w:r>
      <w:r w:rsidR="00744E9C">
        <w:rPr>
          <w:rFonts w:asciiTheme="minorHAnsi" w:hAnsiTheme="minorHAnsi"/>
          <w:color w:val="auto"/>
          <w:sz w:val="22"/>
          <w:szCs w:val="22"/>
        </w:rPr>
        <w:t xml:space="preserve">Over the reporting period </w:t>
      </w:r>
      <w:r w:rsidR="00B17DDC">
        <w:rPr>
          <w:rFonts w:asciiTheme="minorHAnsi" w:hAnsiTheme="minorHAnsi"/>
          <w:color w:val="auto"/>
          <w:sz w:val="22"/>
          <w:szCs w:val="22"/>
        </w:rPr>
        <w:t>NOPTA</w:t>
      </w:r>
      <w:r w:rsidR="006F66AA">
        <w:rPr>
          <w:rFonts w:asciiTheme="minorHAnsi" w:hAnsiTheme="minorHAnsi"/>
          <w:color w:val="auto"/>
          <w:sz w:val="22"/>
          <w:szCs w:val="22"/>
        </w:rPr>
        <w:t xml:space="preserve"> regularly met with stakeholders to clarify issues where there </w:t>
      </w:r>
      <w:r w:rsidR="00744E9C">
        <w:rPr>
          <w:rFonts w:asciiTheme="minorHAnsi" w:hAnsiTheme="minorHAnsi"/>
          <w:color w:val="auto"/>
          <w:sz w:val="22"/>
          <w:szCs w:val="22"/>
        </w:rPr>
        <w:t>was</w:t>
      </w:r>
      <w:r w:rsidR="006F66AA">
        <w:rPr>
          <w:rFonts w:asciiTheme="minorHAnsi" w:hAnsiTheme="minorHAnsi"/>
          <w:color w:val="auto"/>
          <w:sz w:val="22"/>
          <w:szCs w:val="22"/>
        </w:rPr>
        <w:t xml:space="preserve"> uncertainty. </w:t>
      </w:r>
    </w:p>
    <w:p w14:paraId="4E8075BE" w14:textId="77777777" w:rsidR="001744D0" w:rsidRDefault="001744D0" w:rsidP="00B138B1">
      <w:pPr>
        <w:pStyle w:val="ListParagraph"/>
        <w:numPr>
          <w:ilvl w:val="0"/>
          <w:numId w:val="31"/>
        </w:numPr>
        <w:spacing w:before="0" w:after="120"/>
        <w:ind w:left="426" w:hanging="426"/>
        <w:contextualSpacing w:val="0"/>
        <w:jc w:val="both"/>
        <w:rPr>
          <w:rFonts w:asciiTheme="minorHAnsi" w:hAnsiTheme="minorHAnsi"/>
          <w:color w:val="auto"/>
          <w:sz w:val="22"/>
          <w:szCs w:val="22"/>
        </w:rPr>
      </w:pPr>
      <w:r w:rsidRPr="00E52AD1">
        <w:rPr>
          <w:rFonts w:asciiTheme="minorHAnsi" w:hAnsiTheme="minorHAnsi"/>
          <w:color w:val="auto"/>
          <w:sz w:val="22"/>
          <w:szCs w:val="22"/>
        </w:rPr>
        <w:t xml:space="preserve">In March 2018 </w:t>
      </w:r>
      <w:r w:rsidR="00B17DDC">
        <w:rPr>
          <w:rFonts w:asciiTheme="minorHAnsi" w:hAnsiTheme="minorHAnsi"/>
          <w:color w:val="auto"/>
          <w:sz w:val="22"/>
          <w:szCs w:val="22"/>
        </w:rPr>
        <w:t xml:space="preserve">NOPTA </w:t>
      </w:r>
      <w:r w:rsidRPr="00ED5BBF">
        <w:rPr>
          <w:rFonts w:asciiTheme="minorHAnsi" w:hAnsiTheme="minorHAnsi"/>
          <w:color w:val="auto"/>
          <w:sz w:val="22"/>
          <w:szCs w:val="22"/>
        </w:rPr>
        <w:t xml:space="preserve">provided an initial report </w:t>
      </w:r>
      <w:r w:rsidRPr="001744D0">
        <w:rPr>
          <w:rFonts w:asciiTheme="minorHAnsi" w:hAnsiTheme="minorHAnsi"/>
          <w:color w:val="auto"/>
          <w:sz w:val="22"/>
          <w:szCs w:val="22"/>
        </w:rPr>
        <w:t>to the Joint</w:t>
      </w:r>
      <w:r w:rsidRPr="00FA66AC">
        <w:rPr>
          <w:rFonts w:asciiTheme="minorHAnsi" w:hAnsiTheme="minorHAnsi"/>
          <w:color w:val="auto"/>
          <w:sz w:val="22"/>
          <w:szCs w:val="22"/>
        </w:rPr>
        <w:t xml:space="preserve"> Authority </w:t>
      </w:r>
      <w:r>
        <w:rPr>
          <w:rFonts w:asciiTheme="minorHAnsi" w:hAnsiTheme="minorHAnsi"/>
          <w:color w:val="auto"/>
          <w:sz w:val="22"/>
          <w:szCs w:val="22"/>
        </w:rPr>
        <w:t xml:space="preserve">on </w:t>
      </w:r>
      <w:r w:rsidR="00B17DDC">
        <w:rPr>
          <w:rFonts w:asciiTheme="minorHAnsi" w:hAnsiTheme="minorHAnsi"/>
          <w:color w:val="auto"/>
          <w:sz w:val="22"/>
          <w:szCs w:val="22"/>
        </w:rPr>
        <w:t>its</w:t>
      </w:r>
      <w:r w:rsidR="00B17DDC" w:rsidRPr="00E52AD1">
        <w:rPr>
          <w:rFonts w:asciiTheme="minorHAnsi" w:hAnsiTheme="minorHAnsi"/>
          <w:color w:val="auto"/>
          <w:sz w:val="22"/>
          <w:szCs w:val="22"/>
        </w:rPr>
        <w:t xml:space="preserve"> </w:t>
      </w:r>
      <w:r w:rsidRPr="00E52AD1">
        <w:rPr>
          <w:rFonts w:asciiTheme="minorHAnsi" w:hAnsiTheme="minorHAnsi"/>
          <w:color w:val="auto"/>
          <w:sz w:val="22"/>
          <w:szCs w:val="22"/>
        </w:rPr>
        <w:t>re</w:t>
      </w:r>
      <w:r w:rsidR="00ED5BBF">
        <w:rPr>
          <w:rFonts w:asciiTheme="minorHAnsi" w:hAnsiTheme="minorHAnsi"/>
          <w:color w:val="auto"/>
          <w:sz w:val="22"/>
          <w:szCs w:val="22"/>
        </w:rPr>
        <w:noBreakHyphen/>
      </w:r>
      <w:r w:rsidRPr="00E52AD1">
        <w:rPr>
          <w:rFonts w:asciiTheme="minorHAnsi" w:hAnsiTheme="minorHAnsi"/>
          <w:color w:val="auto"/>
          <w:sz w:val="22"/>
          <w:szCs w:val="22"/>
        </w:rPr>
        <w:t xml:space="preserve">evaluation of </w:t>
      </w:r>
      <w:r w:rsidR="001A53B0">
        <w:rPr>
          <w:rFonts w:asciiTheme="minorHAnsi" w:hAnsiTheme="minorHAnsi"/>
          <w:color w:val="auto"/>
          <w:sz w:val="22"/>
          <w:szCs w:val="22"/>
        </w:rPr>
        <w:t xml:space="preserve">the </w:t>
      </w:r>
      <w:r w:rsidRPr="00E52AD1">
        <w:rPr>
          <w:rFonts w:asciiTheme="minorHAnsi" w:hAnsiTheme="minorHAnsi"/>
          <w:color w:val="auto"/>
          <w:sz w:val="22"/>
          <w:szCs w:val="22"/>
        </w:rPr>
        <w:t>commercial viability of ten offshore petroleum retention leases in the North West Shelf</w:t>
      </w:r>
      <w:r>
        <w:rPr>
          <w:rFonts w:asciiTheme="minorHAnsi" w:hAnsiTheme="minorHAnsi"/>
          <w:color w:val="auto"/>
          <w:sz w:val="22"/>
          <w:szCs w:val="22"/>
        </w:rPr>
        <w:t xml:space="preserve"> area</w:t>
      </w:r>
      <w:r w:rsidRPr="00E52AD1">
        <w:rPr>
          <w:rFonts w:asciiTheme="minorHAnsi" w:hAnsiTheme="minorHAnsi"/>
          <w:color w:val="auto"/>
          <w:sz w:val="22"/>
          <w:szCs w:val="22"/>
        </w:rPr>
        <w:t xml:space="preserve">. As part of the process, titleholders were requested to provide submissions and were kept informed of developments as the review progressed. The results will contribute to the </w:t>
      </w:r>
      <w:r>
        <w:rPr>
          <w:rFonts w:asciiTheme="minorHAnsi" w:hAnsiTheme="minorHAnsi"/>
          <w:color w:val="auto"/>
          <w:sz w:val="22"/>
          <w:szCs w:val="22"/>
        </w:rPr>
        <w:t xml:space="preserve">informed </w:t>
      </w:r>
      <w:r w:rsidRPr="00E52AD1">
        <w:rPr>
          <w:rFonts w:asciiTheme="minorHAnsi" w:hAnsiTheme="minorHAnsi"/>
          <w:color w:val="auto"/>
          <w:sz w:val="22"/>
          <w:szCs w:val="22"/>
        </w:rPr>
        <w:t>decision making of the Joint Authority and responsible Commonwealth Minister</w:t>
      </w:r>
      <w:r w:rsidR="00D56F50">
        <w:rPr>
          <w:rFonts w:asciiTheme="minorHAnsi" w:hAnsiTheme="minorHAnsi"/>
          <w:color w:val="auto"/>
          <w:sz w:val="22"/>
          <w:szCs w:val="22"/>
        </w:rPr>
        <w:t xml:space="preserve"> on the optimal development of gas resources in the region</w:t>
      </w:r>
      <w:r w:rsidRPr="00E52AD1">
        <w:rPr>
          <w:rFonts w:asciiTheme="minorHAnsi" w:hAnsiTheme="minorHAnsi"/>
          <w:color w:val="auto"/>
          <w:sz w:val="22"/>
          <w:szCs w:val="22"/>
        </w:rPr>
        <w:t xml:space="preserve">. </w:t>
      </w:r>
    </w:p>
    <w:p w14:paraId="3131EBEA" w14:textId="77777777" w:rsidR="00CF65A3" w:rsidRPr="00E52AD1" w:rsidRDefault="00B17DDC" w:rsidP="00B138B1">
      <w:pPr>
        <w:pStyle w:val="ListParagraph"/>
        <w:numPr>
          <w:ilvl w:val="0"/>
          <w:numId w:val="31"/>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 xml:space="preserve">NOPTA </w:t>
      </w:r>
      <w:r w:rsidR="006F66AA">
        <w:rPr>
          <w:rFonts w:asciiTheme="minorHAnsi" w:hAnsiTheme="minorHAnsi"/>
          <w:color w:val="auto"/>
          <w:sz w:val="22"/>
          <w:szCs w:val="22"/>
        </w:rPr>
        <w:t>e</w:t>
      </w:r>
      <w:r w:rsidR="001744D0" w:rsidRPr="00B37841">
        <w:rPr>
          <w:rFonts w:asciiTheme="minorHAnsi" w:hAnsiTheme="minorHAnsi"/>
          <w:color w:val="auto"/>
          <w:sz w:val="22"/>
          <w:szCs w:val="22"/>
        </w:rPr>
        <w:t xml:space="preserve">stablished and improved the integration between </w:t>
      </w:r>
      <w:r>
        <w:rPr>
          <w:rFonts w:asciiTheme="minorHAnsi" w:hAnsiTheme="minorHAnsi"/>
          <w:color w:val="auto"/>
          <w:sz w:val="22"/>
          <w:szCs w:val="22"/>
        </w:rPr>
        <w:t>its</w:t>
      </w:r>
      <w:r w:rsidRPr="00B37841">
        <w:rPr>
          <w:rFonts w:asciiTheme="minorHAnsi" w:hAnsiTheme="minorHAnsi"/>
          <w:color w:val="auto"/>
          <w:sz w:val="22"/>
          <w:szCs w:val="22"/>
        </w:rPr>
        <w:t xml:space="preserve"> </w:t>
      </w:r>
      <w:r w:rsidR="001744D0" w:rsidRPr="00B37841">
        <w:rPr>
          <w:rFonts w:asciiTheme="minorHAnsi" w:hAnsiTheme="minorHAnsi"/>
          <w:color w:val="auto"/>
          <w:sz w:val="22"/>
          <w:szCs w:val="22"/>
        </w:rPr>
        <w:t>internal databases used to collect, aggregate, analyse and report data for improved monitoring of Australia’s offshore petroleum resources</w:t>
      </w:r>
      <w:r w:rsidR="00B37841" w:rsidRPr="00B37841">
        <w:rPr>
          <w:rFonts w:asciiTheme="minorHAnsi" w:hAnsiTheme="minorHAnsi"/>
          <w:color w:val="auto"/>
          <w:sz w:val="22"/>
          <w:szCs w:val="22"/>
        </w:rPr>
        <w:t>.</w:t>
      </w:r>
      <w:r w:rsidR="00B37841" w:rsidRPr="00047C19">
        <w:rPr>
          <w:rFonts w:asciiTheme="minorHAnsi" w:hAnsiTheme="minorHAnsi"/>
          <w:color w:val="auto"/>
          <w:sz w:val="22"/>
          <w:szCs w:val="22"/>
        </w:rPr>
        <w:t xml:space="preserve"> </w:t>
      </w:r>
      <w:r w:rsidR="00CF65A3" w:rsidRPr="00E52AD1">
        <w:rPr>
          <w:rFonts w:asciiTheme="minorHAnsi" w:hAnsiTheme="minorHAnsi"/>
          <w:color w:val="auto"/>
          <w:sz w:val="22"/>
          <w:szCs w:val="22"/>
        </w:rPr>
        <w:t>This has</w:t>
      </w:r>
      <w:r w:rsidR="00D56F50">
        <w:rPr>
          <w:rFonts w:asciiTheme="minorHAnsi" w:hAnsiTheme="minorHAnsi"/>
          <w:color w:val="auto"/>
          <w:sz w:val="22"/>
          <w:szCs w:val="22"/>
        </w:rPr>
        <w:t xml:space="preserve"> improved NOPTA’s efficiency in managing data submitted by industry.</w:t>
      </w:r>
      <w:r w:rsidR="00CF65A3" w:rsidRPr="00E52AD1">
        <w:rPr>
          <w:rFonts w:asciiTheme="minorHAnsi" w:hAnsiTheme="minorHAnsi"/>
          <w:color w:val="auto"/>
          <w:sz w:val="22"/>
          <w:szCs w:val="22"/>
        </w:rPr>
        <w:t xml:space="preserve"> </w:t>
      </w:r>
    </w:p>
    <w:p w14:paraId="63344D71" w14:textId="77777777" w:rsidR="001744D0" w:rsidRPr="00012F08" w:rsidRDefault="001A53B0" w:rsidP="00B138B1">
      <w:pPr>
        <w:pStyle w:val="ListParagraph"/>
        <w:numPr>
          <w:ilvl w:val="0"/>
          <w:numId w:val="31"/>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NOPTA e</w:t>
      </w:r>
      <w:r w:rsidRPr="00012F08">
        <w:rPr>
          <w:rFonts w:asciiTheme="minorHAnsi" w:hAnsiTheme="minorHAnsi"/>
          <w:color w:val="auto"/>
          <w:sz w:val="22"/>
          <w:szCs w:val="22"/>
        </w:rPr>
        <w:t xml:space="preserve">stablished </w:t>
      </w:r>
      <w:r w:rsidR="001744D0" w:rsidRPr="00012F08">
        <w:rPr>
          <w:rFonts w:asciiTheme="minorHAnsi" w:hAnsiTheme="minorHAnsi"/>
          <w:color w:val="auto"/>
          <w:sz w:val="22"/>
          <w:szCs w:val="22"/>
        </w:rPr>
        <w:t xml:space="preserve">an ‘annual field performance update’ with operators to discuss field performance, insights and planned activities. This facilitates communication and dialogue between NOPTA and </w:t>
      </w:r>
      <w:r w:rsidR="006F66AA">
        <w:rPr>
          <w:rFonts w:asciiTheme="minorHAnsi" w:hAnsiTheme="minorHAnsi"/>
          <w:color w:val="auto"/>
          <w:sz w:val="22"/>
          <w:szCs w:val="22"/>
        </w:rPr>
        <w:t>t</w:t>
      </w:r>
      <w:r w:rsidR="001744D0" w:rsidRPr="00012F08">
        <w:rPr>
          <w:rFonts w:asciiTheme="minorHAnsi" w:hAnsiTheme="minorHAnsi"/>
          <w:color w:val="auto"/>
          <w:sz w:val="22"/>
          <w:szCs w:val="22"/>
        </w:rPr>
        <w:t>itleholders and provides context to the information and data received during the year.   </w:t>
      </w:r>
    </w:p>
    <w:p w14:paraId="688BD54B" w14:textId="77777777" w:rsidR="003561AD" w:rsidRDefault="00B17DDC" w:rsidP="00B138B1">
      <w:pPr>
        <w:pStyle w:val="ListParagraph"/>
        <w:numPr>
          <w:ilvl w:val="0"/>
          <w:numId w:val="31"/>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NOPTA</w:t>
      </w:r>
      <w:r w:rsidRPr="00E52AD1">
        <w:rPr>
          <w:rFonts w:asciiTheme="minorHAnsi" w:hAnsiTheme="minorHAnsi"/>
          <w:color w:val="auto"/>
          <w:sz w:val="22"/>
          <w:szCs w:val="22"/>
        </w:rPr>
        <w:t xml:space="preserve"> </w:t>
      </w:r>
      <w:r w:rsidR="00CB63BC" w:rsidRPr="00E52AD1">
        <w:rPr>
          <w:rFonts w:asciiTheme="minorHAnsi" w:hAnsiTheme="minorHAnsi"/>
          <w:color w:val="auto"/>
          <w:sz w:val="22"/>
          <w:szCs w:val="22"/>
        </w:rPr>
        <w:t>c</w:t>
      </w:r>
      <w:r w:rsidR="00E545E0" w:rsidRPr="00E52AD1">
        <w:rPr>
          <w:rFonts w:asciiTheme="minorHAnsi" w:hAnsiTheme="minorHAnsi"/>
          <w:color w:val="auto"/>
          <w:sz w:val="22"/>
          <w:szCs w:val="22"/>
        </w:rPr>
        <w:t xml:space="preserve">ontinued to collaborate with Geoscience Australia </w:t>
      </w:r>
      <w:r w:rsidR="00BB2E69" w:rsidRPr="00E52AD1">
        <w:rPr>
          <w:rFonts w:asciiTheme="minorHAnsi" w:hAnsiTheme="minorHAnsi"/>
          <w:color w:val="auto"/>
          <w:sz w:val="22"/>
          <w:szCs w:val="22"/>
        </w:rPr>
        <w:t>to further develop t</w:t>
      </w:r>
      <w:r w:rsidR="00E545E0" w:rsidRPr="00E52AD1">
        <w:rPr>
          <w:rFonts w:asciiTheme="minorHAnsi" w:hAnsiTheme="minorHAnsi"/>
          <w:color w:val="auto"/>
          <w:sz w:val="22"/>
          <w:szCs w:val="22"/>
        </w:rPr>
        <w:t>he National Offshore Petroleum Information Management System (NOPIMS)</w:t>
      </w:r>
      <w:r w:rsidR="00BB2E69" w:rsidRPr="00E52AD1">
        <w:rPr>
          <w:rFonts w:asciiTheme="minorHAnsi" w:hAnsiTheme="minorHAnsi"/>
          <w:color w:val="auto"/>
          <w:sz w:val="22"/>
          <w:szCs w:val="22"/>
        </w:rPr>
        <w:t xml:space="preserve"> to deliver an integrated data management system to better manage submissions, monitor compliance, and facilitate open-file release of data.</w:t>
      </w:r>
      <w:r w:rsidR="003561AD">
        <w:rPr>
          <w:rFonts w:asciiTheme="minorHAnsi" w:hAnsiTheme="minorHAnsi"/>
          <w:color w:val="auto"/>
          <w:sz w:val="22"/>
          <w:szCs w:val="22"/>
        </w:rPr>
        <w:t xml:space="preserve"> </w:t>
      </w:r>
    </w:p>
    <w:p w14:paraId="57829801" w14:textId="77777777" w:rsidR="00E545E0" w:rsidRDefault="00E545E0" w:rsidP="00B138B1">
      <w:pPr>
        <w:pStyle w:val="ListParagraph"/>
        <w:numPr>
          <w:ilvl w:val="0"/>
          <w:numId w:val="31"/>
        </w:numPr>
        <w:spacing w:before="0" w:after="120"/>
        <w:ind w:left="426" w:hanging="426"/>
        <w:contextualSpacing w:val="0"/>
        <w:jc w:val="both"/>
        <w:rPr>
          <w:rFonts w:asciiTheme="minorHAnsi" w:hAnsiTheme="minorHAnsi"/>
          <w:color w:val="auto"/>
          <w:sz w:val="22"/>
          <w:szCs w:val="22"/>
        </w:rPr>
      </w:pPr>
      <w:r w:rsidRPr="00E52AD1">
        <w:rPr>
          <w:rFonts w:asciiTheme="minorHAnsi" w:hAnsiTheme="minorHAnsi"/>
          <w:color w:val="auto"/>
          <w:sz w:val="22"/>
          <w:szCs w:val="22"/>
        </w:rPr>
        <w:t xml:space="preserve">Since the release of NOPIMS in </w:t>
      </w:r>
      <w:r w:rsidR="003561AD">
        <w:rPr>
          <w:rFonts w:asciiTheme="minorHAnsi" w:hAnsiTheme="minorHAnsi"/>
          <w:color w:val="auto"/>
          <w:sz w:val="22"/>
          <w:szCs w:val="22"/>
        </w:rPr>
        <w:t>2016 and subsequent development during 2017/18, more data has been made available online than ever before</w:t>
      </w:r>
      <w:r w:rsidR="001A53B0">
        <w:rPr>
          <w:rFonts w:asciiTheme="minorHAnsi" w:hAnsiTheme="minorHAnsi"/>
          <w:color w:val="auto"/>
          <w:sz w:val="22"/>
          <w:szCs w:val="22"/>
        </w:rPr>
        <w:t xml:space="preserve">, </w:t>
      </w:r>
      <w:r w:rsidR="003561AD">
        <w:rPr>
          <w:rFonts w:asciiTheme="minorHAnsi" w:hAnsiTheme="minorHAnsi"/>
          <w:color w:val="auto"/>
          <w:sz w:val="22"/>
          <w:szCs w:val="22"/>
        </w:rPr>
        <w:t xml:space="preserve">and uptake by data users has been pleasing. Feedback on the NOPIMS system has been overwhelmingly positive. </w:t>
      </w:r>
    </w:p>
    <w:p w14:paraId="480E3E92" w14:textId="77777777" w:rsidR="003561AD" w:rsidRPr="00E52AD1" w:rsidRDefault="003561AD" w:rsidP="00B138B1">
      <w:pPr>
        <w:pStyle w:val="ListParagraph"/>
        <w:numPr>
          <w:ilvl w:val="0"/>
          <w:numId w:val="31"/>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The level of outstanding data submissions has been maintained at negligible levels throughout 2017/18.</w:t>
      </w:r>
    </w:p>
    <w:p w14:paraId="65834991" w14:textId="77777777" w:rsidR="00D15C43" w:rsidRDefault="00B17DDC" w:rsidP="00B138B1">
      <w:pPr>
        <w:pStyle w:val="ListParagraph"/>
        <w:numPr>
          <w:ilvl w:val="0"/>
          <w:numId w:val="31"/>
        </w:numPr>
        <w:spacing w:before="0" w:after="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NOPTA</w:t>
      </w:r>
      <w:r w:rsidRPr="00E52AD1">
        <w:rPr>
          <w:rFonts w:asciiTheme="minorHAnsi" w:hAnsiTheme="minorHAnsi"/>
          <w:color w:val="auto"/>
          <w:sz w:val="22"/>
          <w:szCs w:val="22"/>
        </w:rPr>
        <w:t xml:space="preserve"> </w:t>
      </w:r>
      <w:r w:rsidR="00BB2E69" w:rsidRPr="00E52AD1">
        <w:rPr>
          <w:rFonts w:asciiTheme="minorHAnsi" w:hAnsiTheme="minorHAnsi"/>
          <w:color w:val="auto"/>
          <w:sz w:val="22"/>
          <w:szCs w:val="22"/>
        </w:rPr>
        <w:t xml:space="preserve">abolished the surcharge for credit card payments from 1 September 2017. </w:t>
      </w:r>
      <w:bookmarkStart w:id="46" w:name="_Toc497215484"/>
    </w:p>
    <w:p w14:paraId="78AA3A68" w14:textId="77777777" w:rsidR="00D15C43" w:rsidRDefault="00D15C43">
      <w:pPr>
        <w:rPr>
          <w:b/>
        </w:rPr>
      </w:pPr>
      <w:r>
        <w:rPr>
          <w:b/>
        </w:rPr>
        <w:br w:type="page"/>
      </w:r>
    </w:p>
    <w:p w14:paraId="358F95DA" w14:textId="77777777" w:rsidR="006F6665" w:rsidRPr="00D15C43" w:rsidRDefault="006F6665" w:rsidP="00B138B1">
      <w:pPr>
        <w:pStyle w:val="Heading2"/>
        <w:spacing w:before="0" w:line="240" w:lineRule="auto"/>
        <w:jc w:val="both"/>
        <w:rPr>
          <w:rFonts w:asciiTheme="minorHAnsi" w:hAnsiTheme="minorHAnsi"/>
          <w:b/>
        </w:rPr>
      </w:pPr>
      <w:bookmarkStart w:id="47" w:name="_Toc528835746"/>
      <w:r w:rsidRPr="00D15C43">
        <w:rPr>
          <w:rFonts w:asciiTheme="minorHAnsi" w:hAnsiTheme="minorHAnsi"/>
          <w:b/>
        </w:rPr>
        <w:lastRenderedPageBreak/>
        <w:t>KPI 5: Regulators are open and transparent in their dealings with regulated entities</w:t>
      </w:r>
      <w:bookmarkEnd w:id="46"/>
      <w:bookmarkEnd w:id="47"/>
    </w:p>
    <w:p w14:paraId="60749F97" w14:textId="77777777" w:rsidR="00772396" w:rsidRDefault="00772396" w:rsidP="003738AE">
      <w:bookmarkStart w:id="48" w:name="_Toc497215485"/>
    </w:p>
    <w:p w14:paraId="751B440F" w14:textId="77777777" w:rsidR="006F6665" w:rsidRPr="00772396" w:rsidRDefault="006F6665" w:rsidP="00B138B1">
      <w:pPr>
        <w:pStyle w:val="Heading3"/>
        <w:spacing w:before="0" w:after="0"/>
        <w:jc w:val="both"/>
        <w:rPr>
          <w:rFonts w:asciiTheme="minorHAnsi" w:hAnsiTheme="minorHAnsi"/>
          <w:sz w:val="22"/>
          <w:szCs w:val="22"/>
        </w:rPr>
      </w:pPr>
      <w:bookmarkStart w:id="49" w:name="_Toc528835747"/>
      <w:r w:rsidRPr="00772396">
        <w:rPr>
          <w:rFonts w:asciiTheme="minorHAnsi" w:hAnsiTheme="minorHAnsi"/>
          <w:sz w:val="22"/>
          <w:szCs w:val="22"/>
        </w:rPr>
        <w:t>KPI Expectations</w:t>
      </w:r>
      <w:bookmarkEnd w:id="48"/>
      <w:bookmarkEnd w:id="49"/>
    </w:p>
    <w:p w14:paraId="320EFC58" w14:textId="77777777" w:rsidR="006F6665" w:rsidRPr="00772396" w:rsidRDefault="006F6665" w:rsidP="00B138B1">
      <w:pPr>
        <w:spacing w:after="0" w:line="240" w:lineRule="auto"/>
        <w:jc w:val="both"/>
      </w:pPr>
      <w:r w:rsidRPr="00772396">
        <w:t>Where possible, regulators clearly communicate the evidence base and approach used in decision-making processes.  Transparency provides the regulated entity and broader community with greater confidence and understanding of the regulator’s role.</w:t>
      </w:r>
    </w:p>
    <w:p w14:paraId="03F3906B" w14:textId="77777777" w:rsidR="00772396" w:rsidRDefault="00772396" w:rsidP="003738AE">
      <w:bookmarkStart w:id="50" w:name="_Toc497215486"/>
    </w:p>
    <w:p w14:paraId="31F8012F" w14:textId="77777777" w:rsidR="006F6665" w:rsidRPr="00772396" w:rsidRDefault="006F6665" w:rsidP="00B138B1">
      <w:pPr>
        <w:pStyle w:val="Heading3"/>
        <w:spacing w:before="0" w:after="0"/>
        <w:jc w:val="both"/>
        <w:rPr>
          <w:rFonts w:asciiTheme="minorHAnsi" w:hAnsiTheme="minorHAnsi"/>
          <w:sz w:val="22"/>
          <w:szCs w:val="22"/>
        </w:rPr>
      </w:pPr>
      <w:bookmarkStart w:id="51" w:name="_Toc528835748"/>
      <w:r w:rsidRPr="00772396">
        <w:rPr>
          <w:rFonts w:asciiTheme="minorHAnsi" w:hAnsiTheme="minorHAnsi"/>
          <w:sz w:val="22"/>
          <w:szCs w:val="22"/>
        </w:rPr>
        <w:t>NOPTA’s Approach</w:t>
      </w:r>
      <w:bookmarkEnd w:id="50"/>
      <w:bookmarkEnd w:id="51"/>
      <w:r w:rsidRPr="00772396">
        <w:rPr>
          <w:rFonts w:asciiTheme="minorHAnsi" w:hAnsiTheme="minorHAnsi"/>
          <w:sz w:val="22"/>
          <w:szCs w:val="22"/>
        </w:rPr>
        <w:t xml:space="preserve"> </w:t>
      </w:r>
    </w:p>
    <w:p w14:paraId="12523747" w14:textId="77777777" w:rsidR="00B37EF5" w:rsidRPr="00B37EF5" w:rsidRDefault="00B17DDC" w:rsidP="00B138B1">
      <w:pPr>
        <w:jc w:val="both"/>
      </w:pPr>
      <w:bookmarkStart w:id="52" w:name="_Toc497215487"/>
      <w:r>
        <w:t xml:space="preserve">NOPTA </w:t>
      </w:r>
      <w:r w:rsidR="00B37EF5" w:rsidRPr="00B37EF5">
        <w:t>exercise</w:t>
      </w:r>
      <w:r>
        <w:t>s its</w:t>
      </w:r>
      <w:r w:rsidR="00B37EF5" w:rsidRPr="00B37EF5">
        <w:t xml:space="preserve"> functions and powers under the OPGGS Act,</w:t>
      </w:r>
      <w:r w:rsidR="00B37EF5">
        <w:t xml:space="preserve"> </w:t>
      </w:r>
      <w:r w:rsidR="00B37EF5" w:rsidRPr="00B37EF5">
        <w:t xml:space="preserve">associated regulations and other applicable laws in good faith and to the best of </w:t>
      </w:r>
      <w:r>
        <w:t>its</w:t>
      </w:r>
      <w:r w:rsidRPr="00B37EF5">
        <w:t xml:space="preserve"> </w:t>
      </w:r>
      <w:r w:rsidR="00B37EF5" w:rsidRPr="00B37EF5">
        <w:t>ability</w:t>
      </w:r>
      <w:r w:rsidR="006F66AA">
        <w:t xml:space="preserve">. </w:t>
      </w:r>
      <w:r>
        <w:t>It is</w:t>
      </w:r>
      <w:r w:rsidR="00B37EF5" w:rsidRPr="00B37EF5">
        <w:t xml:space="preserve"> responsive, consultative, accountable and transparent.</w:t>
      </w:r>
      <w:r w:rsidR="00B37EF5">
        <w:t xml:space="preserve"> </w:t>
      </w:r>
      <w:r>
        <w:t xml:space="preserve">NOPTA </w:t>
      </w:r>
      <w:r w:rsidR="008F7CE0">
        <w:t>p</w:t>
      </w:r>
      <w:r w:rsidR="00B37EF5" w:rsidRPr="008F7CE0">
        <w:t>rovide</w:t>
      </w:r>
      <w:r>
        <w:t>s</w:t>
      </w:r>
      <w:r w:rsidR="00B37EF5">
        <w:t xml:space="preserve"> </w:t>
      </w:r>
      <w:r w:rsidR="00B37EF5" w:rsidRPr="008F7CE0">
        <w:t>merit-based advice and make</w:t>
      </w:r>
      <w:r>
        <w:t>s</w:t>
      </w:r>
      <w:r w:rsidR="00B37EF5" w:rsidRPr="008F7CE0">
        <w:t xml:space="preserve"> decisions and recommendations based on the material</w:t>
      </w:r>
      <w:r w:rsidR="00B37EF5">
        <w:t xml:space="preserve"> </w:t>
      </w:r>
      <w:r w:rsidR="00B37EF5" w:rsidRPr="008F7CE0">
        <w:t>evidence with which it is presented.</w:t>
      </w:r>
    </w:p>
    <w:p w14:paraId="771F520A" w14:textId="77777777" w:rsidR="006F6665" w:rsidRPr="00B138B1" w:rsidRDefault="006F6665" w:rsidP="00B138B1">
      <w:pPr>
        <w:jc w:val="both"/>
        <w:rPr>
          <w:b/>
        </w:rPr>
      </w:pPr>
      <w:r w:rsidRPr="00B138B1">
        <w:rPr>
          <w:b/>
        </w:rPr>
        <w:t>Results</w:t>
      </w:r>
      <w:bookmarkEnd w:id="52"/>
      <w:r w:rsidR="002C3F5D" w:rsidRPr="00B138B1">
        <w:rPr>
          <w:b/>
        </w:rPr>
        <w:t xml:space="preserve">: </w:t>
      </w:r>
      <w:r w:rsidR="002C3F5D" w:rsidRPr="00B138B1">
        <w:rPr>
          <w:b/>
        </w:rPr>
        <w:tab/>
      </w:r>
      <w:r w:rsidR="002C3F5D" w:rsidRPr="00B138B1">
        <w:rPr>
          <w:b/>
        </w:rPr>
        <w:fldChar w:fldCharType="begin">
          <w:ffData>
            <w:name w:val="Check1"/>
            <w:enabled/>
            <w:calcOnExit w:val="0"/>
            <w:checkBox>
              <w:sizeAuto/>
              <w:default w:val="1"/>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Met</w:t>
      </w:r>
      <w:r w:rsidR="002C3F5D" w:rsidRPr="00B138B1">
        <w:rPr>
          <w:b/>
        </w:rPr>
        <w:tab/>
      </w:r>
      <w:r w:rsidR="002C3F5D" w:rsidRPr="00B138B1">
        <w:rPr>
          <w:b/>
        </w:rPr>
        <w:tab/>
      </w:r>
      <w:r w:rsidR="002C3F5D" w:rsidRPr="00B138B1">
        <w:rPr>
          <w:b/>
        </w:rPr>
        <w:fldChar w:fldCharType="begin">
          <w:ffData>
            <w:name w:val="Check2"/>
            <w:enabled/>
            <w:calcOnExit w:val="0"/>
            <w:checkBox>
              <w:sizeAuto/>
              <w:default w:val="0"/>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Partially Met</w:t>
      </w:r>
      <w:r w:rsidR="002C3F5D" w:rsidRPr="00B138B1">
        <w:rPr>
          <w:b/>
        </w:rPr>
        <w:tab/>
      </w:r>
      <w:r w:rsidR="002C3F5D" w:rsidRPr="00B138B1">
        <w:rPr>
          <w:b/>
        </w:rPr>
        <w:fldChar w:fldCharType="begin">
          <w:ffData>
            <w:name w:val="Check3"/>
            <w:enabled/>
            <w:calcOnExit w:val="0"/>
            <w:checkBox>
              <w:sizeAuto/>
              <w:default w:val="0"/>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Caption w:val="Highlighted box"/>
      </w:tblPr>
      <w:tblGrid>
        <w:gridCol w:w="9016"/>
      </w:tblGrid>
      <w:tr w:rsidR="001D5100" w:rsidRPr="001D5100" w14:paraId="6CD0D873" w14:textId="77777777" w:rsidTr="003738AE">
        <w:trPr>
          <w:tblHeader/>
        </w:trPr>
        <w:tc>
          <w:tcPr>
            <w:tcW w:w="9016" w:type="dxa"/>
            <w:shd w:val="clear" w:color="auto" w:fill="F2F2F2" w:themeFill="background1" w:themeFillShade="F2"/>
          </w:tcPr>
          <w:p w14:paraId="079B5321" w14:textId="77777777" w:rsidR="001D5100" w:rsidRPr="00E45C1E" w:rsidRDefault="001D5100" w:rsidP="00B138B1">
            <w:pPr>
              <w:jc w:val="both"/>
              <w:rPr>
                <w:i/>
              </w:rPr>
            </w:pPr>
            <w:r w:rsidRPr="00E45C1E">
              <w:rPr>
                <w:i/>
              </w:rPr>
              <w:t xml:space="preserve">NOPTA assesses that it has met KPI 5. </w:t>
            </w:r>
            <w:r w:rsidR="009B7B51" w:rsidRPr="00E45C1E">
              <w:rPr>
                <w:i/>
              </w:rPr>
              <w:t>This has been achieved through regular communication</w:t>
            </w:r>
            <w:r w:rsidR="00E45C1E">
              <w:rPr>
                <w:i/>
              </w:rPr>
              <w:t xml:space="preserve"> and</w:t>
            </w:r>
            <w:r w:rsidR="009B7B51" w:rsidRPr="00E45C1E">
              <w:rPr>
                <w:i/>
              </w:rPr>
              <w:t xml:space="preserve"> consultation</w:t>
            </w:r>
            <w:r w:rsidR="00E45C1E">
              <w:rPr>
                <w:i/>
              </w:rPr>
              <w:t xml:space="preserve"> with our stakeholders</w:t>
            </w:r>
            <w:r w:rsidR="009B7B51" w:rsidRPr="00E45C1E">
              <w:rPr>
                <w:i/>
              </w:rPr>
              <w:t xml:space="preserve"> and</w:t>
            </w:r>
            <w:r w:rsidR="00E45C1E">
              <w:rPr>
                <w:i/>
              </w:rPr>
              <w:t xml:space="preserve"> the adoption of</w:t>
            </w:r>
            <w:r w:rsidR="009B7B51" w:rsidRPr="00E45C1E">
              <w:rPr>
                <w:i/>
              </w:rPr>
              <w:t xml:space="preserve"> a ‘no surprises’ approach in discharging our regulatory and administrative functions.</w:t>
            </w:r>
          </w:p>
        </w:tc>
      </w:tr>
    </w:tbl>
    <w:p w14:paraId="230CAE36" w14:textId="77777777" w:rsidR="001D5100" w:rsidRPr="001D5100" w:rsidRDefault="001D5100" w:rsidP="00772396">
      <w:pPr>
        <w:spacing w:after="0" w:line="240" w:lineRule="auto"/>
        <w:rPr>
          <w:highlight w:val="yellow"/>
        </w:rPr>
      </w:pPr>
    </w:p>
    <w:p w14:paraId="38841FF7" w14:textId="77777777" w:rsidR="008E0D42" w:rsidRPr="00FA66AC" w:rsidRDefault="00B17DDC" w:rsidP="00B138B1">
      <w:pPr>
        <w:pStyle w:val="ListParagraph"/>
        <w:numPr>
          <w:ilvl w:val="0"/>
          <w:numId w:val="32"/>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NOPTA’s</w:t>
      </w:r>
      <w:r w:rsidRPr="00EA5865">
        <w:rPr>
          <w:rFonts w:asciiTheme="minorHAnsi" w:hAnsiTheme="minorHAnsi"/>
          <w:color w:val="auto"/>
          <w:sz w:val="22"/>
          <w:szCs w:val="22"/>
        </w:rPr>
        <w:t xml:space="preserve"> </w:t>
      </w:r>
      <w:r w:rsidR="008E0D42" w:rsidRPr="00EA5865">
        <w:rPr>
          <w:rFonts w:asciiTheme="minorHAnsi" w:hAnsiTheme="minorHAnsi"/>
          <w:color w:val="auto"/>
          <w:sz w:val="22"/>
          <w:szCs w:val="22"/>
        </w:rPr>
        <w:t xml:space="preserve">2017-20 Corporate Plan </w:t>
      </w:r>
      <w:r w:rsidR="00B63D94" w:rsidRPr="00EA5865">
        <w:rPr>
          <w:rFonts w:asciiTheme="minorHAnsi" w:hAnsiTheme="minorHAnsi"/>
          <w:color w:val="auto"/>
          <w:sz w:val="22"/>
          <w:szCs w:val="22"/>
        </w:rPr>
        <w:t xml:space="preserve">incorporates </w:t>
      </w:r>
      <w:r w:rsidR="008E0D42" w:rsidRPr="00EA5865">
        <w:rPr>
          <w:rFonts w:asciiTheme="minorHAnsi" w:hAnsiTheme="minorHAnsi"/>
          <w:color w:val="auto"/>
          <w:sz w:val="22"/>
          <w:szCs w:val="22"/>
        </w:rPr>
        <w:t>the six RPF KPIs</w:t>
      </w:r>
      <w:r w:rsidR="00B63D94" w:rsidRPr="00EA5865">
        <w:rPr>
          <w:rFonts w:asciiTheme="minorHAnsi" w:hAnsiTheme="minorHAnsi"/>
          <w:color w:val="auto"/>
          <w:sz w:val="22"/>
          <w:szCs w:val="22"/>
        </w:rPr>
        <w:t xml:space="preserve"> with reference to </w:t>
      </w:r>
      <w:r>
        <w:rPr>
          <w:rFonts w:asciiTheme="minorHAnsi" w:hAnsiTheme="minorHAnsi"/>
          <w:color w:val="auto"/>
          <w:sz w:val="22"/>
          <w:szCs w:val="22"/>
        </w:rPr>
        <w:t>its</w:t>
      </w:r>
      <w:r w:rsidRPr="00EA5865">
        <w:rPr>
          <w:rFonts w:asciiTheme="minorHAnsi" w:hAnsiTheme="minorHAnsi"/>
          <w:color w:val="auto"/>
          <w:sz w:val="22"/>
          <w:szCs w:val="22"/>
        </w:rPr>
        <w:t xml:space="preserve"> </w:t>
      </w:r>
      <w:r w:rsidR="00B63D94" w:rsidRPr="00EA5865">
        <w:rPr>
          <w:rFonts w:asciiTheme="minorHAnsi" w:hAnsiTheme="minorHAnsi"/>
          <w:color w:val="auto"/>
          <w:sz w:val="22"/>
          <w:szCs w:val="22"/>
        </w:rPr>
        <w:t xml:space="preserve">functions, objectives and </w:t>
      </w:r>
      <w:r w:rsidR="008E0D42" w:rsidRPr="00EA5865">
        <w:rPr>
          <w:rFonts w:asciiTheme="minorHAnsi" w:hAnsiTheme="minorHAnsi"/>
          <w:color w:val="auto"/>
          <w:sz w:val="22"/>
          <w:szCs w:val="22"/>
        </w:rPr>
        <w:t xml:space="preserve">deliverables. NOPTA has aligned its internal and public reporting with </w:t>
      </w:r>
      <w:r w:rsidR="00C70C36" w:rsidRPr="00EA5865">
        <w:rPr>
          <w:rFonts w:asciiTheme="minorHAnsi" w:hAnsiTheme="minorHAnsi"/>
          <w:color w:val="auto"/>
          <w:sz w:val="22"/>
          <w:szCs w:val="22"/>
        </w:rPr>
        <w:t xml:space="preserve">the </w:t>
      </w:r>
      <w:r w:rsidR="008E0D42" w:rsidRPr="00FA66AC">
        <w:rPr>
          <w:rFonts w:asciiTheme="minorHAnsi" w:hAnsiTheme="minorHAnsi"/>
          <w:color w:val="auto"/>
          <w:sz w:val="22"/>
          <w:szCs w:val="22"/>
        </w:rPr>
        <w:t>corporate plan</w:t>
      </w:r>
      <w:r w:rsidR="00C70C36" w:rsidRPr="00FA66AC">
        <w:rPr>
          <w:rFonts w:asciiTheme="minorHAnsi" w:hAnsiTheme="minorHAnsi"/>
          <w:color w:val="auto"/>
          <w:sz w:val="22"/>
          <w:szCs w:val="22"/>
        </w:rPr>
        <w:t xml:space="preserve"> objectives</w:t>
      </w:r>
      <w:r w:rsidR="008E0D42" w:rsidRPr="00FA66AC">
        <w:rPr>
          <w:rFonts w:asciiTheme="minorHAnsi" w:hAnsiTheme="minorHAnsi"/>
          <w:color w:val="auto"/>
          <w:sz w:val="22"/>
          <w:szCs w:val="22"/>
        </w:rPr>
        <w:t xml:space="preserve">. </w:t>
      </w:r>
    </w:p>
    <w:p w14:paraId="3FCB121C" w14:textId="77777777" w:rsidR="008E0D42" w:rsidRPr="00FA66AC" w:rsidRDefault="00B17DDC" w:rsidP="00B138B1">
      <w:pPr>
        <w:pStyle w:val="ListParagraph"/>
        <w:numPr>
          <w:ilvl w:val="0"/>
          <w:numId w:val="32"/>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NOPTA’s</w:t>
      </w:r>
      <w:r w:rsidRPr="00FA66AC">
        <w:rPr>
          <w:rFonts w:asciiTheme="minorHAnsi" w:hAnsiTheme="minorHAnsi"/>
          <w:color w:val="auto"/>
          <w:sz w:val="22"/>
          <w:szCs w:val="22"/>
        </w:rPr>
        <w:t xml:space="preserve"> </w:t>
      </w:r>
      <w:r w:rsidR="00B63D94" w:rsidRPr="00FA66AC">
        <w:rPr>
          <w:rFonts w:asciiTheme="minorHAnsi" w:hAnsiTheme="minorHAnsi"/>
          <w:color w:val="auto"/>
          <w:sz w:val="22"/>
          <w:szCs w:val="22"/>
        </w:rPr>
        <w:t>a</w:t>
      </w:r>
      <w:r w:rsidR="008E0D42" w:rsidRPr="00FA66AC">
        <w:rPr>
          <w:rFonts w:asciiTheme="minorHAnsi" w:hAnsiTheme="minorHAnsi"/>
          <w:color w:val="auto"/>
          <w:sz w:val="22"/>
          <w:szCs w:val="22"/>
        </w:rPr>
        <w:t xml:space="preserve">nnual </w:t>
      </w:r>
      <w:r w:rsidR="00B63D94" w:rsidRPr="00FA66AC">
        <w:rPr>
          <w:rFonts w:asciiTheme="minorHAnsi" w:hAnsiTheme="minorHAnsi"/>
          <w:color w:val="auto"/>
          <w:sz w:val="22"/>
          <w:szCs w:val="22"/>
        </w:rPr>
        <w:t>r</w:t>
      </w:r>
      <w:r w:rsidR="008E0D42" w:rsidRPr="00FA66AC">
        <w:rPr>
          <w:rFonts w:asciiTheme="minorHAnsi" w:hAnsiTheme="minorHAnsi"/>
          <w:color w:val="auto"/>
          <w:sz w:val="22"/>
          <w:szCs w:val="22"/>
        </w:rPr>
        <w:t xml:space="preserve">eport of </w:t>
      </w:r>
      <w:r w:rsidR="00B63D94" w:rsidRPr="00FA66AC">
        <w:rPr>
          <w:rFonts w:asciiTheme="minorHAnsi" w:hAnsiTheme="minorHAnsi"/>
          <w:color w:val="auto"/>
          <w:sz w:val="22"/>
          <w:szCs w:val="22"/>
        </w:rPr>
        <w:t>a</w:t>
      </w:r>
      <w:r w:rsidR="008E0D42" w:rsidRPr="00FA66AC">
        <w:rPr>
          <w:rFonts w:asciiTheme="minorHAnsi" w:hAnsiTheme="minorHAnsi"/>
          <w:color w:val="auto"/>
          <w:sz w:val="22"/>
          <w:szCs w:val="22"/>
        </w:rPr>
        <w:t xml:space="preserve">ctivities and </w:t>
      </w:r>
      <w:r w:rsidR="00B63D94" w:rsidRPr="00FA66AC">
        <w:rPr>
          <w:rFonts w:asciiTheme="minorHAnsi" w:hAnsiTheme="minorHAnsi"/>
          <w:color w:val="auto"/>
          <w:sz w:val="22"/>
          <w:szCs w:val="22"/>
        </w:rPr>
        <w:t xml:space="preserve">the annual </w:t>
      </w:r>
      <w:r w:rsidR="008E0D42" w:rsidRPr="00FA66AC">
        <w:rPr>
          <w:rFonts w:asciiTheme="minorHAnsi" w:hAnsiTheme="minorHAnsi"/>
          <w:color w:val="auto"/>
          <w:sz w:val="22"/>
          <w:szCs w:val="22"/>
        </w:rPr>
        <w:t xml:space="preserve">RPF </w:t>
      </w:r>
      <w:r w:rsidR="00B63D94" w:rsidRPr="00FA66AC">
        <w:rPr>
          <w:rFonts w:asciiTheme="minorHAnsi" w:hAnsiTheme="minorHAnsi"/>
          <w:color w:val="auto"/>
          <w:sz w:val="22"/>
          <w:szCs w:val="22"/>
        </w:rPr>
        <w:t>s</w:t>
      </w:r>
      <w:r w:rsidR="008E0D42" w:rsidRPr="00FA66AC">
        <w:rPr>
          <w:rFonts w:asciiTheme="minorHAnsi" w:hAnsiTheme="minorHAnsi"/>
          <w:color w:val="auto"/>
          <w:sz w:val="22"/>
          <w:szCs w:val="22"/>
        </w:rPr>
        <w:t>elf-</w:t>
      </w:r>
      <w:r w:rsidR="00B63D94" w:rsidRPr="00FA66AC">
        <w:rPr>
          <w:rFonts w:asciiTheme="minorHAnsi" w:hAnsiTheme="minorHAnsi"/>
          <w:color w:val="auto"/>
          <w:sz w:val="22"/>
          <w:szCs w:val="22"/>
        </w:rPr>
        <w:t>a</w:t>
      </w:r>
      <w:r w:rsidR="008E0D42" w:rsidRPr="00FA66AC">
        <w:rPr>
          <w:rFonts w:asciiTheme="minorHAnsi" w:hAnsiTheme="minorHAnsi"/>
          <w:color w:val="auto"/>
          <w:sz w:val="22"/>
          <w:szCs w:val="22"/>
        </w:rPr>
        <w:t>ssessment promot</w:t>
      </w:r>
      <w:r w:rsidR="00B63D94" w:rsidRPr="00FA66AC">
        <w:rPr>
          <w:rFonts w:asciiTheme="minorHAnsi" w:hAnsiTheme="minorHAnsi"/>
          <w:color w:val="auto"/>
          <w:sz w:val="22"/>
          <w:szCs w:val="22"/>
        </w:rPr>
        <w:t>e</w:t>
      </w:r>
      <w:r w:rsidR="008E0D42" w:rsidRPr="00FA66AC">
        <w:rPr>
          <w:rFonts w:asciiTheme="minorHAnsi" w:hAnsiTheme="minorHAnsi"/>
          <w:color w:val="auto"/>
          <w:sz w:val="22"/>
          <w:szCs w:val="22"/>
        </w:rPr>
        <w:t xml:space="preserve"> </w:t>
      </w:r>
      <w:r w:rsidR="001021A5" w:rsidRPr="00FA66AC">
        <w:rPr>
          <w:rFonts w:asciiTheme="minorHAnsi" w:hAnsiTheme="minorHAnsi"/>
          <w:color w:val="auto"/>
          <w:sz w:val="22"/>
          <w:szCs w:val="22"/>
        </w:rPr>
        <w:t xml:space="preserve">greater transparency </w:t>
      </w:r>
      <w:r w:rsidR="00265094" w:rsidRPr="00FA66AC">
        <w:rPr>
          <w:rFonts w:asciiTheme="minorHAnsi" w:hAnsiTheme="minorHAnsi"/>
          <w:color w:val="auto"/>
          <w:sz w:val="22"/>
          <w:szCs w:val="22"/>
        </w:rPr>
        <w:t>around</w:t>
      </w:r>
      <w:r w:rsidR="001021A5" w:rsidRPr="00FA66AC">
        <w:rPr>
          <w:rFonts w:asciiTheme="minorHAnsi" w:hAnsiTheme="minorHAnsi"/>
          <w:color w:val="auto"/>
          <w:sz w:val="22"/>
          <w:szCs w:val="22"/>
        </w:rPr>
        <w:t xml:space="preserve"> </w:t>
      </w:r>
      <w:r>
        <w:rPr>
          <w:rFonts w:asciiTheme="minorHAnsi" w:hAnsiTheme="minorHAnsi"/>
          <w:color w:val="auto"/>
          <w:sz w:val="22"/>
          <w:szCs w:val="22"/>
        </w:rPr>
        <w:t>its</w:t>
      </w:r>
      <w:r w:rsidRPr="00FA66AC">
        <w:rPr>
          <w:rFonts w:asciiTheme="minorHAnsi" w:hAnsiTheme="minorHAnsi"/>
          <w:color w:val="auto"/>
          <w:sz w:val="22"/>
          <w:szCs w:val="22"/>
        </w:rPr>
        <w:t xml:space="preserve"> </w:t>
      </w:r>
      <w:r w:rsidR="001021A5" w:rsidRPr="00FA66AC">
        <w:rPr>
          <w:rFonts w:asciiTheme="minorHAnsi" w:hAnsiTheme="minorHAnsi"/>
          <w:color w:val="auto"/>
          <w:sz w:val="22"/>
          <w:szCs w:val="22"/>
        </w:rPr>
        <w:t xml:space="preserve">role and contribution to the regime </w:t>
      </w:r>
      <w:r w:rsidR="00B63D94" w:rsidRPr="00FA66AC">
        <w:rPr>
          <w:rFonts w:asciiTheme="minorHAnsi" w:hAnsiTheme="minorHAnsi"/>
          <w:color w:val="auto"/>
          <w:sz w:val="22"/>
          <w:szCs w:val="22"/>
        </w:rPr>
        <w:t xml:space="preserve">in which </w:t>
      </w:r>
      <w:r>
        <w:rPr>
          <w:rFonts w:asciiTheme="minorHAnsi" w:hAnsiTheme="minorHAnsi"/>
          <w:color w:val="auto"/>
          <w:sz w:val="22"/>
          <w:szCs w:val="22"/>
        </w:rPr>
        <w:t>it</w:t>
      </w:r>
      <w:r w:rsidRPr="00FA66AC">
        <w:rPr>
          <w:rFonts w:asciiTheme="minorHAnsi" w:hAnsiTheme="minorHAnsi"/>
          <w:color w:val="auto"/>
          <w:sz w:val="22"/>
          <w:szCs w:val="22"/>
        </w:rPr>
        <w:t xml:space="preserve"> </w:t>
      </w:r>
      <w:r w:rsidR="00B63D94" w:rsidRPr="00FA66AC">
        <w:rPr>
          <w:rFonts w:asciiTheme="minorHAnsi" w:hAnsiTheme="minorHAnsi"/>
          <w:color w:val="auto"/>
          <w:sz w:val="22"/>
          <w:szCs w:val="22"/>
        </w:rPr>
        <w:t>operate</w:t>
      </w:r>
      <w:r>
        <w:rPr>
          <w:rFonts w:asciiTheme="minorHAnsi" w:hAnsiTheme="minorHAnsi"/>
          <w:color w:val="auto"/>
          <w:sz w:val="22"/>
          <w:szCs w:val="22"/>
        </w:rPr>
        <w:t>s</w:t>
      </w:r>
      <w:r w:rsidR="001021A5" w:rsidRPr="00FA66AC">
        <w:rPr>
          <w:rFonts w:asciiTheme="minorHAnsi" w:hAnsiTheme="minorHAnsi"/>
          <w:color w:val="auto"/>
          <w:sz w:val="22"/>
          <w:szCs w:val="22"/>
        </w:rPr>
        <w:t xml:space="preserve">. </w:t>
      </w:r>
    </w:p>
    <w:p w14:paraId="6C828BAB" w14:textId="77777777" w:rsidR="00952ED4" w:rsidRDefault="00952ED4" w:rsidP="00B138B1">
      <w:pPr>
        <w:pStyle w:val="ListParagraph"/>
        <w:numPr>
          <w:ilvl w:val="0"/>
          <w:numId w:val="32"/>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 xml:space="preserve">Commenced the internal </w:t>
      </w:r>
      <w:r w:rsidRPr="0031005E">
        <w:rPr>
          <w:rFonts w:asciiTheme="minorHAnsi" w:hAnsiTheme="minorHAnsi"/>
          <w:color w:val="auto"/>
          <w:sz w:val="22"/>
          <w:szCs w:val="22"/>
        </w:rPr>
        <w:t>upgrad</w:t>
      </w:r>
      <w:r>
        <w:rPr>
          <w:rFonts w:asciiTheme="minorHAnsi" w:hAnsiTheme="minorHAnsi"/>
          <w:color w:val="auto"/>
          <w:sz w:val="22"/>
          <w:szCs w:val="22"/>
        </w:rPr>
        <w:t>e</w:t>
      </w:r>
      <w:r w:rsidRPr="0031005E">
        <w:rPr>
          <w:rFonts w:asciiTheme="minorHAnsi" w:hAnsiTheme="minorHAnsi"/>
          <w:color w:val="auto"/>
          <w:sz w:val="22"/>
          <w:szCs w:val="22"/>
        </w:rPr>
        <w:t xml:space="preserve"> of NEATS to improve </w:t>
      </w:r>
      <w:r>
        <w:rPr>
          <w:rFonts w:asciiTheme="minorHAnsi" w:hAnsiTheme="minorHAnsi"/>
          <w:color w:val="auto"/>
          <w:sz w:val="22"/>
          <w:szCs w:val="22"/>
        </w:rPr>
        <w:t xml:space="preserve">application </w:t>
      </w:r>
      <w:r w:rsidRPr="0031005E">
        <w:rPr>
          <w:rFonts w:asciiTheme="minorHAnsi" w:hAnsiTheme="minorHAnsi"/>
          <w:color w:val="auto"/>
          <w:sz w:val="22"/>
          <w:szCs w:val="22"/>
        </w:rPr>
        <w:t>processing efficiencies</w:t>
      </w:r>
      <w:r>
        <w:rPr>
          <w:rFonts w:asciiTheme="minorHAnsi" w:hAnsiTheme="minorHAnsi"/>
          <w:color w:val="auto"/>
          <w:sz w:val="22"/>
          <w:szCs w:val="22"/>
        </w:rPr>
        <w:t xml:space="preserve"> following stakeholder feedback received through the NEATS </w:t>
      </w:r>
      <w:r w:rsidRPr="001D26BB">
        <w:rPr>
          <w:rFonts w:asciiTheme="minorHAnsi" w:hAnsiTheme="minorHAnsi"/>
          <w:color w:val="auto"/>
          <w:sz w:val="22"/>
          <w:szCs w:val="22"/>
        </w:rPr>
        <w:t xml:space="preserve">2020 </w:t>
      </w:r>
      <w:r>
        <w:rPr>
          <w:rFonts w:asciiTheme="minorHAnsi" w:hAnsiTheme="minorHAnsi"/>
          <w:color w:val="auto"/>
          <w:sz w:val="22"/>
          <w:szCs w:val="22"/>
        </w:rPr>
        <w:t>R</w:t>
      </w:r>
      <w:r w:rsidRPr="001D26BB">
        <w:rPr>
          <w:rFonts w:asciiTheme="minorHAnsi" w:hAnsiTheme="minorHAnsi"/>
          <w:color w:val="auto"/>
          <w:sz w:val="22"/>
          <w:szCs w:val="22"/>
        </w:rPr>
        <w:t>eview.</w:t>
      </w:r>
      <w:r w:rsidRPr="00952ED4">
        <w:rPr>
          <w:rFonts w:asciiTheme="minorHAnsi" w:hAnsiTheme="minorHAnsi"/>
          <w:color w:val="auto"/>
          <w:sz w:val="22"/>
          <w:szCs w:val="22"/>
        </w:rPr>
        <w:t xml:space="preserve"> </w:t>
      </w:r>
      <w:r w:rsidRPr="00FA66AC">
        <w:rPr>
          <w:rFonts w:asciiTheme="minorHAnsi" w:hAnsiTheme="minorHAnsi"/>
          <w:color w:val="auto"/>
          <w:sz w:val="22"/>
          <w:szCs w:val="22"/>
        </w:rPr>
        <w:t xml:space="preserve">Stakeholders are alerted to any updates or new information in relation to the NEATS system via the NOPTA website and the </w:t>
      </w:r>
      <w:r>
        <w:rPr>
          <w:rFonts w:asciiTheme="minorHAnsi" w:hAnsiTheme="minorHAnsi"/>
          <w:color w:val="auto"/>
          <w:sz w:val="22"/>
          <w:szCs w:val="22"/>
        </w:rPr>
        <w:t>D</w:t>
      </w:r>
      <w:r w:rsidRPr="00FA66AC">
        <w:rPr>
          <w:rFonts w:asciiTheme="minorHAnsi" w:hAnsiTheme="minorHAnsi"/>
          <w:color w:val="auto"/>
          <w:sz w:val="22"/>
          <w:szCs w:val="22"/>
        </w:rPr>
        <w:t>epartment’s APN publication (see KPI 2).</w:t>
      </w:r>
    </w:p>
    <w:p w14:paraId="6735149B" w14:textId="77777777" w:rsidR="00265094" w:rsidRPr="00FA66AC" w:rsidRDefault="009B7209" w:rsidP="00B138B1">
      <w:pPr>
        <w:pStyle w:val="ListParagraph"/>
        <w:numPr>
          <w:ilvl w:val="0"/>
          <w:numId w:val="32"/>
        </w:numPr>
        <w:spacing w:before="0" w:after="120"/>
        <w:ind w:left="426" w:hanging="426"/>
        <w:contextualSpacing w:val="0"/>
        <w:jc w:val="both"/>
        <w:rPr>
          <w:rFonts w:asciiTheme="minorHAnsi" w:hAnsiTheme="minorHAnsi"/>
          <w:color w:val="auto"/>
          <w:sz w:val="22"/>
          <w:szCs w:val="22"/>
        </w:rPr>
      </w:pPr>
      <w:r w:rsidRPr="00FA66AC">
        <w:rPr>
          <w:rFonts w:asciiTheme="minorHAnsi" w:hAnsiTheme="minorHAnsi"/>
          <w:color w:val="auto"/>
          <w:sz w:val="22"/>
          <w:szCs w:val="22"/>
        </w:rPr>
        <w:t xml:space="preserve">The NOPTA </w:t>
      </w:r>
      <w:r w:rsidR="00EA5865">
        <w:rPr>
          <w:rFonts w:asciiTheme="minorHAnsi" w:hAnsiTheme="minorHAnsi"/>
          <w:color w:val="auto"/>
          <w:sz w:val="22"/>
          <w:szCs w:val="22"/>
        </w:rPr>
        <w:t xml:space="preserve">quarterly </w:t>
      </w:r>
      <w:r w:rsidR="00FA7FD1" w:rsidRPr="00EA5865">
        <w:rPr>
          <w:rFonts w:asciiTheme="minorHAnsi" w:hAnsiTheme="minorHAnsi"/>
          <w:color w:val="auto"/>
          <w:sz w:val="22"/>
          <w:szCs w:val="22"/>
        </w:rPr>
        <w:t>d</w:t>
      </w:r>
      <w:r w:rsidR="00265094" w:rsidRPr="00EA5865">
        <w:rPr>
          <w:rFonts w:asciiTheme="minorHAnsi" w:hAnsiTheme="minorHAnsi"/>
          <w:color w:val="auto"/>
          <w:sz w:val="22"/>
          <w:szCs w:val="22"/>
        </w:rPr>
        <w:t xml:space="preserve">ashboard </w:t>
      </w:r>
      <w:r w:rsidR="00B63D94" w:rsidRPr="00EA5865">
        <w:rPr>
          <w:rFonts w:asciiTheme="minorHAnsi" w:hAnsiTheme="minorHAnsi"/>
          <w:color w:val="auto"/>
          <w:sz w:val="22"/>
          <w:szCs w:val="22"/>
        </w:rPr>
        <w:t xml:space="preserve">summary </w:t>
      </w:r>
      <w:r w:rsidR="00FA7FD1" w:rsidRPr="00EA5865">
        <w:rPr>
          <w:rFonts w:asciiTheme="minorHAnsi" w:hAnsiTheme="minorHAnsi"/>
          <w:color w:val="auto"/>
          <w:sz w:val="22"/>
          <w:szCs w:val="22"/>
        </w:rPr>
        <w:t>r</w:t>
      </w:r>
      <w:r w:rsidR="00265094" w:rsidRPr="00EA5865">
        <w:rPr>
          <w:rFonts w:asciiTheme="minorHAnsi" w:hAnsiTheme="minorHAnsi"/>
          <w:color w:val="auto"/>
          <w:sz w:val="22"/>
          <w:szCs w:val="22"/>
        </w:rPr>
        <w:t>eport provides a snapshot of aggregated key performance statistics</w:t>
      </w:r>
      <w:r w:rsidRPr="00FA66AC">
        <w:rPr>
          <w:rFonts w:asciiTheme="minorHAnsi" w:hAnsiTheme="minorHAnsi"/>
          <w:color w:val="auto"/>
          <w:sz w:val="22"/>
          <w:szCs w:val="22"/>
        </w:rPr>
        <w:t>.</w:t>
      </w:r>
      <w:r w:rsidR="00FA7FD1" w:rsidRPr="00FA66AC">
        <w:rPr>
          <w:rFonts w:asciiTheme="minorHAnsi" w:hAnsiTheme="minorHAnsi"/>
          <w:color w:val="auto"/>
          <w:sz w:val="22"/>
          <w:szCs w:val="22"/>
        </w:rPr>
        <w:t xml:space="preserve"> </w:t>
      </w:r>
      <w:r w:rsidRPr="00FA66AC">
        <w:rPr>
          <w:rFonts w:asciiTheme="minorHAnsi" w:hAnsiTheme="minorHAnsi"/>
          <w:color w:val="auto"/>
          <w:sz w:val="22"/>
          <w:szCs w:val="22"/>
        </w:rPr>
        <w:t>The dashboard is published on the NOPTA website (see KPI 1)</w:t>
      </w:r>
      <w:r w:rsidR="00BD6256" w:rsidRPr="00FA66AC">
        <w:rPr>
          <w:rFonts w:asciiTheme="minorHAnsi" w:hAnsiTheme="minorHAnsi"/>
          <w:color w:val="auto"/>
          <w:sz w:val="22"/>
          <w:szCs w:val="22"/>
        </w:rPr>
        <w:t>.</w:t>
      </w:r>
    </w:p>
    <w:p w14:paraId="7A647751" w14:textId="77777777" w:rsidR="001D5100" w:rsidRPr="001D5100" w:rsidRDefault="001D5100" w:rsidP="00B138B1">
      <w:pPr>
        <w:pStyle w:val="ListParagraph"/>
        <w:numPr>
          <w:ilvl w:val="0"/>
          <w:numId w:val="32"/>
        </w:numPr>
        <w:spacing w:before="0" w:after="120"/>
        <w:ind w:left="426" w:hanging="426"/>
        <w:contextualSpacing w:val="0"/>
        <w:jc w:val="both"/>
        <w:rPr>
          <w:rFonts w:asciiTheme="minorHAnsi" w:hAnsiTheme="minorHAnsi"/>
          <w:color w:val="auto"/>
          <w:sz w:val="22"/>
          <w:szCs w:val="22"/>
        </w:rPr>
      </w:pPr>
      <w:r w:rsidRPr="001D5100">
        <w:rPr>
          <w:rFonts w:asciiTheme="minorHAnsi" w:hAnsiTheme="minorHAnsi"/>
          <w:color w:val="auto"/>
          <w:sz w:val="22"/>
          <w:szCs w:val="22"/>
        </w:rPr>
        <w:t>Operating Protocols for Offshore Petroleum Joint Authorities and supporting institutions’ (Joint Authority Protocol)</w:t>
      </w:r>
      <w:r>
        <w:rPr>
          <w:rFonts w:asciiTheme="minorHAnsi" w:hAnsiTheme="minorHAnsi"/>
          <w:color w:val="auto"/>
          <w:sz w:val="22"/>
          <w:szCs w:val="22"/>
        </w:rPr>
        <w:t xml:space="preserve"> is published on the NOPTA website</w:t>
      </w:r>
      <w:r w:rsidRPr="001D5100">
        <w:rPr>
          <w:rFonts w:asciiTheme="minorHAnsi" w:hAnsiTheme="minorHAnsi"/>
          <w:color w:val="auto"/>
          <w:sz w:val="22"/>
          <w:szCs w:val="22"/>
        </w:rPr>
        <w:t xml:space="preserve"> </w:t>
      </w:r>
      <w:r>
        <w:rPr>
          <w:rFonts w:asciiTheme="minorHAnsi" w:hAnsiTheme="minorHAnsi"/>
          <w:color w:val="auto"/>
          <w:sz w:val="22"/>
          <w:szCs w:val="22"/>
        </w:rPr>
        <w:t>(see KPI 1).</w:t>
      </w:r>
    </w:p>
    <w:p w14:paraId="7B4245AC" w14:textId="726E3796" w:rsidR="009C0A2A" w:rsidRPr="00FA66AC" w:rsidRDefault="00952ED4" w:rsidP="00B138B1">
      <w:pPr>
        <w:pStyle w:val="ListParagraph"/>
        <w:numPr>
          <w:ilvl w:val="0"/>
          <w:numId w:val="32"/>
        </w:numPr>
        <w:spacing w:before="0" w:after="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The Titles Administrator</w:t>
      </w:r>
      <w:r w:rsidR="00B17DDC">
        <w:rPr>
          <w:rFonts w:asciiTheme="minorHAnsi" w:hAnsiTheme="minorHAnsi"/>
          <w:color w:val="auto"/>
          <w:sz w:val="22"/>
          <w:szCs w:val="22"/>
        </w:rPr>
        <w:t xml:space="preserve"> </w:t>
      </w:r>
      <w:r w:rsidR="006F66AA">
        <w:rPr>
          <w:rFonts w:asciiTheme="minorHAnsi" w:hAnsiTheme="minorHAnsi"/>
          <w:color w:val="auto"/>
          <w:sz w:val="22"/>
          <w:szCs w:val="22"/>
        </w:rPr>
        <w:t>a</w:t>
      </w:r>
      <w:r w:rsidR="009C0A2A" w:rsidRPr="00FA66AC">
        <w:rPr>
          <w:rFonts w:asciiTheme="minorHAnsi" w:hAnsiTheme="minorHAnsi"/>
          <w:color w:val="auto"/>
          <w:sz w:val="22"/>
          <w:szCs w:val="22"/>
        </w:rPr>
        <w:t>ppeared at all relevant Senate Estimate</w:t>
      </w:r>
      <w:r w:rsidR="006522EF">
        <w:rPr>
          <w:rFonts w:asciiTheme="minorHAnsi" w:hAnsiTheme="minorHAnsi"/>
          <w:color w:val="auto"/>
          <w:sz w:val="22"/>
          <w:szCs w:val="22"/>
        </w:rPr>
        <w:t>s</w:t>
      </w:r>
      <w:r w:rsidR="009C0A2A" w:rsidRPr="00FA66AC">
        <w:rPr>
          <w:rFonts w:asciiTheme="minorHAnsi" w:hAnsiTheme="minorHAnsi"/>
          <w:color w:val="auto"/>
          <w:sz w:val="22"/>
          <w:szCs w:val="22"/>
        </w:rPr>
        <w:t xml:space="preserve"> (Economics Committee) hearings for 2017-18. </w:t>
      </w:r>
    </w:p>
    <w:p w14:paraId="3877E360" w14:textId="77777777" w:rsidR="006F6665" w:rsidRPr="00772396" w:rsidRDefault="006F6665" w:rsidP="00772396">
      <w:pPr>
        <w:pStyle w:val="ListParagraph"/>
        <w:spacing w:before="0" w:after="0"/>
        <w:ind w:left="720"/>
        <w:contextualSpacing w:val="0"/>
        <w:rPr>
          <w:rFonts w:asciiTheme="minorHAnsi" w:hAnsiTheme="minorHAnsi"/>
          <w:sz w:val="22"/>
          <w:szCs w:val="22"/>
        </w:rPr>
      </w:pPr>
    </w:p>
    <w:p w14:paraId="6A5AB882" w14:textId="77777777" w:rsidR="00BD6256" w:rsidRPr="00772396" w:rsidRDefault="00BD6256" w:rsidP="00772396">
      <w:pPr>
        <w:spacing w:after="0" w:line="240" w:lineRule="auto"/>
        <w:rPr>
          <w:highlight w:val="green"/>
        </w:rPr>
      </w:pPr>
    </w:p>
    <w:p w14:paraId="35653CE0" w14:textId="77777777" w:rsidR="009627E9" w:rsidRDefault="009627E9">
      <w:pPr>
        <w:rPr>
          <w:rFonts w:eastAsiaTheme="majorEastAsia" w:cstheme="majorBidi"/>
          <w:b/>
          <w:color w:val="2E74B5" w:themeColor="accent1" w:themeShade="BF"/>
        </w:rPr>
      </w:pPr>
      <w:bookmarkStart w:id="53" w:name="_Toc497215488"/>
      <w:r>
        <w:rPr>
          <w:b/>
        </w:rPr>
        <w:br w:type="page"/>
      </w:r>
    </w:p>
    <w:p w14:paraId="07DD3B90" w14:textId="77777777" w:rsidR="006F6665" w:rsidRPr="009627E9" w:rsidRDefault="006F6665" w:rsidP="00B138B1">
      <w:pPr>
        <w:pStyle w:val="Heading2"/>
        <w:spacing w:before="0" w:line="240" w:lineRule="auto"/>
        <w:jc w:val="both"/>
        <w:rPr>
          <w:rFonts w:asciiTheme="minorHAnsi" w:hAnsiTheme="minorHAnsi"/>
          <w:b/>
        </w:rPr>
      </w:pPr>
      <w:bookmarkStart w:id="54" w:name="_Toc528835749"/>
      <w:r w:rsidRPr="009627E9">
        <w:rPr>
          <w:rFonts w:asciiTheme="minorHAnsi" w:hAnsiTheme="minorHAnsi"/>
          <w:b/>
        </w:rPr>
        <w:lastRenderedPageBreak/>
        <w:t>KPI 6: Regulators actively contribute to the continuous improvement of regulatory frameworks</w:t>
      </w:r>
      <w:bookmarkEnd w:id="53"/>
      <w:bookmarkEnd w:id="54"/>
      <w:r w:rsidRPr="009627E9">
        <w:rPr>
          <w:rFonts w:asciiTheme="minorHAnsi" w:hAnsiTheme="minorHAnsi"/>
          <w:b/>
        </w:rPr>
        <w:t xml:space="preserve"> </w:t>
      </w:r>
    </w:p>
    <w:p w14:paraId="4D42C327" w14:textId="77777777" w:rsidR="00772396" w:rsidRDefault="00772396" w:rsidP="003738AE">
      <w:bookmarkStart w:id="55" w:name="_Toc497215489"/>
    </w:p>
    <w:p w14:paraId="15457FB8" w14:textId="77777777" w:rsidR="006F6665" w:rsidRPr="00772396" w:rsidRDefault="006F6665" w:rsidP="00B138B1">
      <w:pPr>
        <w:pStyle w:val="Heading3"/>
        <w:spacing w:before="0" w:after="0"/>
        <w:jc w:val="both"/>
        <w:rPr>
          <w:rFonts w:asciiTheme="minorHAnsi" w:hAnsiTheme="minorHAnsi"/>
          <w:sz w:val="22"/>
          <w:szCs w:val="22"/>
        </w:rPr>
      </w:pPr>
      <w:bookmarkStart w:id="56" w:name="_Toc528835750"/>
      <w:r w:rsidRPr="00772396">
        <w:rPr>
          <w:rFonts w:asciiTheme="minorHAnsi" w:hAnsiTheme="minorHAnsi"/>
          <w:sz w:val="22"/>
          <w:szCs w:val="22"/>
        </w:rPr>
        <w:t>KPI Expectations</w:t>
      </w:r>
      <w:bookmarkEnd w:id="55"/>
      <w:bookmarkEnd w:id="56"/>
    </w:p>
    <w:p w14:paraId="26417370" w14:textId="77777777" w:rsidR="006F6665" w:rsidRPr="00772396" w:rsidRDefault="006F6665" w:rsidP="00B138B1">
      <w:pPr>
        <w:spacing w:after="0" w:line="240" w:lineRule="auto"/>
        <w:jc w:val="both"/>
      </w:pPr>
      <w:r w:rsidRPr="00772396">
        <w:t>Regulators will actively contribute to the continuous improvement of the regulatory framework, including establishing cooperative and collaborative relationships with stakeholders and regularly seeking and sharing feedback.</w:t>
      </w:r>
    </w:p>
    <w:p w14:paraId="37F64F01" w14:textId="77777777" w:rsidR="00772396" w:rsidRDefault="00772396" w:rsidP="003738AE">
      <w:bookmarkStart w:id="57" w:name="_Toc497215490"/>
    </w:p>
    <w:p w14:paraId="7F419F7E" w14:textId="77777777" w:rsidR="006F6665" w:rsidRPr="00772396" w:rsidRDefault="006F6665" w:rsidP="00B138B1">
      <w:pPr>
        <w:pStyle w:val="Heading3"/>
        <w:spacing w:before="0" w:after="0"/>
        <w:jc w:val="both"/>
        <w:rPr>
          <w:rFonts w:asciiTheme="minorHAnsi" w:hAnsiTheme="minorHAnsi"/>
          <w:sz w:val="22"/>
          <w:szCs w:val="22"/>
        </w:rPr>
      </w:pPr>
      <w:bookmarkStart w:id="58" w:name="_Toc528835751"/>
      <w:r w:rsidRPr="00772396">
        <w:rPr>
          <w:rFonts w:asciiTheme="minorHAnsi" w:hAnsiTheme="minorHAnsi"/>
          <w:sz w:val="22"/>
          <w:szCs w:val="22"/>
        </w:rPr>
        <w:t>NOPTA’s Approach</w:t>
      </w:r>
      <w:bookmarkEnd w:id="57"/>
      <w:bookmarkEnd w:id="58"/>
      <w:r w:rsidRPr="00772396">
        <w:rPr>
          <w:rFonts w:asciiTheme="minorHAnsi" w:hAnsiTheme="minorHAnsi"/>
          <w:sz w:val="22"/>
          <w:szCs w:val="22"/>
        </w:rPr>
        <w:t xml:space="preserve"> </w:t>
      </w:r>
    </w:p>
    <w:p w14:paraId="1390A594" w14:textId="77777777" w:rsidR="00F20765" w:rsidRPr="00F20765" w:rsidRDefault="00B17DDC" w:rsidP="00B138B1">
      <w:pPr>
        <w:jc w:val="both"/>
      </w:pPr>
      <w:bookmarkStart w:id="59" w:name="_Toc497215491"/>
      <w:r>
        <w:t xml:space="preserve">NOPTA </w:t>
      </w:r>
      <w:r w:rsidR="00F20765" w:rsidRPr="00F20765">
        <w:t>work</w:t>
      </w:r>
      <w:r>
        <w:t>s</w:t>
      </w:r>
      <w:r w:rsidR="00F20765" w:rsidRPr="00F20765">
        <w:t xml:space="preserve"> collaboratively</w:t>
      </w:r>
      <w:r w:rsidR="00F20765">
        <w:t xml:space="preserve"> </w:t>
      </w:r>
      <w:r w:rsidR="00F20765" w:rsidRPr="00F20765">
        <w:t xml:space="preserve">with </w:t>
      </w:r>
      <w:r w:rsidR="00F20765">
        <w:t>the</w:t>
      </w:r>
      <w:r w:rsidR="00F20765" w:rsidRPr="00F20765">
        <w:t xml:space="preserve"> </w:t>
      </w:r>
      <w:r w:rsidR="00D03C6D">
        <w:t>D</w:t>
      </w:r>
      <w:r w:rsidR="00F20765" w:rsidRPr="00F20765">
        <w:t>epartment as the policy agency to provide constructive input into regulatory change</w:t>
      </w:r>
      <w:r w:rsidR="00F20765">
        <w:t xml:space="preserve"> </w:t>
      </w:r>
      <w:r w:rsidR="00F20765" w:rsidRPr="00F20765">
        <w:t>processes from an operational regulatory perspective, and work</w:t>
      </w:r>
      <w:r>
        <w:t>s</w:t>
      </w:r>
      <w:r w:rsidR="00F20765" w:rsidRPr="00F20765">
        <w:t xml:space="preserve"> with relevant government</w:t>
      </w:r>
      <w:r w:rsidR="00F20765">
        <w:t xml:space="preserve"> </w:t>
      </w:r>
      <w:r w:rsidR="00F20765" w:rsidRPr="00F20765">
        <w:t>and non-government stakeholders to implement changes to regulations and regulatory</w:t>
      </w:r>
      <w:r w:rsidR="00F20765">
        <w:t xml:space="preserve"> </w:t>
      </w:r>
      <w:r w:rsidR="00F20765" w:rsidRPr="00F20765">
        <w:t>practices.</w:t>
      </w:r>
    </w:p>
    <w:p w14:paraId="2F2CDB89" w14:textId="77777777" w:rsidR="006F6665" w:rsidRPr="00B138B1" w:rsidRDefault="006F6665" w:rsidP="00B138B1">
      <w:pPr>
        <w:jc w:val="both"/>
        <w:rPr>
          <w:b/>
        </w:rPr>
      </w:pPr>
      <w:r w:rsidRPr="00B138B1">
        <w:rPr>
          <w:b/>
        </w:rPr>
        <w:t>Results</w:t>
      </w:r>
      <w:bookmarkEnd w:id="59"/>
      <w:r w:rsidR="002C3F5D" w:rsidRPr="00B138B1">
        <w:rPr>
          <w:b/>
        </w:rPr>
        <w:t xml:space="preserve">: </w:t>
      </w:r>
      <w:r w:rsidR="002C3F5D" w:rsidRPr="00B138B1">
        <w:rPr>
          <w:b/>
        </w:rPr>
        <w:tab/>
      </w:r>
      <w:r w:rsidR="002C3F5D" w:rsidRPr="00B138B1">
        <w:rPr>
          <w:b/>
        </w:rPr>
        <w:fldChar w:fldCharType="begin">
          <w:ffData>
            <w:name w:val="Check1"/>
            <w:enabled/>
            <w:calcOnExit w:val="0"/>
            <w:checkBox>
              <w:sizeAuto/>
              <w:default w:val="1"/>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Met</w:t>
      </w:r>
      <w:r w:rsidR="002C3F5D" w:rsidRPr="00B138B1">
        <w:rPr>
          <w:b/>
        </w:rPr>
        <w:tab/>
      </w:r>
      <w:r w:rsidR="002C3F5D" w:rsidRPr="00B138B1">
        <w:rPr>
          <w:b/>
        </w:rPr>
        <w:tab/>
      </w:r>
      <w:r w:rsidR="002C3F5D" w:rsidRPr="00B138B1">
        <w:rPr>
          <w:b/>
        </w:rPr>
        <w:fldChar w:fldCharType="begin">
          <w:ffData>
            <w:name w:val="Check2"/>
            <w:enabled/>
            <w:calcOnExit w:val="0"/>
            <w:checkBox>
              <w:sizeAuto/>
              <w:default w:val="0"/>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Partially Met</w:t>
      </w:r>
      <w:r w:rsidR="002C3F5D" w:rsidRPr="00B138B1">
        <w:rPr>
          <w:b/>
        </w:rPr>
        <w:tab/>
      </w:r>
      <w:r w:rsidR="002C3F5D" w:rsidRPr="00B138B1">
        <w:rPr>
          <w:b/>
        </w:rPr>
        <w:fldChar w:fldCharType="begin">
          <w:ffData>
            <w:name w:val="Check3"/>
            <w:enabled/>
            <w:calcOnExit w:val="0"/>
            <w:checkBox>
              <w:sizeAuto/>
              <w:default w:val="0"/>
            </w:checkBox>
          </w:ffData>
        </w:fldChar>
      </w:r>
      <w:r w:rsidR="002C3F5D" w:rsidRPr="00B138B1">
        <w:rPr>
          <w:b/>
        </w:rPr>
        <w:instrText xml:space="preserve"> FORMCHECKBOX </w:instrText>
      </w:r>
      <w:r w:rsidR="003738AE">
        <w:rPr>
          <w:b/>
        </w:rPr>
      </w:r>
      <w:r w:rsidR="003738AE">
        <w:rPr>
          <w:b/>
        </w:rPr>
        <w:fldChar w:fldCharType="separate"/>
      </w:r>
      <w:r w:rsidR="002C3F5D" w:rsidRPr="00B138B1">
        <w:rPr>
          <w:b/>
        </w:rPr>
        <w:fldChar w:fldCharType="end"/>
      </w:r>
      <w:r w:rsidR="002C3F5D"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Caption w:val="Highlighted box"/>
      </w:tblPr>
      <w:tblGrid>
        <w:gridCol w:w="9016"/>
      </w:tblGrid>
      <w:tr w:rsidR="00E45C1E" w:rsidRPr="00D15C43" w14:paraId="739AAFFE" w14:textId="77777777" w:rsidTr="003738AE">
        <w:trPr>
          <w:tblHeader/>
        </w:trPr>
        <w:tc>
          <w:tcPr>
            <w:tcW w:w="9016" w:type="dxa"/>
            <w:shd w:val="clear" w:color="auto" w:fill="F2F2F2" w:themeFill="background1" w:themeFillShade="F2"/>
          </w:tcPr>
          <w:p w14:paraId="66EED628" w14:textId="77777777" w:rsidR="00E45C1E" w:rsidRPr="00D15C43" w:rsidRDefault="00E45C1E" w:rsidP="00B138B1">
            <w:pPr>
              <w:jc w:val="both"/>
              <w:rPr>
                <w:i/>
              </w:rPr>
            </w:pPr>
            <w:bookmarkStart w:id="60" w:name="_GoBack"/>
            <w:r w:rsidRPr="00D15C43">
              <w:rPr>
                <w:i/>
              </w:rPr>
              <w:t xml:space="preserve">NOPTA assesses that it has met KPI 6. </w:t>
            </w:r>
            <w:r w:rsidR="00D15C43" w:rsidRPr="00D15C43">
              <w:rPr>
                <w:i/>
              </w:rPr>
              <w:t>NOPTA has achieved results that exemplify our ongoing commit</w:t>
            </w:r>
            <w:r w:rsidR="004B4CAE">
              <w:rPr>
                <w:i/>
              </w:rPr>
              <w:t xml:space="preserve">ment </w:t>
            </w:r>
            <w:r w:rsidR="00D15C43" w:rsidRPr="00D15C43">
              <w:rPr>
                <w:i/>
              </w:rPr>
              <w:t xml:space="preserve">to continuous improvement with a culture that embraces innovation, efficiency and stakeholder engagement. This is reflected in </w:t>
            </w:r>
            <w:r w:rsidR="00B17DDC">
              <w:rPr>
                <w:i/>
              </w:rPr>
              <w:t>its</w:t>
            </w:r>
            <w:r w:rsidR="00B17DDC" w:rsidRPr="00D15C43">
              <w:rPr>
                <w:i/>
              </w:rPr>
              <w:t xml:space="preserve"> </w:t>
            </w:r>
            <w:r w:rsidR="00D15C43" w:rsidRPr="00D15C43">
              <w:rPr>
                <w:i/>
              </w:rPr>
              <w:t xml:space="preserve">daily business practices and strong relationships with key government and industry stakeholders.  </w:t>
            </w:r>
          </w:p>
        </w:tc>
      </w:tr>
      <w:bookmarkEnd w:id="60"/>
    </w:tbl>
    <w:p w14:paraId="105E9FF5" w14:textId="77777777" w:rsidR="00E45C1E" w:rsidRPr="00772396" w:rsidRDefault="00E45C1E" w:rsidP="00772396">
      <w:pPr>
        <w:spacing w:after="0" w:line="240" w:lineRule="auto"/>
      </w:pPr>
    </w:p>
    <w:p w14:paraId="192B3713" w14:textId="77777777" w:rsidR="003E7189" w:rsidRPr="00C80E21" w:rsidRDefault="001D26BB" w:rsidP="00B138B1">
      <w:pPr>
        <w:pStyle w:val="ListParagraph"/>
        <w:numPr>
          <w:ilvl w:val="0"/>
          <w:numId w:val="33"/>
        </w:numPr>
        <w:spacing w:before="0" w:after="120"/>
        <w:ind w:left="426" w:hanging="426"/>
        <w:contextualSpacing w:val="0"/>
        <w:jc w:val="both"/>
        <w:rPr>
          <w:rFonts w:asciiTheme="minorHAnsi" w:hAnsiTheme="minorHAnsi"/>
          <w:color w:val="auto"/>
          <w:sz w:val="22"/>
          <w:szCs w:val="22"/>
        </w:rPr>
      </w:pPr>
      <w:r>
        <w:rPr>
          <w:rFonts w:asciiTheme="minorHAnsi" w:hAnsiTheme="minorHAnsi"/>
          <w:color w:val="auto"/>
          <w:sz w:val="22"/>
          <w:szCs w:val="22"/>
        </w:rPr>
        <w:t>P</w:t>
      </w:r>
      <w:r w:rsidR="003E7189" w:rsidRPr="00C80E21">
        <w:rPr>
          <w:rFonts w:asciiTheme="minorHAnsi" w:hAnsiTheme="minorHAnsi"/>
          <w:color w:val="auto"/>
          <w:sz w:val="22"/>
          <w:szCs w:val="22"/>
        </w:rPr>
        <w:t xml:space="preserve">rovided input and technical support to legislative amendments led by the </w:t>
      </w:r>
      <w:r w:rsidR="00D03C6D">
        <w:rPr>
          <w:rFonts w:asciiTheme="minorHAnsi" w:hAnsiTheme="minorHAnsi"/>
          <w:color w:val="auto"/>
          <w:sz w:val="22"/>
          <w:szCs w:val="22"/>
        </w:rPr>
        <w:t>D</w:t>
      </w:r>
      <w:r w:rsidR="003E7189" w:rsidRPr="00C80E21">
        <w:rPr>
          <w:rFonts w:asciiTheme="minorHAnsi" w:hAnsiTheme="minorHAnsi"/>
          <w:color w:val="auto"/>
          <w:sz w:val="22"/>
          <w:szCs w:val="22"/>
        </w:rPr>
        <w:t>epartment’s Offshore Resources Branch</w:t>
      </w:r>
      <w:r w:rsidR="00276889" w:rsidRPr="00C80E21">
        <w:rPr>
          <w:rFonts w:asciiTheme="minorHAnsi" w:hAnsiTheme="minorHAnsi"/>
          <w:color w:val="auto"/>
          <w:sz w:val="22"/>
          <w:szCs w:val="22"/>
        </w:rPr>
        <w:t xml:space="preserve"> (ORB)</w:t>
      </w:r>
      <w:r w:rsidR="003E7189" w:rsidRPr="00C80E21">
        <w:rPr>
          <w:rFonts w:asciiTheme="minorHAnsi" w:hAnsiTheme="minorHAnsi"/>
          <w:color w:val="auto"/>
          <w:sz w:val="22"/>
          <w:szCs w:val="22"/>
        </w:rPr>
        <w:t xml:space="preserve">. </w:t>
      </w:r>
    </w:p>
    <w:p w14:paraId="29EC88CE" w14:textId="77777777" w:rsidR="00533796" w:rsidRPr="00EF1099" w:rsidRDefault="00533796" w:rsidP="00B138B1">
      <w:pPr>
        <w:pStyle w:val="ListParagraph"/>
        <w:numPr>
          <w:ilvl w:val="0"/>
          <w:numId w:val="33"/>
        </w:numPr>
        <w:spacing w:before="0" w:after="120"/>
        <w:ind w:left="426" w:hanging="426"/>
        <w:contextualSpacing w:val="0"/>
        <w:jc w:val="both"/>
        <w:rPr>
          <w:rFonts w:asciiTheme="minorHAnsi" w:hAnsiTheme="minorHAnsi"/>
          <w:color w:val="auto"/>
          <w:sz w:val="22"/>
          <w:szCs w:val="22"/>
        </w:rPr>
      </w:pPr>
      <w:r w:rsidRPr="00EF1099">
        <w:rPr>
          <w:rFonts w:asciiTheme="minorHAnsi" w:hAnsiTheme="minorHAnsi"/>
          <w:color w:val="auto"/>
          <w:sz w:val="22"/>
          <w:szCs w:val="22"/>
        </w:rPr>
        <w:t xml:space="preserve">Worked </w:t>
      </w:r>
      <w:r w:rsidR="00F1120D">
        <w:rPr>
          <w:rFonts w:asciiTheme="minorHAnsi" w:hAnsiTheme="minorHAnsi"/>
          <w:color w:val="auto"/>
          <w:sz w:val="22"/>
          <w:szCs w:val="22"/>
        </w:rPr>
        <w:t xml:space="preserve">closely </w:t>
      </w:r>
      <w:r w:rsidRPr="00EF1099">
        <w:rPr>
          <w:rFonts w:asciiTheme="minorHAnsi" w:hAnsiTheme="minorHAnsi"/>
          <w:color w:val="auto"/>
          <w:sz w:val="22"/>
          <w:szCs w:val="22"/>
        </w:rPr>
        <w:t xml:space="preserve">with the Offshore Resources Branch and NOPSEMA on decommissioning matters, including the publication of a guideline and progressing an interagency protocol </w:t>
      </w:r>
      <w:r w:rsidR="00EF1099">
        <w:rPr>
          <w:rFonts w:asciiTheme="minorHAnsi" w:hAnsiTheme="minorHAnsi"/>
          <w:color w:val="auto"/>
          <w:sz w:val="22"/>
          <w:szCs w:val="22"/>
        </w:rPr>
        <w:t>(see KPI 2)</w:t>
      </w:r>
    </w:p>
    <w:p w14:paraId="72490373" w14:textId="77777777" w:rsidR="00FA6B05" w:rsidRPr="00012F08" w:rsidRDefault="00FA6B05" w:rsidP="00B138B1">
      <w:pPr>
        <w:pStyle w:val="ListParagraph"/>
        <w:numPr>
          <w:ilvl w:val="0"/>
          <w:numId w:val="33"/>
        </w:numPr>
        <w:spacing w:before="0" w:after="120"/>
        <w:ind w:left="426" w:hanging="426"/>
        <w:contextualSpacing w:val="0"/>
        <w:jc w:val="both"/>
        <w:rPr>
          <w:rFonts w:asciiTheme="minorHAnsi" w:hAnsiTheme="minorHAnsi"/>
          <w:color w:val="auto"/>
          <w:sz w:val="22"/>
          <w:szCs w:val="22"/>
        </w:rPr>
      </w:pPr>
      <w:r w:rsidRPr="00911E1C">
        <w:rPr>
          <w:rFonts w:asciiTheme="minorHAnsi" w:hAnsiTheme="minorHAnsi"/>
          <w:color w:val="auto"/>
          <w:sz w:val="22"/>
          <w:szCs w:val="22"/>
        </w:rPr>
        <w:t xml:space="preserve">Published new and updated guidelines, which included a consultation and feedback process with key stakeholders (also see KPI 2). </w:t>
      </w:r>
    </w:p>
    <w:p w14:paraId="761650F4" w14:textId="77777777" w:rsidR="00B225A7" w:rsidRDefault="00B17DDC" w:rsidP="00B138B1">
      <w:pPr>
        <w:pStyle w:val="ListParagraph"/>
        <w:numPr>
          <w:ilvl w:val="0"/>
          <w:numId w:val="33"/>
        </w:numPr>
        <w:spacing w:before="0" w:after="0"/>
        <w:ind w:left="426" w:hanging="426"/>
        <w:contextualSpacing w:val="0"/>
        <w:jc w:val="both"/>
        <w:rPr>
          <w:rFonts w:asciiTheme="minorHAnsi" w:hAnsiTheme="minorHAnsi" w:cs="Arial"/>
          <w:color w:val="auto"/>
          <w:sz w:val="22"/>
          <w:szCs w:val="22"/>
          <w:lang w:val="en"/>
        </w:rPr>
      </w:pPr>
      <w:r>
        <w:rPr>
          <w:rFonts w:asciiTheme="minorHAnsi" w:hAnsiTheme="minorHAnsi" w:cs="Arial"/>
          <w:color w:val="auto"/>
          <w:sz w:val="22"/>
          <w:szCs w:val="22"/>
          <w:lang w:val="en"/>
        </w:rPr>
        <w:t xml:space="preserve">NOPTA has </w:t>
      </w:r>
      <w:r w:rsidR="00B225A7" w:rsidRPr="00C80E21">
        <w:rPr>
          <w:rFonts w:asciiTheme="minorHAnsi" w:hAnsiTheme="minorHAnsi" w:cs="Arial"/>
          <w:color w:val="auto"/>
          <w:sz w:val="22"/>
          <w:szCs w:val="22"/>
          <w:lang w:val="en"/>
        </w:rPr>
        <w:t xml:space="preserve">a dedicated feedback email </w:t>
      </w:r>
      <w:r w:rsidR="00837BDE">
        <w:rPr>
          <w:rFonts w:asciiTheme="minorHAnsi" w:hAnsiTheme="minorHAnsi" w:cs="Arial"/>
          <w:color w:val="auto"/>
          <w:sz w:val="22"/>
          <w:szCs w:val="22"/>
          <w:lang w:val="en"/>
        </w:rPr>
        <w:t>(</w:t>
      </w:r>
      <w:hyperlink r:id="rId15" w:history="1">
        <w:r w:rsidR="00B225A7" w:rsidRPr="00C80E21">
          <w:rPr>
            <w:rStyle w:val="Hyperlink"/>
            <w:rFonts w:asciiTheme="minorHAnsi" w:eastAsiaTheme="majorEastAsia" w:hAnsiTheme="minorHAnsi" w:cs="Arial"/>
            <w:color w:val="2E74B5" w:themeColor="accent1" w:themeShade="BF"/>
            <w:sz w:val="22"/>
            <w:szCs w:val="22"/>
            <w:lang w:val="en"/>
          </w:rPr>
          <w:t>feedback@nopta.gov.au</w:t>
        </w:r>
      </w:hyperlink>
      <w:r w:rsidR="00837BDE" w:rsidRPr="00837BDE">
        <w:rPr>
          <w:rStyle w:val="Hyperlink"/>
          <w:rFonts w:asciiTheme="minorHAnsi" w:eastAsiaTheme="majorEastAsia" w:hAnsiTheme="minorHAnsi" w:cs="Arial"/>
          <w:color w:val="auto"/>
          <w:sz w:val="22"/>
          <w:szCs w:val="22"/>
          <w:lang w:val="en"/>
        </w:rPr>
        <w:t>)</w:t>
      </w:r>
      <w:r w:rsidR="00B225A7" w:rsidRPr="00C80E21">
        <w:rPr>
          <w:rFonts w:asciiTheme="minorHAnsi" w:hAnsiTheme="minorHAnsi" w:cs="Arial"/>
          <w:color w:val="auto"/>
          <w:sz w:val="22"/>
          <w:szCs w:val="22"/>
          <w:lang w:val="en"/>
        </w:rPr>
        <w:t xml:space="preserve"> located on </w:t>
      </w:r>
      <w:r>
        <w:rPr>
          <w:rFonts w:asciiTheme="minorHAnsi" w:hAnsiTheme="minorHAnsi" w:cs="Arial"/>
          <w:color w:val="auto"/>
          <w:sz w:val="22"/>
          <w:szCs w:val="22"/>
          <w:lang w:val="en"/>
        </w:rPr>
        <w:t>its</w:t>
      </w:r>
      <w:r w:rsidRPr="00C80E21">
        <w:rPr>
          <w:rFonts w:asciiTheme="minorHAnsi" w:hAnsiTheme="minorHAnsi" w:cs="Arial"/>
          <w:color w:val="auto"/>
          <w:sz w:val="22"/>
          <w:szCs w:val="22"/>
          <w:lang w:val="en"/>
        </w:rPr>
        <w:t xml:space="preserve"> </w:t>
      </w:r>
      <w:r w:rsidR="00B225A7" w:rsidRPr="00C80E21">
        <w:rPr>
          <w:rFonts w:asciiTheme="minorHAnsi" w:hAnsiTheme="minorHAnsi" w:cs="Arial"/>
          <w:color w:val="auto"/>
          <w:sz w:val="22"/>
          <w:szCs w:val="22"/>
          <w:lang w:val="en"/>
        </w:rPr>
        <w:t>website (see KPI</w:t>
      </w:r>
      <w:r w:rsidR="00B138B1">
        <w:rPr>
          <w:rFonts w:asciiTheme="minorHAnsi" w:hAnsiTheme="minorHAnsi" w:cs="Arial"/>
          <w:color w:val="auto"/>
          <w:sz w:val="22"/>
          <w:szCs w:val="22"/>
          <w:lang w:val="en"/>
        </w:rPr>
        <w:t> </w:t>
      </w:r>
      <w:r w:rsidR="00B225A7" w:rsidRPr="00C80E21">
        <w:rPr>
          <w:rFonts w:asciiTheme="minorHAnsi" w:hAnsiTheme="minorHAnsi" w:cs="Arial"/>
          <w:color w:val="auto"/>
          <w:sz w:val="22"/>
          <w:szCs w:val="22"/>
          <w:lang w:val="en"/>
        </w:rPr>
        <w:t>3).</w:t>
      </w:r>
    </w:p>
    <w:p w14:paraId="512C9C59" w14:textId="201B4341" w:rsidR="00733473" w:rsidRDefault="00733473" w:rsidP="00B138B1">
      <w:pPr>
        <w:spacing w:after="0"/>
        <w:jc w:val="both"/>
        <w:rPr>
          <w:rFonts w:cs="Arial"/>
          <w:lang w:val="en"/>
        </w:rPr>
      </w:pPr>
    </w:p>
    <w:p w14:paraId="50EFE396" w14:textId="1DFADC91" w:rsidR="00330DDE" w:rsidRDefault="00330DDE">
      <w:pPr>
        <w:rPr>
          <w:rFonts w:cs="Arial"/>
          <w:lang w:val="en"/>
        </w:rPr>
      </w:pPr>
      <w:r>
        <w:rPr>
          <w:rFonts w:cs="Arial"/>
          <w:lang w:val="en"/>
        </w:rPr>
        <w:br w:type="page"/>
      </w:r>
    </w:p>
    <w:p w14:paraId="3BEC6FCE" w14:textId="05997BBE" w:rsidR="00330DDE" w:rsidRPr="00330DDE" w:rsidRDefault="00330DDE" w:rsidP="00330DDE">
      <w:pPr>
        <w:pStyle w:val="Heading1"/>
        <w:spacing w:line="240" w:lineRule="auto"/>
        <w:rPr>
          <w:b/>
        </w:rPr>
      </w:pPr>
      <w:bookmarkStart w:id="61" w:name="_Toc528835752"/>
      <w:r w:rsidRPr="00330DDE">
        <w:rPr>
          <w:b/>
        </w:rPr>
        <w:lastRenderedPageBreak/>
        <w:t>External Validation Comments</w:t>
      </w:r>
      <w:bookmarkEnd w:id="61"/>
      <w:r w:rsidRPr="00330DDE">
        <w:rPr>
          <w:b/>
        </w:rPr>
        <w:t xml:space="preserve"> </w:t>
      </w:r>
    </w:p>
    <w:p w14:paraId="199FDAA1" w14:textId="4207B59C" w:rsidR="00E2188A" w:rsidRDefault="00E2188A" w:rsidP="00330DDE">
      <w:pPr>
        <w:spacing w:after="0" w:line="240" w:lineRule="auto"/>
        <w:jc w:val="both"/>
      </w:pPr>
      <w:r>
        <w:t>The Industry Growth Centres Advisory Committee (GCAC) is NOPTA’s independent validating body for the self-assessment against the six KPIs of the RPF. GCAC provided unconditional support of this self-assessment report. The following comments were provided:</w:t>
      </w:r>
    </w:p>
    <w:p w14:paraId="38F693C8" w14:textId="77777777" w:rsidR="00E2188A" w:rsidRDefault="00E2188A" w:rsidP="00330DDE">
      <w:pPr>
        <w:spacing w:after="0" w:line="240" w:lineRule="auto"/>
        <w:jc w:val="both"/>
      </w:pPr>
    </w:p>
    <w:p w14:paraId="3AF2EAD1" w14:textId="7623276F" w:rsidR="00E2188A" w:rsidRPr="00E2188A" w:rsidRDefault="00E2188A" w:rsidP="00330DDE">
      <w:pPr>
        <w:spacing w:after="0" w:line="240" w:lineRule="auto"/>
        <w:jc w:val="both"/>
        <w:rPr>
          <w:b/>
          <w:i/>
        </w:rPr>
      </w:pPr>
      <w:r w:rsidRPr="00E2188A">
        <w:rPr>
          <w:b/>
          <w:i/>
        </w:rPr>
        <w:t>GCAC comments – NOPTA 2017-18 RPF self-assessment</w:t>
      </w:r>
    </w:p>
    <w:p w14:paraId="4B3CB5EA" w14:textId="2BAA2FA7" w:rsidR="00330DDE" w:rsidRPr="00E2188A" w:rsidRDefault="00330DDE" w:rsidP="00330DDE">
      <w:pPr>
        <w:spacing w:after="0" w:line="240" w:lineRule="auto"/>
        <w:jc w:val="both"/>
        <w:rPr>
          <w:i/>
        </w:rPr>
      </w:pPr>
      <w:r w:rsidRPr="00E2188A">
        <w:rPr>
          <w:i/>
        </w:rPr>
        <w:t xml:space="preserve">The key purpose of the RPF is to improve regulator’s performance by being publicly accountable in demonstrating effective management of risk.  Overall, NOPTA’s self- assessment is a positive reflection that it has implemented the RPF and met its six KPI’s. </w:t>
      </w:r>
    </w:p>
    <w:p w14:paraId="731BB86F" w14:textId="77777777" w:rsidR="00330DDE" w:rsidRPr="00E2188A" w:rsidRDefault="00330DDE" w:rsidP="00330DDE">
      <w:pPr>
        <w:spacing w:after="0" w:line="240" w:lineRule="auto"/>
        <w:jc w:val="both"/>
        <w:rPr>
          <w:i/>
        </w:rPr>
      </w:pPr>
    </w:p>
    <w:p w14:paraId="097F5FC8" w14:textId="7C282897" w:rsidR="00330DDE" w:rsidRPr="00E2188A" w:rsidRDefault="00330DDE" w:rsidP="0058072D">
      <w:pPr>
        <w:spacing w:after="120" w:line="240" w:lineRule="auto"/>
        <w:jc w:val="both"/>
        <w:rPr>
          <w:i/>
          <w:color w:val="000000"/>
        </w:rPr>
      </w:pPr>
      <w:r w:rsidRPr="00E2188A">
        <w:rPr>
          <w:i/>
        </w:rPr>
        <w:t>The self-assessment is comprehensive and considers all of the administrative functions of the Titles Administrator for the Offshore Petroleum and Greenhouse Gas Storage Act</w:t>
      </w:r>
      <w:r w:rsidR="00E2188A" w:rsidRPr="00E2188A">
        <w:rPr>
          <w:i/>
        </w:rPr>
        <w:t xml:space="preserve"> 2006</w:t>
      </w:r>
      <w:r w:rsidRPr="00E2188A">
        <w:rPr>
          <w:i/>
        </w:rPr>
        <w:t xml:space="preserve"> and its interaction with stakeholders. NOPTA’s performance KPI’s adequately cover the administrative functions of the organisation. </w:t>
      </w:r>
      <w:r w:rsidRPr="00E2188A">
        <w:rPr>
          <w:i/>
          <w:color w:val="000000"/>
        </w:rPr>
        <w:t>The link between evidence and performance measures is well documented and supports NOPTA’s focus on reducing regulatory burden, improving efficiency and open, transparent dealing with industry. There is a formal mechanism in place for regulated entities to provide feedback on NOPTA’s performance. The quarterly dashboard report provides aggregate key performance statistics relating to application processing timeframes, data management and financials. NOPTA has established an annual field performance update with Operators to discuss field performance, insights and planned activities.</w:t>
      </w:r>
    </w:p>
    <w:p w14:paraId="768A2D08" w14:textId="77777777" w:rsidR="00330DDE" w:rsidRPr="00E2188A" w:rsidRDefault="00330DDE" w:rsidP="00330DDE">
      <w:pPr>
        <w:numPr>
          <w:ilvl w:val="0"/>
          <w:numId w:val="42"/>
        </w:numPr>
        <w:spacing w:after="120" w:line="240" w:lineRule="auto"/>
        <w:ind w:left="426" w:hanging="426"/>
        <w:jc w:val="both"/>
        <w:rPr>
          <w:rFonts w:eastAsia="Times New Roman"/>
          <w:i/>
        </w:rPr>
      </w:pPr>
      <w:r w:rsidRPr="00E2188A">
        <w:rPr>
          <w:rFonts w:eastAsia="Times New Roman"/>
          <w:i/>
        </w:rPr>
        <w:t>NOPTA does not impede activities of regulated entities;</w:t>
      </w:r>
    </w:p>
    <w:p w14:paraId="2DEE80A5" w14:textId="77777777" w:rsidR="00330DDE" w:rsidRPr="00E2188A" w:rsidRDefault="00330DDE" w:rsidP="00330DDE">
      <w:pPr>
        <w:numPr>
          <w:ilvl w:val="0"/>
          <w:numId w:val="42"/>
        </w:numPr>
        <w:spacing w:after="120" w:line="240" w:lineRule="auto"/>
        <w:ind w:left="426" w:hanging="426"/>
        <w:jc w:val="both"/>
        <w:rPr>
          <w:rFonts w:eastAsia="Times New Roman"/>
          <w:i/>
        </w:rPr>
      </w:pPr>
      <w:r w:rsidRPr="00E2188A">
        <w:rPr>
          <w:rFonts w:eastAsia="Times New Roman"/>
          <w:i/>
        </w:rPr>
        <w:t>NOPTA communication is clear and targeted;</w:t>
      </w:r>
    </w:p>
    <w:p w14:paraId="31CA13C8" w14:textId="77777777" w:rsidR="00330DDE" w:rsidRPr="00E2188A" w:rsidRDefault="00330DDE" w:rsidP="00330DDE">
      <w:pPr>
        <w:numPr>
          <w:ilvl w:val="0"/>
          <w:numId w:val="42"/>
        </w:numPr>
        <w:spacing w:after="120" w:line="240" w:lineRule="auto"/>
        <w:ind w:left="426" w:hanging="426"/>
        <w:jc w:val="both"/>
        <w:rPr>
          <w:rFonts w:eastAsia="Times New Roman"/>
          <w:i/>
        </w:rPr>
      </w:pPr>
      <w:r w:rsidRPr="00E2188A">
        <w:rPr>
          <w:rFonts w:eastAsia="Times New Roman"/>
          <w:i/>
        </w:rPr>
        <w:t>NOPTA actions are proportionate to risk being managed;</w:t>
      </w:r>
    </w:p>
    <w:p w14:paraId="3065B154" w14:textId="77777777" w:rsidR="00330DDE" w:rsidRPr="00E2188A" w:rsidRDefault="00330DDE" w:rsidP="00330DDE">
      <w:pPr>
        <w:numPr>
          <w:ilvl w:val="0"/>
          <w:numId w:val="42"/>
        </w:numPr>
        <w:spacing w:after="120" w:line="240" w:lineRule="auto"/>
        <w:ind w:left="426" w:hanging="426"/>
        <w:jc w:val="both"/>
        <w:rPr>
          <w:rFonts w:eastAsia="Times New Roman"/>
          <w:i/>
        </w:rPr>
      </w:pPr>
      <w:r w:rsidRPr="00E2188A">
        <w:rPr>
          <w:rFonts w:eastAsia="Times New Roman"/>
          <w:i/>
        </w:rPr>
        <w:t>NOPTA dealings are open and transparent with Titleholders. NOPTA has published a Statement of Intent in response to the Minister’s Statement of Expectations and both documents are published on its website. One potential improvement is to provide greater transparency to industry on the management of good standing agreements;</w:t>
      </w:r>
    </w:p>
    <w:p w14:paraId="4850BCE8" w14:textId="77777777" w:rsidR="00330DDE" w:rsidRPr="00E2188A" w:rsidRDefault="00330DDE" w:rsidP="00330DDE">
      <w:pPr>
        <w:numPr>
          <w:ilvl w:val="0"/>
          <w:numId w:val="42"/>
        </w:numPr>
        <w:spacing w:after="120" w:line="240" w:lineRule="auto"/>
        <w:ind w:left="426" w:hanging="426"/>
        <w:jc w:val="both"/>
        <w:rPr>
          <w:rFonts w:eastAsia="Times New Roman"/>
          <w:i/>
        </w:rPr>
      </w:pPr>
      <w:r w:rsidRPr="00E2188A">
        <w:rPr>
          <w:rFonts w:eastAsia="Times New Roman"/>
          <w:i/>
        </w:rPr>
        <w:t>NOPTA actively contributes to continuous improvement-data management, Retention Lease management, resource management, basin wide developments, shared infrastructure, end of field life management business models;</w:t>
      </w:r>
    </w:p>
    <w:p w14:paraId="5C6BDE81" w14:textId="77777777" w:rsidR="00330DDE" w:rsidRPr="00E2188A" w:rsidRDefault="00330DDE" w:rsidP="00330DDE">
      <w:pPr>
        <w:numPr>
          <w:ilvl w:val="0"/>
          <w:numId w:val="42"/>
        </w:numPr>
        <w:spacing w:after="120" w:line="240" w:lineRule="auto"/>
        <w:ind w:left="426" w:hanging="426"/>
        <w:jc w:val="both"/>
        <w:rPr>
          <w:rFonts w:eastAsia="Times New Roman"/>
          <w:i/>
        </w:rPr>
      </w:pPr>
      <w:r w:rsidRPr="00E2188A">
        <w:rPr>
          <w:rFonts w:eastAsia="Times New Roman"/>
          <w:i/>
        </w:rPr>
        <w:t>NOPTA continues to collaborate with Geoscience Australia to further develop the National Petroleum Information Management System;</w:t>
      </w:r>
    </w:p>
    <w:p w14:paraId="3143ECFB" w14:textId="77777777" w:rsidR="00330DDE" w:rsidRPr="00E2188A" w:rsidRDefault="00330DDE" w:rsidP="00330DDE">
      <w:pPr>
        <w:numPr>
          <w:ilvl w:val="0"/>
          <w:numId w:val="43"/>
        </w:numPr>
        <w:spacing w:after="120" w:line="240" w:lineRule="auto"/>
        <w:ind w:left="426" w:hanging="426"/>
        <w:rPr>
          <w:rFonts w:eastAsia="Times New Roman"/>
          <w:i/>
        </w:rPr>
      </w:pPr>
      <w:r w:rsidRPr="00E2188A">
        <w:rPr>
          <w:rFonts w:eastAsia="Times New Roman"/>
          <w:i/>
        </w:rPr>
        <w:t>NOPTA communicates effectively with NOPSEMA to address emerging issues such as new entrants to industry; financial transactions at end of field life and asset decommissioning.</w:t>
      </w:r>
    </w:p>
    <w:p w14:paraId="15E7252A" w14:textId="77777777" w:rsidR="00330DDE" w:rsidRPr="00E2188A" w:rsidRDefault="00330DDE" w:rsidP="00330DDE">
      <w:pPr>
        <w:pStyle w:val="ListParagraph"/>
        <w:spacing w:before="0" w:after="0"/>
        <w:contextualSpacing w:val="0"/>
        <w:jc w:val="both"/>
        <w:rPr>
          <w:rFonts w:eastAsiaTheme="minorHAnsi"/>
          <w:i/>
        </w:rPr>
      </w:pPr>
    </w:p>
    <w:p w14:paraId="379E84D0" w14:textId="77777777" w:rsidR="00330DDE" w:rsidRPr="00E2188A" w:rsidRDefault="00330DDE" w:rsidP="00330DDE">
      <w:pPr>
        <w:spacing w:after="0" w:line="240" w:lineRule="auto"/>
        <w:jc w:val="both"/>
        <w:rPr>
          <w:i/>
        </w:rPr>
      </w:pPr>
      <w:r w:rsidRPr="00E2188A">
        <w:rPr>
          <w:i/>
        </w:rPr>
        <w:t>NOPTA is an effective and pragmatic administrator and the regulated entities strongly support NOPTA in its role.</w:t>
      </w:r>
    </w:p>
    <w:p w14:paraId="3776D7FA" w14:textId="77777777" w:rsidR="00595B5B" w:rsidRPr="00595B5B" w:rsidRDefault="00595B5B" w:rsidP="00595B5B"/>
    <w:p w14:paraId="65485CE6" w14:textId="77777777" w:rsidR="00595B5B" w:rsidRPr="00595B5B" w:rsidRDefault="00595B5B" w:rsidP="00595B5B"/>
    <w:p w14:paraId="2420BD8C" w14:textId="77777777" w:rsidR="00595B5B" w:rsidRPr="00595B5B" w:rsidRDefault="00595B5B" w:rsidP="00595B5B"/>
    <w:p w14:paraId="17145D1B" w14:textId="77777777" w:rsidR="00595B5B" w:rsidRPr="00595B5B" w:rsidRDefault="00595B5B" w:rsidP="00595B5B"/>
    <w:p w14:paraId="0344A5F6" w14:textId="77777777" w:rsidR="00595B5B" w:rsidRPr="00595B5B" w:rsidRDefault="00595B5B" w:rsidP="00595B5B"/>
    <w:p w14:paraId="7B9F76FA" w14:textId="77777777" w:rsidR="00595B5B" w:rsidRPr="00595B5B" w:rsidRDefault="00595B5B" w:rsidP="00595B5B"/>
    <w:p w14:paraId="2FA43FE6" w14:textId="77777777" w:rsidR="00BD6256" w:rsidRPr="00595B5B" w:rsidRDefault="00BD6256" w:rsidP="00595B5B">
      <w:pPr>
        <w:jc w:val="center"/>
      </w:pPr>
    </w:p>
    <w:sectPr w:rsidR="00BD6256" w:rsidRPr="00595B5B" w:rsidSect="002907D3">
      <w:footerReference w:type="default" r:id="rId16"/>
      <w:pgSz w:w="11906" w:h="16838"/>
      <w:pgMar w:top="851" w:right="1440" w:bottom="993"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36FAF" w14:textId="77777777" w:rsidR="00F1120D" w:rsidRDefault="00F1120D" w:rsidP="00351ECA">
      <w:pPr>
        <w:spacing w:after="0" w:line="240" w:lineRule="auto"/>
      </w:pPr>
      <w:r>
        <w:separator/>
      </w:r>
    </w:p>
  </w:endnote>
  <w:endnote w:type="continuationSeparator" w:id="0">
    <w:p w14:paraId="2178D1D0" w14:textId="77777777" w:rsidR="00F1120D" w:rsidRDefault="00F1120D" w:rsidP="0035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 Sans Pro">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323256"/>
      <w:docPartObj>
        <w:docPartGallery w:val="Page Numbers (Bottom of Page)"/>
        <w:docPartUnique/>
      </w:docPartObj>
    </w:sdtPr>
    <w:sdtEndPr>
      <w:rPr>
        <w:color w:val="7F7F7F" w:themeColor="background1" w:themeShade="7F"/>
        <w:spacing w:val="60"/>
      </w:rPr>
    </w:sdtEndPr>
    <w:sdtContent>
      <w:p w14:paraId="6AED3781" w14:textId="77777777" w:rsidR="00F1120D" w:rsidRDefault="00F112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738AE">
          <w:rPr>
            <w:noProof/>
          </w:rPr>
          <w:t>12</w:t>
        </w:r>
        <w:r>
          <w:rPr>
            <w:noProof/>
          </w:rPr>
          <w:fldChar w:fldCharType="end"/>
        </w:r>
        <w:r>
          <w:t xml:space="preserve"> | </w:t>
        </w:r>
        <w:r>
          <w:rPr>
            <w:color w:val="7F7F7F" w:themeColor="background1" w:themeShade="7F"/>
            <w:spacing w:val="60"/>
          </w:rPr>
          <w:t>Page</w:t>
        </w:r>
      </w:p>
    </w:sdtContent>
  </w:sdt>
  <w:p w14:paraId="2977353E" w14:textId="77777777" w:rsidR="00F1120D" w:rsidRDefault="00F11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4F37E" w14:textId="77777777" w:rsidR="00F1120D" w:rsidRDefault="00F1120D" w:rsidP="00351ECA">
      <w:pPr>
        <w:spacing w:after="0" w:line="240" w:lineRule="auto"/>
      </w:pPr>
      <w:r>
        <w:separator/>
      </w:r>
    </w:p>
  </w:footnote>
  <w:footnote w:type="continuationSeparator" w:id="0">
    <w:p w14:paraId="01F5DDE4" w14:textId="77777777" w:rsidR="00F1120D" w:rsidRDefault="00F1120D" w:rsidP="00351ECA">
      <w:pPr>
        <w:spacing w:after="0" w:line="240" w:lineRule="auto"/>
      </w:pPr>
      <w:r>
        <w:continuationSeparator/>
      </w:r>
    </w:p>
  </w:footnote>
  <w:footnote w:id="1">
    <w:p w14:paraId="77A0553B" w14:textId="77777777" w:rsidR="00837BDE" w:rsidRDefault="00837BDE">
      <w:pPr>
        <w:pStyle w:val="FootnoteText"/>
      </w:pPr>
      <w:r>
        <w:rPr>
          <w:rStyle w:val="FootnoteReference"/>
        </w:rPr>
        <w:footnoteRef/>
      </w:r>
      <w:r>
        <w:t xml:space="preserve"> See: </w:t>
      </w:r>
      <w:hyperlink r:id="rId1" w:tooltip="NOPTA website: Regulator Performance Framework" w:history="1">
        <w:r>
          <w:rPr>
            <w:rStyle w:val="Hyperlink"/>
            <w:rFonts w:cs="Arial"/>
          </w:rPr>
          <w:t>http://www.nopta.gov.au/media/self-assessment/index.html</w:t>
        </w:r>
      </w:hyperlink>
    </w:p>
  </w:footnote>
  <w:footnote w:id="2">
    <w:p w14:paraId="5CF2A5AD" w14:textId="77777777" w:rsidR="00837BDE" w:rsidRDefault="00837BDE">
      <w:pPr>
        <w:pStyle w:val="FootnoteText"/>
      </w:pPr>
      <w:r>
        <w:rPr>
          <w:rStyle w:val="FootnoteReference"/>
        </w:rPr>
        <w:footnoteRef/>
      </w:r>
      <w:r>
        <w:t xml:space="preserve"> See: </w:t>
      </w:r>
      <w:hyperlink r:id="rId2" w:history="1">
        <w:r w:rsidRPr="0030250B">
          <w:rPr>
            <w:rStyle w:val="Hyperlink"/>
          </w:rPr>
          <w:t>https://www.industry.gov.au/</w:t>
        </w:r>
      </w:hyperlink>
      <w:r>
        <w:t xml:space="preserve"> </w:t>
      </w:r>
    </w:p>
  </w:footnote>
  <w:footnote w:id="3">
    <w:p w14:paraId="63CAD7C1" w14:textId="77777777" w:rsidR="00F1120D" w:rsidRPr="007D4D42" w:rsidRDefault="00F1120D" w:rsidP="005B6935">
      <w:pPr>
        <w:pStyle w:val="FootnoteText"/>
      </w:pPr>
      <w:r>
        <w:rPr>
          <w:rStyle w:val="FootnoteReference"/>
        </w:rPr>
        <w:footnoteRef/>
      </w:r>
      <w:r>
        <w:t xml:space="preserve"> See: </w:t>
      </w:r>
      <w:hyperlink r:id="rId3" w:history="1">
        <w:r w:rsidRPr="007127B7">
          <w:rPr>
            <w:rStyle w:val="Hyperlink"/>
          </w:rPr>
          <w:t>http://www.nopta.gov.au/about.html</w:t>
        </w:r>
      </w:hyperlink>
      <w:r>
        <w:t xml:space="preserve"> </w:t>
      </w:r>
    </w:p>
  </w:footnote>
  <w:footnote w:id="4">
    <w:p w14:paraId="77C3F541" w14:textId="77777777" w:rsidR="00F1120D" w:rsidRDefault="00F1120D">
      <w:pPr>
        <w:pStyle w:val="FootnoteText"/>
      </w:pPr>
      <w:r>
        <w:rPr>
          <w:rStyle w:val="FootnoteReference"/>
        </w:rPr>
        <w:footnoteRef/>
      </w:r>
      <w:r>
        <w:t xml:space="preserve"> See: </w:t>
      </w:r>
      <w:hyperlink r:id="rId4" w:history="1">
        <w:r w:rsidRPr="00B70585">
          <w:rPr>
            <w:rStyle w:val="Hyperlink"/>
          </w:rPr>
          <w:t>http://www.nopta.gov.au/media/operational-review/index.html</w:t>
        </w:r>
      </w:hyperlink>
      <w:r>
        <w:t xml:space="preserve"> </w:t>
      </w:r>
    </w:p>
  </w:footnote>
  <w:footnote w:id="5">
    <w:p w14:paraId="33A4BF44" w14:textId="77777777" w:rsidR="00F1120D" w:rsidRDefault="00F1120D">
      <w:pPr>
        <w:pStyle w:val="FootnoteText"/>
      </w:pPr>
      <w:r>
        <w:rPr>
          <w:rStyle w:val="FootnoteReference"/>
        </w:rPr>
        <w:footnoteRef/>
      </w:r>
      <w:r>
        <w:t xml:space="preserve"> </w:t>
      </w:r>
      <w:r w:rsidR="00837BDE">
        <w:t xml:space="preserve">See: </w:t>
      </w:r>
      <w:hyperlink r:id="rId5" w:history="1">
        <w:r w:rsidR="00837BDE" w:rsidRPr="0030250B">
          <w:rPr>
            <w:rStyle w:val="Hyperlink"/>
          </w:rPr>
          <w:t>http://www.nopta.gov.au/media/neats2020/index.html</w:t>
        </w:r>
      </w:hyperlink>
      <w:r w:rsidR="00837BDE">
        <w:t xml:space="preserve"> </w:t>
      </w:r>
    </w:p>
  </w:footnote>
  <w:footnote w:id="6">
    <w:p w14:paraId="524A68E5" w14:textId="77777777" w:rsidR="00F1120D" w:rsidRDefault="00F1120D" w:rsidP="001744D0">
      <w:pPr>
        <w:pStyle w:val="FootnoteText"/>
      </w:pPr>
      <w:r>
        <w:rPr>
          <w:rStyle w:val="FootnoteReference"/>
        </w:rPr>
        <w:footnoteRef/>
      </w:r>
      <w:r>
        <w:t xml:space="preserve"> See: </w:t>
      </w:r>
      <w:hyperlink r:id="rId6" w:history="1">
        <w:r w:rsidRPr="003529C1">
          <w:rPr>
            <w:rStyle w:val="Hyperlink"/>
          </w:rPr>
          <w:t>http://www.nopta.gov.au/about.html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7B6"/>
    <w:multiLevelType w:val="hybridMultilevel"/>
    <w:tmpl w:val="3962F618"/>
    <w:lvl w:ilvl="0" w:tplc="B05C4C64">
      <w:start w:val="1"/>
      <w:numFmt w:val="bullet"/>
      <w:lvlText w:val="•"/>
      <w:lvlJc w:val="left"/>
      <w:pPr>
        <w:tabs>
          <w:tab w:val="num" w:pos="720"/>
        </w:tabs>
        <w:ind w:left="720" w:hanging="360"/>
      </w:pPr>
      <w:rPr>
        <w:rFonts w:ascii="Arial" w:hAnsi="Arial" w:hint="default"/>
      </w:rPr>
    </w:lvl>
    <w:lvl w:ilvl="1" w:tplc="0D00060A" w:tentative="1">
      <w:start w:val="1"/>
      <w:numFmt w:val="bullet"/>
      <w:lvlText w:val="•"/>
      <w:lvlJc w:val="left"/>
      <w:pPr>
        <w:tabs>
          <w:tab w:val="num" w:pos="1440"/>
        </w:tabs>
        <w:ind w:left="1440" w:hanging="360"/>
      </w:pPr>
      <w:rPr>
        <w:rFonts w:ascii="Arial" w:hAnsi="Arial" w:hint="default"/>
      </w:rPr>
    </w:lvl>
    <w:lvl w:ilvl="2" w:tplc="F5043FEE" w:tentative="1">
      <w:start w:val="1"/>
      <w:numFmt w:val="bullet"/>
      <w:lvlText w:val="•"/>
      <w:lvlJc w:val="left"/>
      <w:pPr>
        <w:tabs>
          <w:tab w:val="num" w:pos="2160"/>
        </w:tabs>
        <w:ind w:left="2160" w:hanging="360"/>
      </w:pPr>
      <w:rPr>
        <w:rFonts w:ascii="Arial" w:hAnsi="Arial" w:hint="default"/>
      </w:rPr>
    </w:lvl>
    <w:lvl w:ilvl="3" w:tplc="F01C048C" w:tentative="1">
      <w:start w:val="1"/>
      <w:numFmt w:val="bullet"/>
      <w:lvlText w:val="•"/>
      <w:lvlJc w:val="left"/>
      <w:pPr>
        <w:tabs>
          <w:tab w:val="num" w:pos="2880"/>
        </w:tabs>
        <w:ind w:left="2880" w:hanging="360"/>
      </w:pPr>
      <w:rPr>
        <w:rFonts w:ascii="Arial" w:hAnsi="Arial" w:hint="default"/>
      </w:rPr>
    </w:lvl>
    <w:lvl w:ilvl="4" w:tplc="BC1E45E0" w:tentative="1">
      <w:start w:val="1"/>
      <w:numFmt w:val="bullet"/>
      <w:lvlText w:val="•"/>
      <w:lvlJc w:val="left"/>
      <w:pPr>
        <w:tabs>
          <w:tab w:val="num" w:pos="3600"/>
        </w:tabs>
        <w:ind w:left="3600" w:hanging="360"/>
      </w:pPr>
      <w:rPr>
        <w:rFonts w:ascii="Arial" w:hAnsi="Arial" w:hint="default"/>
      </w:rPr>
    </w:lvl>
    <w:lvl w:ilvl="5" w:tplc="0F348502" w:tentative="1">
      <w:start w:val="1"/>
      <w:numFmt w:val="bullet"/>
      <w:lvlText w:val="•"/>
      <w:lvlJc w:val="left"/>
      <w:pPr>
        <w:tabs>
          <w:tab w:val="num" w:pos="4320"/>
        </w:tabs>
        <w:ind w:left="4320" w:hanging="360"/>
      </w:pPr>
      <w:rPr>
        <w:rFonts w:ascii="Arial" w:hAnsi="Arial" w:hint="default"/>
      </w:rPr>
    </w:lvl>
    <w:lvl w:ilvl="6" w:tplc="47806C6E" w:tentative="1">
      <w:start w:val="1"/>
      <w:numFmt w:val="bullet"/>
      <w:lvlText w:val="•"/>
      <w:lvlJc w:val="left"/>
      <w:pPr>
        <w:tabs>
          <w:tab w:val="num" w:pos="5040"/>
        </w:tabs>
        <w:ind w:left="5040" w:hanging="360"/>
      </w:pPr>
      <w:rPr>
        <w:rFonts w:ascii="Arial" w:hAnsi="Arial" w:hint="default"/>
      </w:rPr>
    </w:lvl>
    <w:lvl w:ilvl="7" w:tplc="2A1E16A2" w:tentative="1">
      <w:start w:val="1"/>
      <w:numFmt w:val="bullet"/>
      <w:lvlText w:val="•"/>
      <w:lvlJc w:val="left"/>
      <w:pPr>
        <w:tabs>
          <w:tab w:val="num" w:pos="5760"/>
        </w:tabs>
        <w:ind w:left="5760" w:hanging="360"/>
      </w:pPr>
      <w:rPr>
        <w:rFonts w:ascii="Arial" w:hAnsi="Arial" w:hint="default"/>
      </w:rPr>
    </w:lvl>
    <w:lvl w:ilvl="8" w:tplc="A528A1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8B63EF"/>
    <w:multiLevelType w:val="hybridMultilevel"/>
    <w:tmpl w:val="48BC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03B3A"/>
    <w:multiLevelType w:val="hybridMultilevel"/>
    <w:tmpl w:val="4F62BECE"/>
    <w:lvl w:ilvl="0" w:tplc="0C090001">
      <w:start w:val="1"/>
      <w:numFmt w:val="bullet"/>
      <w:lvlText w:val=""/>
      <w:lvlJc w:val="left"/>
      <w:pPr>
        <w:ind w:left="1380" w:hanging="360"/>
      </w:pPr>
      <w:rPr>
        <w:rFonts w:ascii="Symbol" w:hAnsi="Symbol"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3" w15:restartNumberingAfterBreak="0">
    <w:nsid w:val="10792579"/>
    <w:multiLevelType w:val="hybridMultilevel"/>
    <w:tmpl w:val="A8266252"/>
    <w:lvl w:ilvl="0" w:tplc="80A84AAC">
      <w:start w:val="1"/>
      <w:numFmt w:val="bullet"/>
      <w:lvlText w:val="•"/>
      <w:lvlJc w:val="left"/>
      <w:pPr>
        <w:tabs>
          <w:tab w:val="num" w:pos="720"/>
        </w:tabs>
        <w:ind w:left="720" w:hanging="360"/>
      </w:pPr>
      <w:rPr>
        <w:rFonts w:ascii="Arial" w:hAnsi="Arial" w:hint="default"/>
      </w:rPr>
    </w:lvl>
    <w:lvl w:ilvl="1" w:tplc="FE84A624" w:tentative="1">
      <w:start w:val="1"/>
      <w:numFmt w:val="bullet"/>
      <w:lvlText w:val="•"/>
      <w:lvlJc w:val="left"/>
      <w:pPr>
        <w:tabs>
          <w:tab w:val="num" w:pos="1440"/>
        </w:tabs>
        <w:ind w:left="1440" w:hanging="360"/>
      </w:pPr>
      <w:rPr>
        <w:rFonts w:ascii="Arial" w:hAnsi="Arial" w:hint="default"/>
      </w:rPr>
    </w:lvl>
    <w:lvl w:ilvl="2" w:tplc="2D56BBE2" w:tentative="1">
      <w:start w:val="1"/>
      <w:numFmt w:val="bullet"/>
      <w:lvlText w:val="•"/>
      <w:lvlJc w:val="left"/>
      <w:pPr>
        <w:tabs>
          <w:tab w:val="num" w:pos="2160"/>
        </w:tabs>
        <w:ind w:left="2160" w:hanging="360"/>
      </w:pPr>
      <w:rPr>
        <w:rFonts w:ascii="Arial" w:hAnsi="Arial" w:hint="default"/>
      </w:rPr>
    </w:lvl>
    <w:lvl w:ilvl="3" w:tplc="7FE4C820" w:tentative="1">
      <w:start w:val="1"/>
      <w:numFmt w:val="bullet"/>
      <w:lvlText w:val="•"/>
      <w:lvlJc w:val="left"/>
      <w:pPr>
        <w:tabs>
          <w:tab w:val="num" w:pos="2880"/>
        </w:tabs>
        <w:ind w:left="2880" w:hanging="360"/>
      </w:pPr>
      <w:rPr>
        <w:rFonts w:ascii="Arial" w:hAnsi="Arial" w:hint="default"/>
      </w:rPr>
    </w:lvl>
    <w:lvl w:ilvl="4" w:tplc="05481B4C" w:tentative="1">
      <w:start w:val="1"/>
      <w:numFmt w:val="bullet"/>
      <w:lvlText w:val="•"/>
      <w:lvlJc w:val="left"/>
      <w:pPr>
        <w:tabs>
          <w:tab w:val="num" w:pos="3600"/>
        </w:tabs>
        <w:ind w:left="3600" w:hanging="360"/>
      </w:pPr>
      <w:rPr>
        <w:rFonts w:ascii="Arial" w:hAnsi="Arial" w:hint="default"/>
      </w:rPr>
    </w:lvl>
    <w:lvl w:ilvl="5" w:tplc="A2DEC1D4" w:tentative="1">
      <w:start w:val="1"/>
      <w:numFmt w:val="bullet"/>
      <w:lvlText w:val="•"/>
      <w:lvlJc w:val="left"/>
      <w:pPr>
        <w:tabs>
          <w:tab w:val="num" w:pos="4320"/>
        </w:tabs>
        <w:ind w:left="4320" w:hanging="360"/>
      </w:pPr>
      <w:rPr>
        <w:rFonts w:ascii="Arial" w:hAnsi="Arial" w:hint="default"/>
      </w:rPr>
    </w:lvl>
    <w:lvl w:ilvl="6" w:tplc="8692EDEA" w:tentative="1">
      <w:start w:val="1"/>
      <w:numFmt w:val="bullet"/>
      <w:lvlText w:val="•"/>
      <w:lvlJc w:val="left"/>
      <w:pPr>
        <w:tabs>
          <w:tab w:val="num" w:pos="5040"/>
        </w:tabs>
        <w:ind w:left="5040" w:hanging="360"/>
      </w:pPr>
      <w:rPr>
        <w:rFonts w:ascii="Arial" w:hAnsi="Arial" w:hint="default"/>
      </w:rPr>
    </w:lvl>
    <w:lvl w:ilvl="7" w:tplc="A8E4DC74" w:tentative="1">
      <w:start w:val="1"/>
      <w:numFmt w:val="bullet"/>
      <w:lvlText w:val="•"/>
      <w:lvlJc w:val="left"/>
      <w:pPr>
        <w:tabs>
          <w:tab w:val="num" w:pos="5760"/>
        </w:tabs>
        <w:ind w:left="5760" w:hanging="360"/>
      </w:pPr>
      <w:rPr>
        <w:rFonts w:ascii="Arial" w:hAnsi="Arial" w:hint="default"/>
      </w:rPr>
    </w:lvl>
    <w:lvl w:ilvl="8" w:tplc="0BD2C2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490236"/>
    <w:multiLevelType w:val="hybridMultilevel"/>
    <w:tmpl w:val="D89EBF3A"/>
    <w:lvl w:ilvl="0" w:tplc="83FA728C">
      <w:start w:val="1"/>
      <w:numFmt w:val="bullet"/>
      <w:pStyle w:val="Bullet"/>
      <w:lvlText w:val="•"/>
      <w:lvlJc w:val="left"/>
      <w:pPr>
        <w:tabs>
          <w:tab w:val="num" w:pos="360"/>
        </w:tabs>
        <w:ind w:left="360" w:hanging="360"/>
      </w:pPr>
      <w:rPr>
        <w:rFonts w:ascii="Verdana" w:hAnsi="Verdana"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C5AF7"/>
    <w:multiLevelType w:val="hybridMultilevel"/>
    <w:tmpl w:val="71009E4E"/>
    <w:lvl w:ilvl="0" w:tplc="62B2B100">
      <w:start w:val="1"/>
      <w:numFmt w:val="bullet"/>
      <w:lvlText w:val=""/>
      <w:lvlJc w:val="left"/>
      <w:pPr>
        <w:ind w:left="720" w:hanging="360"/>
      </w:pPr>
      <w:rPr>
        <w:rFonts w:ascii="Symbol" w:hAnsi="Symbol" w:hint="default"/>
        <w:sz w:val="22"/>
        <w:szCs w:val="22"/>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69276B"/>
    <w:multiLevelType w:val="hybridMultilevel"/>
    <w:tmpl w:val="FF1EA6D4"/>
    <w:lvl w:ilvl="0" w:tplc="0C090001">
      <w:start w:val="1"/>
      <w:numFmt w:val="bullet"/>
      <w:lvlText w:val=""/>
      <w:lvlJc w:val="left"/>
      <w:pPr>
        <w:ind w:left="720" w:hanging="360"/>
      </w:pPr>
      <w:rPr>
        <w:rFonts w:ascii="Symbol" w:hAnsi="Symbol" w:hint="default"/>
      </w:rPr>
    </w:lvl>
    <w:lvl w:ilvl="1" w:tplc="263C19A8">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136DC5"/>
    <w:multiLevelType w:val="hybridMultilevel"/>
    <w:tmpl w:val="6BE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71035"/>
    <w:multiLevelType w:val="hybridMultilevel"/>
    <w:tmpl w:val="EAAE9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975370"/>
    <w:multiLevelType w:val="hybridMultilevel"/>
    <w:tmpl w:val="4920B5F6"/>
    <w:lvl w:ilvl="0" w:tplc="FDB245B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54202E"/>
    <w:multiLevelType w:val="hybridMultilevel"/>
    <w:tmpl w:val="FDE4D42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6C2AF5"/>
    <w:multiLevelType w:val="hybridMultilevel"/>
    <w:tmpl w:val="60A2B13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AB382C"/>
    <w:multiLevelType w:val="hybridMultilevel"/>
    <w:tmpl w:val="5BD2E5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D631B"/>
    <w:multiLevelType w:val="hybridMultilevel"/>
    <w:tmpl w:val="A5FC2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69A7707"/>
    <w:multiLevelType w:val="hybridMultilevel"/>
    <w:tmpl w:val="572CABC4"/>
    <w:lvl w:ilvl="0" w:tplc="0C090001">
      <w:start w:val="1"/>
      <w:numFmt w:val="bullet"/>
      <w:lvlText w:val=""/>
      <w:lvlJc w:val="left"/>
      <w:pPr>
        <w:ind w:left="720" w:hanging="360"/>
      </w:pPr>
      <w:rPr>
        <w:rFonts w:ascii="Symbol" w:hAnsi="Symbol" w:hint="default"/>
      </w:rPr>
    </w:lvl>
    <w:lvl w:ilvl="1" w:tplc="263C19A8">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5D27CD"/>
    <w:multiLevelType w:val="hybridMultilevel"/>
    <w:tmpl w:val="EAAE97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E0161B"/>
    <w:multiLevelType w:val="hybridMultilevel"/>
    <w:tmpl w:val="C0E6D4B0"/>
    <w:lvl w:ilvl="0" w:tplc="1E5622AC">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D12C18"/>
    <w:multiLevelType w:val="hybridMultilevel"/>
    <w:tmpl w:val="84B2263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765D23"/>
    <w:multiLevelType w:val="hybridMultilevel"/>
    <w:tmpl w:val="8568884A"/>
    <w:lvl w:ilvl="0" w:tplc="0A04C0D0">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BD5E41"/>
    <w:multiLevelType w:val="hybridMultilevel"/>
    <w:tmpl w:val="3F589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C20B24"/>
    <w:multiLevelType w:val="hybridMultilevel"/>
    <w:tmpl w:val="13DA126E"/>
    <w:lvl w:ilvl="0" w:tplc="263C19A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6455B1"/>
    <w:multiLevelType w:val="hybridMultilevel"/>
    <w:tmpl w:val="4CAE00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ED332BE"/>
    <w:multiLevelType w:val="hybridMultilevel"/>
    <w:tmpl w:val="C43CE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AA2BA9"/>
    <w:multiLevelType w:val="hybridMultilevel"/>
    <w:tmpl w:val="9806AA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F719F0"/>
    <w:multiLevelType w:val="hybridMultilevel"/>
    <w:tmpl w:val="9F26F6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89D39C6"/>
    <w:multiLevelType w:val="hybridMultilevel"/>
    <w:tmpl w:val="2A184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C47859"/>
    <w:multiLevelType w:val="hybridMultilevel"/>
    <w:tmpl w:val="98E40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B3252B"/>
    <w:multiLevelType w:val="hybridMultilevel"/>
    <w:tmpl w:val="D570B94A"/>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C6638B"/>
    <w:multiLevelType w:val="hybridMultilevel"/>
    <w:tmpl w:val="22D47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905BD8"/>
    <w:multiLevelType w:val="hybridMultilevel"/>
    <w:tmpl w:val="60A2B13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0C4C47"/>
    <w:multiLevelType w:val="hybridMultilevel"/>
    <w:tmpl w:val="9E28DFE8"/>
    <w:lvl w:ilvl="0" w:tplc="48EE4C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244873"/>
    <w:multiLevelType w:val="hybridMultilevel"/>
    <w:tmpl w:val="316685A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3B5B94"/>
    <w:multiLevelType w:val="hybridMultilevel"/>
    <w:tmpl w:val="FDE4D42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BA3506"/>
    <w:multiLevelType w:val="hybridMultilevel"/>
    <w:tmpl w:val="D9BA4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3B4F8C"/>
    <w:multiLevelType w:val="hybridMultilevel"/>
    <w:tmpl w:val="C1E610D0"/>
    <w:lvl w:ilvl="0" w:tplc="45924326">
      <w:start w:val="1"/>
      <w:numFmt w:val="bullet"/>
      <w:lvlText w:val="•"/>
      <w:lvlJc w:val="left"/>
      <w:pPr>
        <w:tabs>
          <w:tab w:val="num" w:pos="1080"/>
        </w:tabs>
        <w:ind w:left="1080" w:hanging="360"/>
      </w:pPr>
      <w:rPr>
        <w:rFonts w:ascii="Arial" w:hAnsi="Arial" w:hint="default"/>
      </w:rPr>
    </w:lvl>
    <w:lvl w:ilvl="1" w:tplc="856CE71A" w:tentative="1">
      <w:start w:val="1"/>
      <w:numFmt w:val="bullet"/>
      <w:lvlText w:val="•"/>
      <w:lvlJc w:val="left"/>
      <w:pPr>
        <w:tabs>
          <w:tab w:val="num" w:pos="1800"/>
        </w:tabs>
        <w:ind w:left="1800" w:hanging="360"/>
      </w:pPr>
      <w:rPr>
        <w:rFonts w:ascii="Arial" w:hAnsi="Arial" w:hint="default"/>
      </w:rPr>
    </w:lvl>
    <w:lvl w:ilvl="2" w:tplc="613A7394" w:tentative="1">
      <w:start w:val="1"/>
      <w:numFmt w:val="bullet"/>
      <w:lvlText w:val="•"/>
      <w:lvlJc w:val="left"/>
      <w:pPr>
        <w:tabs>
          <w:tab w:val="num" w:pos="2520"/>
        </w:tabs>
        <w:ind w:left="2520" w:hanging="360"/>
      </w:pPr>
      <w:rPr>
        <w:rFonts w:ascii="Arial" w:hAnsi="Arial" w:hint="default"/>
      </w:rPr>
    </w:lvl>
    <w:lvl w:ilvl="3" w:tplc="9A0AE898" w:tentative="1">
      <w:start w:val="1"/>
      <w:numFmt w:val="bullet"/>
      <w:lvlText w:val="•"/>
      <w:lvlJc w:val="left"/>
      <w:pPr>
        <w:tabs>
          <w:tab w:val="num" w:pos="3240"/>
        </w:tabs>
        <w:ind w:left="3240" w:hanging="360"/>
      </w:pPr>
      <w:rPr>
        <w:rFonts w:ascii="Arial" w:hAnsi="Arial" w:hint="default"/>
      </w:rPr>
    </w:lvl>
    <w:lvl w:ilvl="4" w:tplc="C13EF2EE" w:tentative="1">
      <w:start w:val="1"/>
      <w:numFmt w:val="bullet"/>
      <w:lvlText w:val="•"/>
      <w:lvlJc w:val="left"/>
      <w:pPr>
        <w:tabs>
          <w:tab w:val="num" w:pos="3960"/>
        </w:tabs>
        <w:ind w:left="3960" w:hanging="360"/>
      </w:pPr>
      <w:rPr>
        <w:rFonts w:ascii="Arial" w:hAnsi="Arial" w:hint="default"/>
      </w:rPr>
    </w:lvl>
    <w:lvl w:ilvl="5" w:tplc="1D8CE83A" w:tentative="1">
      <w:start w:val="1"/>
      <w:numFmt w:val="bullet"/>
      <w:lvlText w:val="•"/>
      <w:lvlJc w:val="left"/>
      <w:pPr>
        <w:tabs>
          <w:tab w:val="num" w:pos="4680"/>
        </w:tabs>
        <w:ind w:left="4680" w:hanging="360"/>
      </w:pPr>
      <w:rPr>
        <w:rFonts w:ascii="Arial" w:hAnsi="Arial" w:hint="default"/>
      </w:rPr>
    </w:lvl>
    <w:lvl w:ilvl="6" w:tplc="AFB2B912" w:tentative="1">
      <w:start w:val="1"/>
      <w:numFmt w:val="bullet"/>
      <w:lvlText w:val="•"/>
      <w:lvlJc w:val="left"/>
      <w:pPr>
        <w:tabs>
          <w:tab w:val="num" w:pos="5400"/>
        </w:tabs>
        <w:ind w:left="5400" w:hanging="360"/>
      </w:pPr>
      <w:rPr>
        <w:rFonts w:ascii="Arial" w:hAnsi="Arial" w:hint="default"/>
      </w:rPr>
    </w:lvl>
    <w:lvl w:ilvl="7" w:tplc="60CCDA42" w:tentative="1">
      <w:start w:val="1"/>
      <w:numFmt w:val="bullet"/>
      <w:lvlText w:val="•"/>
      <w:lvlJc w:val="left"/>
      <w:pPr>
        <w:tabs>
          <w:tab w:val="num" w:pos="6120"/>
        </w:tabs>
        <w:ind w:left="6120" w:hanging="360"/>
      </w:pPr>
      <w:rPr>
        <w:rFonts w:ascii="Arial" w:hAnsi="Arial" w:hint="default"/>
      </w:rPr>
    </w:lvl>
    <w:lvl w:ilvl="8" w:tplc="BBCAC0B2" w:tentative="1">
      <w:start w:val="1"/>
      <w:numFmt w:val="bullet"/>
      <w:lvlText w:val="•"/>
      <w:lvlJc w:val="left"/>
      <w:pPr>
        <w:tabs>
          <w:tab w:val="num" w:pos="6840"/>
        </w:tabs>
        <w:ind w:left="6840" w:hanging="360"/>
      </w:pPr>
      <w:rPr>
        <w:rFonts w:ascii="Arial" w:hAnsi="Arial" w:hint="default"/>
      </w:rPr>
    </w:lvl>
  </w:abstractNum>
  <w:abstractNum w:abstractNumId="35" w15:restartNumberingAfterBreak="0">
    <w:nsid w:val="6DFA7059"/>
    <w:multiLevelType w:val="multilevel"/>
    <w:tmpl w:val="B5B6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358A2"/>
    <w:multiLevelType w:val="hybridMultilevel"/>
    <w:tmpl w:val="F080FF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002993"/>
    <w:multiLevelType w:val="hybridMultilevel"/>
    <w:tmpl w:val="5F886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0341F2"/>
    <w:multiLevelType w:val="hybridMultilevel"/>
    <w:tmpl w:val="CAEC5CA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F2783A"/>
    <w:multiLevelType w:val="hybridMultilevel"/>
    <w:tmpl w:val="CAEC5CA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23"/>
  </w:num>
  <w:num w:numId="3">
    <w:abstractNumId w:val="27"/>
  </w:num>
  <w:num w:numId="4">
    <w:abstractNumId w:val="7"/>
  </w:num>
  <w:num w:numId="5">
    <w:abstractNumId w:val="9"/>
  </w:num>
  <w:num w:numId="6">
    <w:abstractNumId w:val="16"/>
  </w:num>
  <w:num w:numId="7">
    <w:abstractNumId w:val="22"/>
  </w:num>
  <w:num w:numId="8">
    <w:abstractNumId w:val="28"/>
  </w:num>
  <w:num w:numId="9">
    <w:abstractNumId w:val="5"/>
  </w:num>
  <w:num w:numId="10">
    <w:abstractNumId w:val="2"/>
  </w:num>
  <w:num w:numId="11">
    <w:abstractNumId w:val="4"/>
  </w:num>
  <w:num w:numId="12">
    <w:abstractNumId w:val="18"/>
  </w:num>
  <w:num w:numId="13">
    <w:abstractNumId w:val="17"/>
  </w:num>
  <w:num w:numId="14">
    <w:abstractNumId w:val="11"/>
  </w:num>
  <w:num w:numId="15">
    <w:abstractNumId w:val="14"/>
  </w:num>
  <w:num w:numId="16">
    <w:abstractNumId w:val="1"/>
  </w:num>
  <w:num w:numId="17">
    <w:abstractNumId w:val="31"/>
  </w:num>
  <w:num w:numId="18">
    <w:abstractNumId w:val="39"/>
  </w:num>
  <w:num w:numId="19">
    <w:abstractNumId w:val="38"/>
  </w:num>
  <w:num w:numId="20">
    <w:abstractNumId w:val="34"/>
  </w:num>
  <w:num w:numId="21">
    <w:abstractNumId w:val="3"/>
  </w:num>
  <w:num w:numId="22">
    <w:abstractNumId w:val="0"/>
  </w:num>
  <w:num w:numId="23">
    <w:abstractNumId w:val="8"/>
  </w:num>
  <w:num w:numId="24">
    <w:abstractNumId w:val="32"/>
  </w:num>
  <w:num w:numId="25">
    <w:abstractNumId w:val="29"/>
  </w:num>
  <w:num w:numId="26">
    <w:abstractNumId w:val="10"/>
  </w:num>
  <w:num w:numId="27">
    <w:abstractNumId w:val="15"/>
  </w:num>
  <w:num w:numId="28">
    <w:abstractNumId w:val="33"/>
  </w:num>
  <w:num w:numId="29">
    <w:abstractNumId w:val="30"/>
  </w:num>
  <w:num w:numId="30">
    <w:abstractNumId w:val="26"/>
  </w:num>
  <w:num w:numId="31">
    <w:abstractNumId w:val="37"/>
  </w:num>
  <w:num w:numId="32">
    <w:abstractNumId w:val="25"/>
  </w:num>
  <w:num w:numId="33">
    <w:abstractNumId w:val="36"/>
  </w:num>
  <w:num w:numId="34">
    <w:abstractNumId w:val="6"/>
  </w:num>
  <w:num w:numId="35">
    <w:abstractNumId w:val="22"/>
  </w:num>
  <w:num w:numId="36">
    <w:abstractNumId w:val="35"/>
  </w:num>
  <w:num w:numId="37">
    <w:abstractNumId w:val="19"/>
  </w:num>
  <w:num w:numId="38">
    <w:abstractNumId w:val="13"/>
  </w:num>
  <w:num w:numId="39">
    <w:abstractNumId w:val="13"/>
  </w:num>
  <w:num w:numId="40">
    <w:abstractNumId w:val="12"/>
  </w:num>
  <w:num w:numId="41">
    <w:abstractNumId w:val="20"/>
  </w:num>
  <w:num w:numId="42">
    <w:abstractNumId w:val="2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removePersonalInformation/>
  <w:removeDateAndTime/>
  <w:proofState w:spelling="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CA"/>
    <w:rsid w:val="000025EE"/>
    <w:rsid w:val="000037CD"/>
    <w:rsid w:val="00004D18"/>
    <w:rsid w:val="00004D55"/>
    <w:rsid w:val="00012F08"/>
    <w:rsid w:val="00013023"/>
    <w:rsid w:val="00014618"/>
    <w:rsid w:val="00022F69"/>
    <w:rsid w:val="00032A17"/>
    <w:rsid w:val="00035183"/>
    <w:rsid w:val="00036088"/>
    <w:rsid w:val="0004319B"/>
    <w:rsid w:val="00043B54"/>
    <w:rsid w:val="00047C19"/>
    <w:rsid w:val="00051D27"/>
    <w:rsid w:val="00066E12"/>
    <w:rsid w:val="00071274"/>
    <w:rsid w:val="00073955"/>
    <w:rsid w:val="00073FD4"/>
    <w:rsid w:val="00076C87"/>
    <w:rsid w:val="000939DE"/>
    <w:rsid w:val="000954E7"/>
    <w:rsid w:val="000C3469"/>
    <w:rsid w:val="000D11C1"/>
    <w:rsid w:val="000D11D9"/>
    <w:rsid w:val="000D27D7"/>
    <w:rsid w:val="000D3731"/>
    <w:rsid w:val="000D5DE2"/>
    <w:rsid w:val="000E29FF"/>
    <w:rsid w:val="000F037F"/>
    <w:rsid w:val="001021A5"/>
    <w:rsid w:val="00111E7D"/>
    <w:rsid w:val="00136686"/>
    <w:rsid w:val="00145A4F"/>
    <w:rsid w:val="001500D2"/>
    <w:rsid w:val="0015430F"/>
    <w:rsid w:val="00160B81"/>
    <w:rsid w:val="001639C3"/>
    <w:rsid w:val="00172533"/>
    <w:rsid w:val="001728DC"/>
    <w:rsid w:val="001744D0"/>
    <w:rsid w:val="001810C4"/>
    <w:rsid w:val="00192D54"/>
    <w:rsid w:val="001930DF"/>
    <w:rsid w:val="001942F0"/>
    <w:rsid w:val="00197E1B"/>
    <w:rsid w:val="001A4119"/>
    <w:rsid w:val="001A4614"/>
    <w:rsid w:val="001A4924"/>
    <w:rsid w:val="001A53B0"/>
    <w:rsid w:val="001B0F2A"/>
    <w:rsid w:val="001B0FC9"/>
    <w:rsid w:val="001B23EB"/>
    <w:rsid w:val="001C0A62"/>
    <w:rsid w:val="001C2006"/>
    <w:rsid w:val="001D26BB"/>
    <w:rsid w:val="001D5100"/>
    <w:rsid w:val="001E0BFA"/>
    <w:rsid w:val="001E270B"/>
    <w:rsid w:val="001E331D"/>
    <w:rsid w:val="001E5E05"/>
    <w:rsid w:val="001F2C7F"/>
    <w:rsid w:val="00200CE9"/>
    <w:rsid w:val="002205A9"/>
    <w:rsid w:val="00220989"/>
    <w:rsid w:val="00224317"/>
    <w:rsid w:val="00225A51"/>
    <w:rsid w:val="00227F40"/>
    <w:rsid w:val="002363D2"/>
    <w:rsid w:val="0026239C"/>
    <w:rsid w:val="002639C7"/>
    <w:rsid w:val="00265094"/>
    <w:rsid w:val="002755D3"/>
    <w:rsid w:val="002766D8"/>
    <w:rsid w:val="00276889"/>
    <w:rsid w:val="00283AB0"/>
    <w:rsid w:val="00283BEB"/>
    <w:rsid w:val="002907D3"/>
    <w:rsid w:val="00293771"/>
    <w:rsid w:val="0029533C"/>
    <w:rsid w:val="00295D8A"/>
    <w:rsid w:val="002A037A"/>
    <w:rsid w:val="002A7377"/>
    <w:rsid w:val="002B1077"/>
    <w:rsid w:val="002C170F"/>
    <w:rsid w:val="002C3F5D"/>
    <w:rsid w:val="002D5530"/>
    <w:rsid w:val="002D672E"/>
    <w:rsid w:val="002D6737"/>
    <w:rsid w:val="002D6BA1"/>
    <w:rsid w:val="002D778D"/>
    <w:rsid w:val="002E6574"/>
    <w:rsid w:val="002F157B"/>
    <w:rsid w:val="002F1ACD"/>
    <w:rsid w:val="00306799"/>
    <w:rsid w:val="003126CB"/>
    <w:rsid w:val="003171A3"/>
    <w:rsid w:val="00320817"/>
    <w:rsid w:val="00330DDE"/>
    <w:rsid w:val="003344CB"/>
    <w:rsid w:val="003373B5"/>
    <w:rsid w:val="00347EA5"/>
    <w:rsid w:val="00351ECA"/>
    <w:rsid w:val="003535E8"/>
    <w:rsid w:val="003561AD"/>
    <w:rsid w:val="003738AE"/>
    <w:rsid w:val="00381E71"/>
    <w:rsid w:val="0039519C"/>
    <w:rsid w:val="00395A47"/>
    <w:rsid w:val="003964A7"/>
    <w:rsid w:val="003A4AAB"/>
    <w:rsid w:val="003B00C4"/>
    <w:rsid w:val="003B4D94"/>
    <w:rsid w:val="003B69FF"/>
    <w:rsid w:val="003C52A9"/>
    <w:rsid w:val="003C556C"/>
    <w:rsid w:val="003C6A1B"/>
    <w:rsid w:val="003D395E"/>
    <w:rsid w:val="003D5AC7"/>
    <w:rsid w:val="003E1603"/>
    <w:rsid w:val="003E7189"/>
    <w:rsid w:val="0040158A"/>
    <w:rsid w:val="004116DD"/>
    <w:rsid w:val="00412190"/>
    <w:rsid w:val="00424444"/>
    <w:rsid w:val="004300B9"/>
    <w:rsid w:val="004324F7"/>
    <w:rsid w:val="004464C7"/>
    <w:rsid w:val="00447327"/>
    <w:rsid w:val="004477BC"/>
    <w:rsid w:val="0046089F"/>
    <w:rsid w:val="00463304"/>
    <w:rsid w:val="00472ACC"/>
    <w:rsid w:val="004736D6"/>
    <w:rsid w:val="004739D6"/>
    <w:rsid w:val="00480F00"/>
    <w:rsid w:val="004821E4"/>
    <w:rsid w:val="004849AE"/>
    <w:rsid w:val="00487F2B"/>
    <w:rsid w:val="00496C8C"/>
    <w:rsid w:val="004A6C7D"/>
    <w:rsid w:val="004A7EE0"/>
    <w:rsid w:val="004B1A4B"/>
    <w:rsid w:val="004B3BA0"/>
    <w:rsid w:val="004B4CAE"/>
    <w:rsid w:val="004C2B24"/>
    <w:rsid w:val="004C462E"/>
    <w:rsid w:val="004C538B"/>
    <w:rsid w:val="004C7146"/>
    <w:rsid w:val="004D209A"/>
    <w:rsid w:val="004E7517"/>
    <w:rsid w:val="005017EB"/>
    <w:rsid w:val="00524112"/>
    <w:rsid w:val="00525C9D"/>
    <w:rsid w:val="00526B97"/>
    <w:rsid w:val="0053082D"/>
    <w:rsid w:val="00533796"/>
    <w:rsid w:val="00536133"/>
    <w:rsid w:val="005362FF"/>
    <w:rsid w:val="00536ECC"/>
    <w:rsid w:val="00561332"/>
    <w:rsid w:val="00562545"/>
    <w:rsid w:val="00566BCB"/>
    <w:rsid w:val="00570105"/>
    <w:rsid w:val="0058072D"/>
    <w:rsid w:val="00583227"/>
    <w:rsid w:val="0058789D"/>
    <w:rsid w:val="00595B5B"/>
    <w:rsid w:val="00597822"/>
    <w:rsid w:val="00597934"/>
    <w:rsid w:val="005A0B22"/>
    <w:rsid w:val="005A40A6"/>
    <w:rsid w:val="005B0169"/>
    <w:rsid w:val="005B1B0C"/>
    <w:rsid w:val="005B2509"/>
    <w:rsid w:val="005B4397"/>
    <w:rsid w:val="005B6935"/>
    <w:rsid w:val="005C3AF6"/>
    <w:rsid w:val="005C5357"/>
    <w:rsid w:val="005D3058"/>
    <w:rsid w:val="005D50BD"/>
    <w:rsid w:val="005D54E6"/>
    <w:rsid w:val="005D63B0"/>
    <w:rsid w:val="005E0541"/>
    <w:rsid w:val="005F2249"/>
    <w:rsid w:val="005F3D18"/>
    <w:rsid w:val="00612CD9"/>
    <w:rsid w:val="00614358"/>
    <w:rsid w:val="00614824"/>
    <w:rsid w:val="006161A1"/>
    <w:rsid w:val="006203AC"/>
    <w:rsid w:val="0063185B"/>
    <w:rsid w:val="0063270A"/>
    <w:rsid w:val="00640634"/>
    <w:rsid w:val="0064584A"/>
    <w:rsid w:val="006512AD"/>
    <w:rsid w:val="006522EF"/>
    <w:rsid w:val="00654C58"/>
    <w:rsid w:val="006569DA"/>
    <w:rsid w:val="00667DA2"/>
    <w:rsid w:val="0067013F"/>
    <w:rsid w:val="00672577"/>
    <w:rsid w:val="00672B53"/>
    <w:rsid w:val="006820D7"/>
    <w:rsid w:val="00692B9F"/>
    <w:rsid w:val="00695B9B"/>
    <w:rsid w:val="006B17DC"/>
    <w:rsid w:val="006B3693"/>
    <w:rsid w:val="006E0DF6"/>
    <w:rsid w:val="006E35BF"/>
    <w:rsid w:val="006E3EF0"/>
    <w:rsid w:val="006E7C2D"/>
    <w:rsid w:val="006F18CB"/>
    <w:rsid w:val="006F3DCD"/>
    <w:rsid w:val="006F536E"/>
    <w:rsid w:val="006F6665"/>
    <w:rsid w:val="006F66AA"/>
    <w:rsid w:val="006F7989"/>
    <w:rsid w:val="00701A17"/>
    <w:rsid w:val="007036FF"/>
    <w:rsid w:val="00704820"/>
    <w:rsid w:val="0070672C"/>
    <w:rsid w:val="00721CBA"/>
    <w:rsid w:val="00731A37"/>
    <w:rsid w:val="00733473"/>
    <w:rsid w:val="00735405"/>
    <w:rsid w:val="00744E9C"/>
    <w:rsid w:val="00765785"/>
    <w:rsid w:val="00765C46"/>
    <w:rsid w:val="00772396"/>
    <w:rsid w:val="00772575"/>
    <w:rsid w:val="00782F21"/>
    <w:rsid w:val="00791AEC"/>
    <w:rsid w:val="007A0065"/>
    <w:rsid w:val="007A2C1C"/>
    <w:rsid w:val="007C3B58"/>
    <w:rsid w:val="007C5920"/>
    <w:rsid w:val="007D1600"/>
    <w:rsid w:val="007D5F6A"/>
    <w:rsid w:val="007E3D60"/>
    <w:rsid w:val="007F2041"/>
    <w:rsid w:val="007F7333"/>
    <w:rsid w:val="008025A7"/>
    <w:rsid w:val="008033B0"/>
    <w:rsid w:val="00813882"/>
    <w:rsid w:val="00814E71"/>
    <w:rsid w:val="008169FF"/>
    <w:rsid w:val="00817298"/>
    <w:rsid w:val="00825FB6"/>
    <w:rsid w:val="0082722F"/>
    <w:rsid w:val="00832457"/>
    <w:rsid w:val="00833489"/>
    <w:rsid w:val="00835435"/>
    <w:rsid w:val="008379E5"/>
    <w:rsid w:val="00837BDE"/>
    <w:rsid w:val="0084066F"/>
    <w:rsid w:val="00851F51"/>
    <w:rsid w:val="00873154"/>
    <w:rsid w:val="00875CD3"/>
    <w:rsid w:val="008818CF"/>
    <w:rsid w:val="00887944"/>
    <w:rsid w:val="008A1BC3"/>
    <w:rsid w:val="008B0931"/>
    <w:rsid w:val="008C5D41"/>
    <w:rsid w:val="008D093F"/>
    <w:rsid w:val="008D4FCF"/>
    <w:rsid w:val="008E0D42"/>
    <w:rsid w:val="008F7CE0"/>
    <w:rsid w:val="009050A0"/>
    <w:rsid w:val="009075DB"/>
    <w:rsid w:val="00911E1C"/>
    <w:rsid w:val="00911F62"/>
    <w:rsid w:val="0092505E"/>
    <w:rsid w:val="00925D25"/>
    <w:rsid w:val="00936757"/>
    <w:rsid w:val="00940123"/>
    <w:rsid w:val="00942B78"/>
    <w:rsid w:val="00946AF2"/>
    <w:rsid w:val="00951D44"/>
    <w:rsid w:val="009527C2"/>
    <w:rsid w:val="00952ED4"/>
    <w:rsid w:val="00960E3A"/>
    <w:rsid w:val="009627E9"/>
    <w:rsid w:val="00976E14"/>
    <w:rsid w:val="00980233"/>
    <w:rsid w:val="00995A4D"/>
    <w:rsid w:val="00996F1E"/>
    <w:rsid w:val="009A01A1"/>
    <w:rsid w:val="009A6428"/>
    <w:rsid w:val="009B33B7"/>
    <w:rsid w:val="009B7209"/>
    <w:rsid w:val="009B7B51"/>
    <w:rsid w:val="009C0A2A"/>
    <w:rsid w:val="009C6498"/>
    <w:rsid w:val="009E13E2"/>
    <w:rsid w:val="009F1A1E"/>
    <w:rsid w:val="009F25E8"/>
    <w:rsid w:val="009F31C1"/>
    <w:rsid w:val="00A008EB"/>
    <w:rsid w:val="00A01490"/>
    <w:rsid w:val="00A10D52"/>
    <w:rsid w:val="00A220E4"/>
    <w:rsid w:val="00A22D26"/>
    <w:rsid w:val="00A3137E"/>
    <w:rsid w:val="00A31BCD"/>
    <w:rsid w:val="00A325F6"/>
    <w:rsid w:val="00A36CB3"/>
    <w:rsid w:val="00A41A64"/>
    <w:rsid w:val="00A53D08"/>
    <w:rsid w:val="00A557DA"/>
    <w:rsid w:val="00A630C1"/>
    <w:rsid w:val="00A63BF8"/>
    <w:rsid w:val="00A66517"/>
    <w:rsid w:val="00A726EC"/>
    <w:rsid w:val="00A74B02"/>
    <w:rsid w:val="00A77DE1"/>
    <w:rsid w:val="00A838D9"/>
    <w:rsid w:val="00A95FE0"/>
    <w:rsid w:val="00A97B1B"/>
    <w:rsid w:val="00AA167B"/>
    <w:rsid w:val="00AA4328"/>
    <w:rsid w:val="00AC05C2"/>
    <w:rsid w:val="00AC098B"/>
    <w:rsid w:val="00AC1A48"/>
    <w:rsid w:val="00AC225E"/>
    <w:rsid w:val="00AD6182"/>
    <w:rsid w:val="00AF5390"/>
    <w:rsid w:val="00B03D83"/>
    <w:rsid w:val="00B11EED"/>
    <w:rsid w:val="00B12AD8"/>
    <w:rsid w:val="00B138B1"/>
    <w:rsid w:val="00B1411D"/>
    <w:rsid w:val="00B17BB8"/>
    <w:rsid w:val="00B17DDC"/>
    <w:rsid w:val="00B20ADC"/>
    <w:rsid w:val="00B225A7"/>
    <w:rsid w:val="00B22F60"/>
    <w:rsid w:val="00B24AEC"/>
    <w:rsid w:val="00B33776"/>
    <w:rsid w:val="00B33CA7"/>
    <w:rsid w:val="00B372E8"/>
    <w:rsid w:val="00B377C1"/>
    <w:rsid w:val="00B37841"/>
    <w:rsid w:val="00B37EF5"/>
    <w:rsid w:val="00B45EA7"/>
    <w:rsid w:val="00B477A4"/>
    <w:rsid w:val="00B52F8C"/>
    <w:rsid w:val="00B60A2D"/>
    <w:rsid w:val="00B63D94"/>
    <w:rsid w:val="00B64F13"/>
    <w:rsid w:val="00B74AFA"/>
    <w:rsid w:val="00B90ADD"/>
    <w:rsid w:val="00B90F51"/>
    <w:rsid w:val="00B91C83"/>
    <w:rsid w:val="00B9429F"/>
    <w:rsid w:val="00B94E91"/>
    <w:rsid w:val="00B96BD8"/>
    <w:rsid w:val="00BA0E23"/>
    <w:rsid w:val="00BA714B"/>
    <w:rsid w:val="00BB2E69"/>
    <w:rsid w:val="00BB5512"/>
    <w:rsid w:val="00BB561D"/>
    <w:rsid w:val="00BB73B6"/>
    <w:rsid w:val="00BC2B8D"/>
    <w:rsid w:val="00BD456C"/>
    <w:rsid w:val="00BD6256"/>
    <w:rsid w:val="00BE0DE8"/>
    <w:rsid w:val="00BE72BD"/>
    <w:rsid w:val="00BE7FEE"/>
    <w:rsid w:val="00BF5C69"/>
    <w:rsid w:val="00BF5F6A"/>
    <w:rsid w:val="00C14318"/>
    <w:rsid w:val="00C2002B"/>
    <w:rsid w:val="00C25EB4"/>
    <w:rsid w:val="00C361A5"/>
    <w:rsid w:val="00C43793"/>
    <w:rsid w:val="00C45D82"/>
    <w:rsid w:val="00C50288"/>
    <w:rsid w:val="00C568F0"/>
    <w:rsid w:val="00C573F4"/>
    <w:rsid w:val="00C6435A"/>
    <w:rsid w:val="00C64C57"/>
    <w:rsid w:val="00C654B1"/>
    <w:rsid w:val="00C70C36"/>
    <w:rsid w:val="00C71333"/>
    <w:rsid w:val="00C80E21"/>
    <w:rsid w:val="00C8440E"/>
    <w:rsid w:val="00C84B81"/>
    <w:rsid w:val="00C92ED0"/>
    <w:rsid w:val="00CA0EA9"/>
    <w:rsid w:val="00CB2C2D"/>
    <w:rsid w:val="00CB63BC"/>
    <w:rsid w:val="00CD3655"/>
    <w:rsid w:val="00CE432D"/>
    <w:rsid w:val="00CF65A3"/>
    <w:rsid w:val="00D03C6D"/>
    <w:rsid w:val="00D040EA"/>
    <w:rsid w:val="00D057CB"/>
    <w:rsid w:val="00D06DA3"/>
    <w:rsid w:val="00D15C43"/>
    <w:rsid w:val="00D162BB"/>
    <w:rsid w:val="00D20A7F"/>
    <w:rsid w:val="00D21BA4"/>
    <w:rsid w:val="00D2767A"/>
    <w:rsid w:val="00D31F86"/>
    <w:rsid w:val="00D33B01"/>
    <w:rsid w:val="00D33E86"/>
    <w:rsid w:val="00D34791"/>
    <w:rsid w:val="00D52282"/>
    <w:rsid w:val="00D532FB"/>
    <w:rsid w:val="00D55A83"/>
    <w:rsid w:val="00D56F50"/>
    <w:rsid w:val="00D659FF"/>
    <w:rsid w:val="00D66E4B"/>
    <w:rsid w:val="00D74876"/>
    <w:rsid w:val="00D77136"/>
    <w:rsid w:val="00D831E2"/>
    <w:rsid w:val="00D91232"/>
    <w:rsid w:val="00D95BA1"/>
    <w:rsid w:val="00D95FBD"/>
    <w:rsid w:val="00DA63CB"/>
    <w:rsid w:val="00DA6A7C"/>
    <w:rsid w:val="00DA6D80"/>
    <w:rsid w:val="00DB27FB"/>
    <w:rsid w:val="00DB607D"/>
    <w:rsid w:val="00DC1580"/>
    <w:rsid w:val="00DC17EB"/>
    <w:rsid w:val="00DC41F3"/>
    <w:rsid w:val="00DD7463"/>
    <w:rsid w:val="00DE7023"/>
    <w:rsid w:val="00DF29FB"/>
    <w:rsid w:val="00DF2D27"/>
    <w:rsid w:val="00DF4C01"/>
    <w:rsid w:val="00E063F5"/>
    <w:rsid w:val="00E14277"/>
    <w:rsid w:val="00E14AE9"/>
    <w:rsid w:val="00E2188A"/>
    <w:rsid w:val="00E21CE7"/>
    <w:rsid w:val="00E30BD3"/>
    <w:rsid w:val="00E36C84"/>
    <w:rsid w:val="00E45C1E"/>
    <w:rsid w:val="00E51E65"/>
    <w:rsid w:val="00E52743"/>
    <w:rsid w:val="00E52AD1"/>
    <w:rsid w:val="00E534C4"/>
    <w:rsid w:val="00E545E0"/>
    <w:rsid w:val="00E633BA"/>
    <w:rsid w:val="00E76331"/>
    <w:rsid w:val="00E84598"/>
    <w:rsid w:val="00E86534"/>
    <w:rsid w:val="00E91C85"/>
    <w:rsid w:val="00EA0ED2"/>
    <w:rsid w:val="00EA223F"/>
    <w:rsid w:val="00EA5865"/>
    <w:rsid w:val="00EC2ECC"/>
    <w:rsid w:val="00EC70E1"/>
    <w:rsid w:val="00ED5BBF"/>
    <w:rsid w:val="00EE276D"/>
    <w:rsid w:val="00EE4636"/>
    <w:rsid w:val="00EE4D75"/>
    <w:rsid w:val="00EE7F7C"/>
    <w:rsid w:val="00EF1099"/>
    <w:rsid w:val="00EF408B"/>
    <w:rsid w:val="00F1120D"/>
    <w:rsid w:val="00F20765"/>
    <w:rsid w:val="00F20920"/>
    <w:rsid w:val="00F22EB4"/>
    <w:rsid w:val="00F24543"/>
    <w:rsid w:val="00F3086B"/>
    <w:rsid w:val="00F41004"/>
    <w:rsid w:val="00F544E2"/>
    <w:rsid w:val="00F6003B"/>
    <w:rsid w:val="00F602C4"/>
    <w:rsid w:val="00F609F3"/>
    <w:rsid w:val="00F64338"/>
    <w:rsid w:val="00F67E4B"/>
    <w:rsid w:val="00F70E43"/>
    <w:rsid w:val="00F74074"/>
    <w:rsid w:val="00F76DAC"/>
    <w:rsid w:val="00F81402"/>
    <w:rsid w:val="00F82576"/>
    <w:rsid w:val="00F918A5"/>
    <w:rsid w:val="00F9519C"/>
    <w:rsid w:val="00FA5A0F"/>
    <w:rsid w:val="00FA66AC"/>
    <w:rsid w:val="00FA6B05"/>
    <w:rsid w:val="00FA6E82"/>
    <w:rsid w:val="00FA7FD1"/>
    <w:rsid w:val="00FD104D"/>
    <w:rsid w:val="00FE7220"/>
    <w:rsid w:val="00FF0576"/>
    <w:rsid w:val="00FF5F52"/>
    <w:rsid w:val="00FF642A"/>
    <w:rsid w:val="00FF6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84B8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665"/>
  </w:style>
  <w:style w:type="paragraph" w:styleId="Heading1">
    <w:name w:val="heading 1"/>
    <w:basedOn w:val="Normal"/>
    <w:next w:val="Normal"/>
    <w:link w:val="Heading1Char"/>
    <w:uiPriority w:val="9"/>
    <w:qFormat/>
    <w:rsid w:val="00351E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1E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0D3731"/>
    <w:pPr>
      <w:spacing w:before="240" w:after="120" w:line="240" w:lineRule="auto"/>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E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1EC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351ECA"/>
    <w:rPr>
      <w:sz w:val="16"/>
      <w:szCs w:val="16"/>
    </w:rPr>
  </w:style>
  <w:style w:type="paragraph" w:styleId="CommentText">
    <w:name w:val="annotation text"/>
    <w:basedOn w:val="Normal"/>
    <w:link w:val="CommentTextChar"/>
    <w:uiPriority w:val="99"/>
    <w:unhideWhenUsed/>
    <w:rsid w:val="00351ECA"/>
    <w:pPr>
      <w:spacing w:line="240" w:lineRule="auto"/>
    </w:pPr>
    <w:rPr>
      <w:sz w:val="20"/>
      <w:szCs w:val="20"/>
    </w:rPr>
  </w:style>
  <w:style w:type="character" w:customStyle="1" w:styleId="CommentTextChar">
    <w:name w:val="Comment Text Char"/>
    <w:basedOn w:val="DefaultParagraphFont"/>
    <w:link w:val="CommentText"/>
    <w:uiPriority w:val="99"/>
    <w:rsid w:val="00351ECA"/>
    <w:rPr>
      <w:sz w:val="20"/>
      <w:szCs w:val="20"/>
    </w:rPr>
  </w:style>
  <w:style w:type="paragraph" w:styleId="ListParagraph">
    <w:name w:val="List Paragraph"/>
    <w:basedOn w:val="Normal"/>
    <w:link w:val="ListParagraphChar"/>
    <w:uiPriority w:val="34"/>
    <w:qFormat/>
    <w:rsid w:val="00351ECA"/>
    <w:pPr>
      <w:spacing w:before="40" w:after="40" w:line="240" w:lineRule="auto"/>
      <w:contextualSpacing/>
    </w:pPr>
    <w:rPr>
      <w:rFonts w:ascii="Arial" w:eastAsia="Times New Roman" w:hAnsi="Arial" w:cs="Times New Roman"/>
      <w:color w:val="3B3838" w:themeColor="background2" w:themeShade="40"/>
      <w:sz w:val="20"/>
      <w:szCs w:val="24"/>
      <w:lang w:eastAsia="en-AU"/>
    </w:rPr>
  </w:style>
  <w:style w:type="character" w:styleId="Hyperlink">
    <w:name w:val="Hyperlink"/>
    <w:basedOn w:val="DefaultParagraphFont"/>
    <w:uiPriority w:val="99"/>
    <w:unhideWhenUsed/>
    <w:rsid w:val="00351ECA"/>
    <w:rPr>
      <w:color w:val="0563C1" w:themeColor="hyperlink"/>
      <w:u w:val="single"/>
    </w:rPr>
  </w:style>
  <w:style w:type="paragraph" w:styleId="FootnoteText">
    <w:name w:val="footnote text"/>
    <w:basedOn w:val="Normal"/>
    <w:link w:val="FootnoteTextChar"/>
    <w:uiPriority w:val="99"/>
    <w:semiHidden/>
    <w:unhideWhenUsed/>
    <w:rsid w:val="00351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ECA"/>
    <w:rPr>
      <w:sz w:val="20"/>
      <w:szCs w:val="20"/>
    </w:rPr>
  </w:style>
  <w:style w:type="character" w:styleId="FootnoteReference">
    <w:name w:val="footnote reference"/>
    <w:basedOn w:val="DefaultParagraphFont"/>
    <w:uiPriority w:val="99"/>
    <w:semiHidden/>
    <w:unhideWhenUsed/>
    <w:rsid w:val="00351ECA"/>
    <w:rPr>
      <w:vertAlign w:val="superscript"/>
    </w:rPr>
  </w:style>
  <w:style w:type="paragraph" w:styleId="Header">
    <w:name w:val="header"/>
    <w:basedOn w:val="Normal"/>
    <w:link w:val="HeaderChar"/>
    <w:uiPriority w:val="99"/>
    <w:unhideWhenUsed/>
    <w:rsid w:val="00351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CA"/>
  </w:style>
  <w:style w:type="paragraph" w:styleId="Footer">
    <w:name w:val="footer"/>
    <w:basedOn w:val="Normal"/>
    <w:link w:val="FooterChar"/>
    <w:uiPriority w:val="99"/>
    <w:unhideWhenUsed/>
    <w:rsid w:val="00351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CA"/>
  </w:style>
  <w:style w:type="paragraph" w:styleId="TOCHeading">
    <w:name w:val="TOC Heading"/>
    <w:basedOn w:val="Heading1"/>
    <w:next w:val="Normal"/>
    <w:uiPriority w:val="39"/>
    <w:unhideWhenUsed/>
    <w:qFormat/>
    <w:rsid w:val="00351ECA"/>
    <w:pPr>
      <w:outlineLvl w:val="9"/>
    </w:pPr>
    <w:rPr>
      <w:lang w:val="en-US"/>
    </w:rPr>
  </w:style>
  <w:style w:type="paragraph" w:styleId="TOC1">
    <w:name w:val="toc 1"/>
    <w:basedOn w:val="Normal"/>
    <w:next w:val="Normal"/>
    <w:autoRedefine/>
    <w:uiPriority w:val="39"/>
    <w:unhideWhenUsed/>
    <w:rsid w:val="00351ECA"/>
    <w:pPr>
      <w:tabs>
        <w:tab w:val="right" w:leader="dot" w:pos="9016"/>
      </w:tabs>
      <w:spacing w:after="100"/>
    </w:pPr>
  </w:style>
  <w:style w:type="paragraph" w:styleId="TOC2">
    <w:name w:val="toc 2"/>
    <w:basedOn w:val="Normal"/>
    <w:next w:val="Normal"/>
    <w:autoRedefine/>
    <w:uiPriority w:val="39"/>
    <w:unhideWhenUsed/>
    <w:rsid w:val="00351ECA"/>
    <w:pPr>
      <w:spacing w:after="100"/>
      <w:ind w:left="220"/>
    </w:pPr>
  </w:style>
  <w:style w:type="paragraph" w:styleId="BalloonText">
    <w:name w:val="Balloon Text"/>
    <w:basedOn w:val="Normal"/>
    <w:link w:val="BalloonTextChar"/>
    <w:uiPriority w:val="99"/>
    <w:semiHidden/>
    <w:unhideWhenUsed/>
    <w:rsid w:val="00351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755D3"/>
    <w:rPr>
      <w:b/>
      <w:bCs/>
    </w:rPr>
  </w:style>
  <w:style w:type="character" w:customStyle="1" w:styleId="CommentSubjectChar">
    <w:name w:val="Comment Subject Char"/>
    <w:basedOn w:val="CommentTextChar"/>
    <w:link w:val="CommentSubject"/>
    <w:uiPriority w:val="99"/>
    <w:semiHidden/>
    <w:rsid w:val="002755D3"/>
    <w:rPr>
      <w:b/>
      <w:bCs/>
      <w:sz w:val="20"/>
      <w:szCs w:val="20"/>
    </w:rPr>
  </w:style>
  <w:style w:type="character" w:styleId="FollowedHyperlink">
    <w:name w:val="FollowedHyperlink"/>
    <w:basedOn w:val="DefaultParagraphFont"/>
    <w:uiPriority w:val="99"/>
    <w:semiHidden/>
    <w:unhideWhenUsed/>
    <w:rsid w:val="009A6428"/>
    <w:rPr>
      <w:color w:val="954F72" w:themeColor="followedHyperlink"/>
      <w:u w:val="single"/>
    </w:rPr>
  </w:style>
  <w:style w:type="paragraph" w:styleId="Revision">
    <w:name w:val="Revision"/>
    <w:hidden/>
    <w:uiPriority w:val="99"/>
    <w:semiHidden/>
    <w:rsid w:val="00BB561D"/>
    <w:pPr>
      <w:spacing w:after="0" w:line="240" w:lineRule="auto"/>
    </w:pPr>
  </w:style>
  <w:style w:type="paragraph" w:styleId="BodyText">
    <w:name w:val="Body Text"/>
    <w:basedOn w:val="Normal"/>
    <w:link w:val="BodyTextChar"/>
    <w:uiPriority w:val="1"/>
    <w:qFormat/>
    <w:rsid w:val="00597822"/>
    <w:pPr>
      <w:widowControl w:val="0"/>
      <w:spacing w:before="58" w:after="0" w:line="240" w:lineRule="auto"/>
      <w:ind w:left="1020"/>
    </w:pPr>
    <w:rPr>
      <w:rFonts w:ascii="Neo Sans Pro" w:eastAsia="Neo Sans Pro" w:hAnsi="Neo Sans Pro"/>
      <w:sz w:val="19"/>
      <w:szCs w:val="19"/>
      <w:lang w:val="en-US"/>
    </w:rPr>
  </w:style>
  <w:style w:type="character" w:customStyle="1" w:styleId="BodyTextChar">
    <w:name w:val="Body Text Char"/>
    <w:basedOn w:val="DefaultParagraphFont"/>
    <w:link w:val="BodyText"/>
    <w:uiPriority w:val="1"/>
    <w:rsid w:val="00597822"/>
    <w:rPr>
      <w:rFonts w:ascii="Neo Sans Pro" w:eastAsia="Neo Sans Pro" w:hAnsi="Neo Sans Pro"/>
      <w:sz w:val="19"/>
      <w:szCs w:val="19"/>
      <w:lang w:val="en-US"/>
    </w:rPr>
  </w:style>
  <w:style w:type="paragraph" w:customStyle="1" w:styleId="Bullet">
    <w:name w:val="Bullet"/>
    <w:basedOn w:val="Normal"/>
    <w:qFormat/>
    <w:rsid w:val="00160B81"/>
    <w:pPr>
      <w:numPr>
        <w:numId w:val="11"/>
      </w:numPr>
      <w:spacing w:after="120" w:line="240" w:lineRule="auto"/>
    </w:pPr>
    <w:rPr>
      <w:rFonts w:eastAsia="Times New Roman" w:cs="Times New Roman"/>
      <w:sz w:val="24"/>
      <w:szCs w:val="20"/>
    </w:rPr>
  </w:style>
  <w:style w:type="paragraph" w:styleId="Title">
    <w:name w:val="Title"/>
    <w:basedOn w:val="Normal"/>
    <w:next w:val="Normal"/>
    <w:link w:val="TitleChar"/>
    <w:uiPriority w:val="10"/>
    <w:qFormat/>
    <w:rsid w:val="004739D6"/>
    <w:pPr>
      <w:jc w:val="center"/>
    </w:pPr>
    <w:rPr>
      <w:b/>
      <w:color w:val="2E74B5" w:themeColor="accent1" w:themeShade="BF"/>
      <w:sz w:val="52"/>
      <w:szCs w:val="52"/>
    </w:rPr>
  </w:style>
  <w:style w:type="character" w:customStyle="1" w:styleId="TitleChar">
    <w:name w:val="Title Char"/>
    <w:basedOn w:val="DefaultParagraphFont"/>
    <w:link w:val="Title"/>
    <w:uiPriority w:val="10"/>
    <w:rsid w:val="004739D6"/>
    <w:rPr>
      <w:b/>
      <w:color w:val="2E74B5" w:themeColor="accent1" w:themeShade="BF"/>
      <w:sz w:val="52"/>
      <w:szCs w:val="52"/>
    </w:rPr>
  </w:style>
  <w:style w:type="character" w:customStyle="1" w:styleId="Heading3Char">
    <w:name w:val="Heading 3 Char"/>
    <w:basedOn w:val="DefaultParagraphFont"/>
    <w:link w:val="Heading3"/>
    <w:uiPriority w:val="9"/>
    <w:rsid w:val="000D3731"/>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6F7989"/>
    <w:rPr>
      <w:i/>
      <w:iCs/>
    </w:rPr>
  </w:style>
  <w:style w:type="paragraph" w:customStyle="1" w:styleId="Default">
    <w:name w:val="Default"/>
    <w:rsid w:val="007C3B58"/>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851F51"/>
    <w:pPr>
      <w:spacing w:after="100"/>
      <w:ind w:left="440"/>
    </w:pPr>
  </w:style>
  <w:style w:type="character" w:customStyle="1" w:styleId="ListParagraphChar">
    <w:name w:val="List Paragraph Char"/>
    <w:basedOn w:val="DefaultParagraphFont"/>
    <w:link w:val="ListParagraph"/>
    <w:uiPriority w:val="34"/>
    <w:locked/>
    <w:rsid w:val="00E534C4"/>
    <w:rPr>
      <w:rFonts w:ascii="Arial" w:eastAsia="Times New Roman" w:hAnsi="Arial" w:cs="Times New Roman"/>
      <w:color w:val="3B3838" w:themeColor="background2" w:themeShade="40"/>
      <w:sz w:val="20"/>
      <w:szCs w:val="24"/>
      <w:lang w:eastAsia="en-AU"/>
    </w:rPr>
  </w:style>
  <w:style w:type="table" w:styleId="TableGrid">
    <w:name w:val="Table Grid"/>
    <w:basedOn w:val="TableNormal"/>
    <w:uiPriority w:val="39"/>
    <w:rsid w:val="001B2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632">
      <w:bodyDiv w:val="1"/>
      <w:marLeft w:val="0"/>
      <w:marRight w:val="0"/>
      <w:marTop w:val="0"/>
      <w:marBottom w:val="0"/>
      <w:divBdr>
        <w:top w:val="none" w:sz="0" w:space="0" w:color="auto"/>
        <w:left w:val="none" w:sz="0" w:space="0" w:color="auto"/>
        <w:bottom w:val="none" w:sz="0" w:space="0" w:color="auto"/>
        <w:right w:val="none" w:sz="0" w:space="0" w:color="auto"/>
      </w:divBdr>
    </w:div>
    <w:div w:id="102043996">
      <w:bodyDiv w:val="1"/>
      <w:marLeft w:val="0"/>
      <w:marRight w:val="0"/>
      <w:marTop w:val="0"/>
      <w:marBottom w:val="0"/>
      <w:divBdr>
        <w:top w:val="none" w:sz="0" w:space="0" w:color="auto"/>
        <w:left w:val="none" w:sz="0" w:space="0" w:color="auto"/>
        <w:bottom w:val="none" w:sz="0" w:space="0" w:color="auto"/>
        <w:right w:val="none" w:sz="0" w:space="0" w:color="auto"/>
      </w:divBdr>
    </w:div>
    <w:div w:id="118761637">
      <w:bodyDiv w:val="1"/>
      <w:marLeft w:val="0"/>
      <w:marRight w:val="0"/>
      <w:marTop w:val="0"/>
      <w:marBottom w:val="0"/>
      <w:divBdr>
        <w:top w:val="none" w:sz="0" w:space="0" w:color="auto"/>
        <w:left w:val="none" w:sz="0" w:space="0" w:color="auto"/>
        <w:bottom w:val="none" w:sz="0" w:space="0" w:color="auto"/>
        <w:right w:val="none" w:sz="0" w:space="0" w:color="auto"/>
      </w:divBdr>
    </w:div>
    <w:div w:id="186022539">
      <w:bodyDiv w:val="1"/>
      <w:marLeft w:val="0"/>
      <w:marRight w:val="0"/>
      <w:marTop w:val="0"/>
      <w:marBottom w:val="0"/>
      <w:divBdr>
        <w:top w:val="none" w:sz="0" w:space="0" w:color="auto"/>
        <w:left w:val="none" w:sz="0" w:space="0" w:color="auto"/>
        <w:bottom w:val="none" w:sz="0" w:space="0" w:color="auto"/>
        <w:right w:val="none" w:sz="0" w:space="0" w:color="auto"/>
      </w:divBdr>
    </w:div>
    <w:div w:id="200677349">
      <w:bodyDiv w:val="1"/>
      <w:marLeft w:val="0"/>
      <w:marRight w:val="0"/>
      <w:marTop w:val="0"/>
      <w:marBottom w:val="0"/>
      <w:divBdr>
        <w:top w:val="none" w:sz="0" w:space="0" w:color="auto"/>
        <w:left w:val="none" w:sz="0" w:space="0" w:color="auto"/>
        <w:bottom w:val="none" w:sz="0" w:space="0" w:color="auto"/>
        <w:right w:val="none" w:sz="0" w:space="0" w:color="auto"/>
      </w:divBdr>
    </w:div>
    <w:div w:id="330985804">
      <w:bodyDiv w:val="1"/>
      <w:marLeft w:val="0"/>
      <w:marRight w:val="0"/>
      <w:marTop w:val="0"/>
      <w:marBottom w:val="0"/>
      <w:divBdr>
        <w:top w:val="none" w:sz="0" w:space="0" w:color="auto"/>
        <w:left w:val="none" w:sz="0" w:space="0" w:color="auto"/>
        <w:bottom w:val="none" w:sz="0" w:space="0" w:color="auto"/>
        <w:right w:val="none" w:sz="0" w:space="0" w:color="auto"/>
      </w:divBdr>
      <w:divsChild>
        <w:div w:id="1632127110">
          <w:marLeft w:val="360"/>
          <w:marRight w:val="0"/>
          <w:marTop w:val="200"/>
          <w:marBottom w:val="0"/>
          <w:divBdr>
            <w:top w:val="none" w:sz="0" w:space="0" w:color="auto"/>
            <w:left w:val="none" w:sz="0" w:space="0" w:color="auto"/>
            <w:bottom w:val="none" w:sz="0" w:space="0" w:color="auto"/>
            <w:right w:val="none" w:sz="0" w:space="0" w:color="auto"/>
          </w:divBdr>
        </w:div>
        <w:div w:id="935791292">
          <w:marLeft w:val="360"/>
          <w:marRight w:val="0"/>
          <w:marTop w:val="200"/>
          <w:marBottom w:val="0"/>
          <w:divBdr>
            <w:top w:val="none" w:sz="0" w:space="0" w:color="auto"/>
            <w:left w:val="none" w:sz="0" w:space="0" w:color="auto"/>
            <w:bottom w:val="none" w:sz="0" w:space="0" w:color="auto"/>
            <w:right w:val="none" w:sz="0" w:space="0" w:color="auto"/>
          </w:divBdr>
        </w:div>
        <w:div w:id="1703631205">
          <w:marLeft w:val="360"/>
          <w:marRight w:val="0"/>
          <w:marTop w:val="200"/>
          <w:marBottom w:val="0"/>
          <w:divBdr>
            <w:top w:val="none" w:sz="0" w:space="0" w:color="auto"/>
            <w:left w:val="none" w:sz="0" w:space="0" w:color="auto"/>
            <w:bottom w:val="none" w:sz="0" w:space="0" w:color="auto"/>
            <w:right w:val="none" w:sz="0" w:space="0" w:color="auto"/>
          </w:divBdr>
        </w:div>
      </w:divsChild>
    </w:div>
    <w:div w:id="422999197">
      <w:bodyDiv w:val="1"/>
      <w:marLeft w:val="0"/>
      <w:marRight w:val="0"/>
      <w:marTop w:val="0"/>
      <w:marBottom w:val="0"/>
      <w:divBdr>
        <w:top w:val="none" w:sz="0" w:space="0" w:color="auto"/>
        <w:left w:val="none" w:sz="0" w:space="0" w:color="auto"/>
        <w:bottom w:val="none" w:sz="0" w:space="0" w:color="auto"/>
        <w:right w:val="none" w:sz="0" w:space="0" w:color="auto"/>
      </w:divBdr>
    </w:div>
    <w:div w:id="636956452">
      <w:bodyDiv w:val="1"/>
      <w:marLeft w:val="0"/>
      <w:marRight w:val="0"/>
      <w:marTop w:val="0"/>
      <w:marBottom w:val="0"/>
      <w:divBdr>
        <w:top w:val="none" w:sz="0" w:space="0" w:color="auto"/>
        <w:left w:val="none" w:sz="0" w:space="0" w:color="auto"/>
        <w:bottom w:val="none" w:sz="0" w:space="0" w:color="auto"/>
        <w:right w:val="none" w:sz="0" w:space="0" w:color="auto"/>
      </w:divBdr>
      <w:divsChild>
        <w:div w:id="365758716">
          <w:marLeft w:val="562"/>
          <w:marRight w:val="0"/>
          <w:marTop w:val="200"/>
          <w:marBottom w:val="0"/>
          <w:divBdr>
            <w:top w:val="none" w:sz="0" w:space="0" w:color="auto"/>
            <w:left w:val="none" w:sz="0" w:space="0" w:color="auto"/>
            <w:bottom w:val="none" w:sz="0" w:space="0" w:color="auto"/>
            <w:right w:val="none" w:sz="0" w:space="0" w:color="auto"/>
          </w:divBdr>
        </w:div>
      </w:divsChild>
    </w:div>
    <w:div w:id="647326316">
      <w:bodyDiv w:val="1"/>
      <w:marLeft w:val="0"/>
      <w:marRight w:val="0"/>
      <w:marTop w:val="0"/>
      <w:marBottom w:val="0"/>
      <w:divBdr>
        <w:top w:val="none" w:sz="0" w:space="0" w:color="auto"/>
        <w:left w:val="none" w:sz="0" w:space="0" w:color="auto"/>
        <w:bottom w:val="none" w:sz="0" w:space="0" w:color="auto"/>
        <w:right w:val="none" w:sz="0" w:space="0" w:color="auto"/>
      </w:divBdr>
    </w:div>
    <w:div w:id="990058568">
      <w:bodyDiv w:val="1"/>
      <w:marLeft w:val="0"/>
      <w:marRight w:val="0"/>
      <w:marTop w:val="0"/>
      <w:marBottom w:val="0"/>
      <w:divBdr>
        <w:top w:val="none" w:sz="0" w:space="0" w:color="auto"/>
        <w:left w:val="none" w:sz="0" w:space="0" w:color="auto"/>
        <w:bottom w:val="none" w:sz="0" w:space="0" w:color="auto"/>
        <w:right w:val="none" w:sz="0" w:space="0" w:color="auto"/>
      </w:divBdr>
    </w:div>
    <w:div w:id="1084373415">
      <w:bodyDiv w:val="1"/>
      <w:marLeft w:val="0"/>
      <w:marRight w:val="0"/>
      <w:marTop w:val="0"/>
      <w:marBottom w:val="0"/>
      <w:divBdr>
        <w:top w:val="none" w:sz="0" w:space="0" w:color="auto"/>
        <w:left w:val="none" w:sz="0" w:space="0" w:color="auto"/>
        <w:bottom w:val="none" w:sz="0" w:space="0" w:color="auto"/>
        <w:right w:val="none" w:sz="0" w:space="0" w:color="auto"/>
      </w:divBdr>
    </w:div>
    <w:div w:id="1125731470">
      <w:bodyDiv w:val="1"/>
      <w:marLeft w:val="0"/>
      <w:marRight w:val="0"/>
      <w:marTop w:val="0"/>
      <w:marBottom w:val="0"/>
      <w:divBdr>
        <w:top w:val="none" w:sz="0" w:space="0" w:color="auto"/>
        <w:left w:val="none" w:sz="0" w:space="0" w:color="auto"/>
        <w:bottom w:val="none" w:sz="0" w:space="0" w:color="auto"/>
        <w:right w:val="none" w:sz="0" w:space="0" w:color="auto"/>
      </w:divBdr>
    </w:div>
    <w:div w:id="1247299653">
      <w:bodyDiv w:val="1"/>
      <w:marLeft w:val="0"/>
      <w:marRight w:val="0"/>
      <w:marTop w:val="0"/>
      <w:marBottom w:val="0"/>
      <w:divBdr>
        <w:top w:val="none" w:sz="0" w:space="0" w:color="auto"/>
        <w:left w:val="none" w:sz="0" w:space="0" w:color="auto"/>
        <w:bottom w:val="none" w:sz="0" w:space="0" w:color="auto"/>
        <w:right w:val="none" w:sz="0" w:space="0" w:color="auto"/>
      </w:divBdr>
    </w:div>
    <w:div w:id="1260017160">
      <w:bodyDiv w:val="1"/>
      <w:marLeft w:val="0"/>
      <w:marRight w:val="0"/>
      <w:marTop w:val="0"/>
      <w:marBottom w:val="0"/>
      <w:divBdr>
        <w:top w:val="none" w:sz="0" w:space="0" w:color="auto"/>
        <w:left w:val="none" w:sz="0" w:space="0" w:color="auto"/>
        <w:bottom w:val="none" w:sz="0" w:space="0" w:color="auto"/>
        <w:right w:val="none" w:sz="0" w:space="0" w:color="auto"/>
      </w:divBdr>
    </w:div>
    <w:div w:id="1334605834">
      <w:bodyDiv w:val="1"/>
      <w:marLeft w:val="0"/>
      <w:marRight w:val="0"/>
      <w:marTop w:val="0"/>
      <w:marBottom w:val="0"/>
      <w:divBdr>
        <w:top w:val="none" w:sz="0" w:space="0" w:color="auto"/>
        <w:left w:val="none" w:sz="0" w:space="0" w:color="auto"/>
        <w:bottom w:val="none" w:sz="0" w:space="0" w:color="auto"/>
        <w:right w:val="none" w:sz="0" w:space="0" w:color="auto"/>
      </w:divBdr>
    </w:div>
    <w:div w:id="1344628171">
      <w:bodyDiv w:val="1"/>
      <w:marLeft w:val="0"/>
      <w:marRight w:val="0"/>
      <w:marTop w:val="0"/>
      <w:marBottom w:val="0"/>
      <w:divBdr>
        <w:top w:val="none" w:sz="0" w:space="0" w:color="auto"/>
        <w:left w:val="none" w:sz="0" w:space="0" w:color="auto"/>
        <w:bottom w:val="none" w:sz="0" w:space="0" w:color="auto"/>
        <w:right w:val="none" w:sz="0" w:space="0" w:color="auto"/>
      </w:divBdr>
    </w:div>
    <w:div w:id="1379671860">
      <w:bodyDiv w:val="1"/>
      <w:marLeft w:val="0"/>
      <w:marRight w:val="0"/>
      <w:marTop w:val="0"/>
      <w:marBottom w:val="0"/>
      <w:divBdr>
        <w:top w:val="none" w:sz="0" w:space="0" w:color="auto"/>
        <w:left w:val="none" w:sz="0" w:space="0" w:color="auto"/>
        <w:bottom w:val="none" w:sz="0" w:space="0" w:color="auto"/>
        <w:right w:val="none" w:sz="0" w:space="0" w:color="auto"/>
      </w:divBdr>
    </w:div>
    <w:div w:id="1602104343">
      <w:bodyDiv w:val="1"/>
      <w:marLeft w:val="0"/>
      <w:marRight w:val="0"/>
      <w:marTop w:val="0"/>
      <w:marBottom w:val="0"/>
      <w:divBdr>
        <w:top w:val="none" w:sz="0" w:space="0" w:color="auto"/>
        <w:left w:val="none" w:sz="0" w:space="0" w:color="auto"/>
        <w:bottom w:val="none" w:sz="0" w:space="0" w:color="auto"/>
        <w:right w:val="none" w:sz="0" w:space="0" w:color="auto"/>
      </w:divBdr>
    </w:div>
    <w:div w:id="1732540736">
      <w:bodyDiv w:val="1"/>
      <w:marLeft w:val="0"/>
      <w:marRight w:val="0"/>
      <w:marTop w:val="0"/>
      <w:marBottom w:val="0"/>
      <w:divBdr>
        <w:top w:val="none" w:sz="0" w:space="0" w:color="auto"/>
        <w:left w:val="none" w:sz="0" w:space="0" w:color="auto"/>
        <w:bottom w:val="none" w:sz="0" w:space="0" w:color="auto"/>
        <w:right w:val="none" w:sz="0" w:space="0" w:color="auto"/>
      </w:divBdr>
    </w:div>
    <w:div w:id="1837838090">
      <w:bodyDiv w:val="1"/>
      <w:marLeft w:val="0"/>
      <w:marRight w:val="0"/>
      <w:marTop w:val="0"/>
      <w:marBottom w:val="0"/>
      <w:divBdr>
        <w:top w:val="none" w:sz="0" w:space="0" w:color="auto"/>
        <w:left w:val="none" w:sz="0" w:space="0" w:color="auto"/>
        <w:bottom w:val="none" w:sz="0" w:space="0" w:color="auto"/>
        <w:right w:val="none" w:sz="0" w:space="0" w:color="auto"/>
      </w:divBdr>
    </w:div>
    <w:div w:id="1840608724">
      <w:bodyDiv w:val="1"/>
      <w:marLeft w:val="0"/>
      <w:marRight w:val="0"/>
      <w:marTop w:val="0"/>
      <w:marBottom w:val="0"/>
      <w:divBdr>
        <w:top w:val="none" w:sz="0" w:space="0" w:color="auto"/>
        <w:left w:val="none" w:sz="0" w:space="0" w:color="auto"/>
        <w:bottom w:val="none" w:sz="0" w:space="0" w:color="auto"/>
        <w:right w:val="none" w:sz="0" w:space="0" w:color="auto"/>
      </w:divBdr>
    </w:div>
    <w:div w:id="1910967214">
      <w:bodyDiv w:val="1"/>
      <w:marLeft w:val="0"/>
      <w:marRight w:val="0"/>
      <w:marTop w:val="0"/>
      <w:marBottom w:val="0"/>
      <w:divBdr>
        <w:top w:val="none" w:sz="0" w:space="0" w:color="auto"/>
        <w:left w:val="none" w:sz="0" w:space="0" w:color="auto"/>
        <w:bottom w:val="none" w:sz="0" w:space="0" w:color="auto"/>
        <w:right w:val="none" w:sz="0" w:space="0" w:color="auto"/>
      </w:divBdr>
    </w:div>
    <w:div w:id="2118133733">
      <w:bodyDiv w:val="1"/>
      <w:marLeft w:val="0"/>
      <w:marRight w:val="0"/>
      <w:marTop w:val="0"/>
      <w:marBottom w:val="0"/>
      <w:divBdr>
        <w:top w:val="none" w:sz="0" w:space="0" w:color="auto"/>
        <w:left w:val="none" w:sz="0" w:space="0" w:color="auto"/>
        <w:bottom w:val="none" w:sz="0" w:space="0" w:color="auto"/>
        <w:right w:val="none" w:sz="0" w:space="0" w:color="auto"/>
      </w:divBdr>
    </w:div>
    <w:div w:id="2132548248">
      <w:bodyDiv w:val="1"/>
      <w:marLeft w:val="0"/>
      <w:marRight w:val="0"/>
      <w:marTop w:val="0"/>
      <w:marBottom w:val="0"/>
      <w:divBdr>
        <w:top w:val="none" w:sz="0" w:space="0" w:color="auto"/>
        <w:left w:val="none" w:sz="0" w:space="0" w:color="auto"/>
        <w:bottom w:val="none" w:sz="0" w:space="0" w:color="auto"/>
        <w:right w:val="none" w:sz="0" w:space="0" w:color="auto"/>
      </w:divBdr>
      <w:divsChild>
        <w:div w:id="852305254">
          <w:marLeft w:val="562"/>
          <w:marRight w:val="0"/>
          <w:marTop w:val="200"/>
          <w:marBottom w:val="0"/>
          <w:divBdr>
            <w:top w:val="none" w:sz="0" w:space="0" w:color="auto"/>
            <w:left w:val="none" w:sz="0" w:space="0" w:color="auto"/>
            <w:bottom w:val="none" w:sz="0" w:space="0" w:color="auto"/>
            <w:right w:val="none" w:sz="0" w:space="0" w:color="auto"/>
          </w:divBdr>
        </w:div>
        <w:div w:id="2036811558">
          <w:marLeft w:val="562"/>
          <w:marRight w:val="0"/>
          <w:marTop w:val="200"/>
          <w:marBottom w:val="0"/>
          <w:divBdr>
            <w:top w:val="none" w:sz="0" w:space="0" w:color="auto"/>
            <w:left w:val="none" w:sz="0" w:space="0" w:color="auto"/>
            <w:bottom w:val="none" w:sz="0" w:space="0" w:color="auto"/>
            <w:right w:val="none" w:sz="0" w:space="0" w:color="auto"/>
          </w:divBdr>
        </w:div>
        <w:div w:id="744034432">
          <w:marLeft w:val="562"/>
          <w:marRight w:val="0"/>
          <w:marTop w:val="200"/>
          <w:marBottom w:val="0"/>
          <w:divBdr>
            <w:top w:val="none" w:sz="0" w:space="0" w:color="auto"/>
            <w:left w:val="none" w:sz="0" w:space="0" w:color="auto"/>
            <w:bottom w:val="none" w:sz="0" w:space="0" w:color="auto"/>
            <w:right w:val="none" w:sz="0" w:space="0" w:color="auto"/>
          </w:divBdr>
        </w:div>
      </w:divsChild>
    </w:div>
    <w:div w:id="21372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eedback@nopta.gov.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edback@nopt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opta.gov.au/about.html" TargetMode="External"/><Relationship Id="rId2" Type="http://schemas.openxmlformats.org/officeDocument/2006/relationships/hyperlink" Target="https://www.industry.gov.au/" TargetMode="External"/><Relationship Id="rId1" Type="http://schemas.openxmlformats.org/officeDocument/2006/relationships/hyperlink" Target="http://www.nopta.gov.au/media/self-assessment/index.html" TargetMode="External"/><Relationship Id="rId6" Type="http://schemas.openxmlformats.org/officeDocument/2006/relationships/hyperlink" Target="http://www.nopta.gov.au/about.html" TargetMode="External"/><Relationship Id="rId5" Type="http://schemas.openxmlformats.org/officeDocument/2006/relationships/hyperlink" Target="http://www.nopta.gov.au/media/neats2020/index.html" TargetMode="External"/><Relationship Id="rId4" Type="http://schemas.openxmlformats.org/officeDocument/2006/relationships/hyperlink" Target="http://www.nopta.gov.au/media/operational-review/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F4B45A72344EAA177C9F0621EBF5" ma:contentTypeVersion="14" ma:contentTypeDescription="Create a new document." ma:contentTypeScope="" ma:versionID="fa22e20d92e87f1e1a07c5a29d6e4ff8">
  <xsd:schema xmlns:xsd="http://www.w3.org/2001/XMLSchema" xmlns:xs="http://www.w3.org/2001/XMLSchema" xmlns:p="http://schemas.microsoft.com/office/2006/metadata/properties" xmlns:ns1="http://schemas.microsoft.com/sharepoint/v3" xmlns:ns2="cdd73b99-b600-467d-8b05-41f33179978b" targetNamespace="http://schemas.microsoft.com/office/2006/metadata/properties" ma:root="true" ma:fieldsID="aa398310465ecec7e163840dc710c54d" ns1:_="" ns2:_="">
    <xsd:import namespace="http://schemas.microsoft.com/sharepoint/v3"/>
    <xsd:import namespace="cdd73b99-b600-467d-8b05-41f33179978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3b99-b600-467d-8b05-41f3317997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948bbdd-aea7-4500-bcec-9d90307b1195}" ma:internalName="TaxCatchAll" ma:showField="CatchAllData" ma:web="cdd73b99-b600-467d-8b05-41f33179978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26d3d30-c4fe-4058-8dc3-a710e5fd0727"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d73b99-b600-467d-8b05-41f33179978b">
      <Value>58</Value>
      <Value>1362</Value>
      <Value>30</Value>
    </TaxCatchAll>
    <_dlc_DocId xmlns="cdd73b99-b600-467d-8b05-41f33179978b">2P6QMCT253UY-902866662-74</_dlc_DocId>
    <_dlc_DocIdUrl xmlns="cdd73b99-b600-467d-8b05-41f33179978b">
      <Url>https://dochub/div/portfoliostrategicpolicy/programmesprojectstaskforces/deregpolicy/regperfframework201617/_layouts/15/DocIdRedir.aspx?ID=2P6QMCT253UY-902866662-74</Url>
      <Description>2P6QMCT253UY-902866662-74</Description>
    </_dlc_DocIdUrl>
    <pe2555c81638466f9eb614edb9ecde52 xmlns="cdd73b99-b600-467d-8b05-41f33179978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116a9244-cef6-47ce-a9a5-088c9cf21292</TermId>
        </TermInfo>
      </Terms>
    </pe2555c81638466f9eb614edb9ecde52>
    <n99e4c9942c6404eb103464a00e6097b xmlns="cdd73b99-b600-467d-8b05-41f33179978b">
      <Terms xmlns="http://schemas.microsoft.com/office/infopath/2007/PartnerControls">
        <TermInfo xmlns="http://schemas.microsoft.com/office/infopath/2007/PartnerControls">
          <TermName xmlns="http://schemas.microsoft.com/office/infopath/2007/PartnerControls">2017-18</TermName>
          <TermId xmlns="http://schemas.microsoft.com/office/infopath/2007/PartnerControls">b7f3f697-63b0-4a64-a581-540e55f3baef</TermId>
        </TermInfo>
      </Terms>
    </n99e4c9942c6404eb103464a00e6097b>
    <adb9bed2e36e4a93af574aeb444da63e xmlns="cdd73b99-b600-467d-8b05-41f33179978b">
      <Terms xmlns="http://schemas.microsoft.com/office/infopath/2007/PartnerControls"/>
    </adb9bed2e36e4a93af574aeb444da63e>
    <aa25a1a23adf4c92a153145de6afe324 xmlns="cdd73b99-b600-467d-8b05-41f33179978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6106d03b-a1a0-4e30-9d91-d5e9fb4314f9</TermId>
        </TermInfo>
      </Terms>
    </aa25a1a23adf4c92a153145de6afe324>
    <g7bcb40ba23249a78edca7d43a67c1c9 xmlns="cdd73b99-b600-467d-8b05-41f33179978b">
      <Terms xmlns="http://schemas.microsoft.com/office/infopath/2007/PartnerControls"/>
    </g7bcb40ba23249a78edca7d43a67c1c9>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1DBA9-4442-428C-94A4-8D6D3D360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d73b99-b600-467d-8b05-41f33179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091CD-73BC-46CF-80B9-953817A26A8A}">
  <ds:schemaRefs>
    <ds:schemaRef ds:uri="cdd73b99-b600-467d-8b05-41f3317997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8E3BC41-E558-4452-9DA9-3A76B64768DB}">
  <ds:schemaRefs>
    <ds:schemaRef ds:uri="http://schemas.microsoft.com/sharepoint/v3/contenttype/forms"/>
  </ds:schemaRefs>
</ds:datastoreItem>
</file>

<file path=customXml/itemProps4.xml><?xml version="1.0" encoding="utf-8"?>
<ds:datastoreItem xmlns:ds="http://schemas.openxmlformats.org/officeDocument/2006/customXml" ds:itemID="{1881591C-AD71-419D-806F-8280A6A40C57}">
  <ds:schemaRefs>
    <ds:schemaRef ds:uri="http://schemas.microsoft.com/sharepoint/events"/>
  </ds:schemaRefs>
</ds:datastoreItem>
</file>

<file path=customXml/itemProps5.xml><?xml version="1.0" encoding="utf-8"?>
<ds:datastoreItem xmlns:ds="http://schemas.openxmlformats.org/officeDocument/2006/customXml" ds:itemID="{A947EB67-14DA-45DA-94F4-F0A9514C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4060</Words>
  <Characters>23146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NOPTA 2016-17 self-assessment against the Regulator Performance Framework</vt:lpstr>
    </vt:vector>
  </TitlesOfParts>
  <Company/>
  <LinksUpToDate>false</LinksUpToDate>
  <CharactersWithSpaces>27152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NOPTA 2016-17 self-assessment against the Regulator Performance Framework</dc:title>
  <dc:subject/>
  <dc:creator/>
  <cp:keywords>self assessment; RPF; regulator performance framework</cp:keywords>
  <dc:description/>
  <cp:lastModifiedBy/>
  <cp:revision>1</cp:revision>
  <dcterms:created xsi:type="dcterms:W3CDTF">2019-01-24T01:26:00Z</dcterms:created>
  <dcterms:modified xsi:type="dcterms:W3CDTF">2019-01-24T01:30:00Z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0x010100B74BF4B45A72344EAA177C9F0621EBF5</vt:lpwstr>
  </property>
  <property fmtid="{D5CDD505-2E9C-101B-9397-08002B2CF9AE}" pid="3" name="TaxKeyword">
    <vt:lpwstr>2266;#regulator performance framework|599f30eb-0708-4de6-9a19-45911aedad0d;#4503;#RPF|d90e0fa3-733e-418f-b8e8-220d6f22423f;#2653;#self assessment|455c0dcd-9f05-4d89-9fc9-bc50da5b317d</vt:lpwstr>
  </property>
  <property fmtid="{D5CDD505-2E9C-101B-9397-08002B2CF9AE}" pid="4" name="BusinessFunction">
    <vt:lpwstr>4375;#Reporting|e812d41f-bf09-4f7b-b2db-1194c8727c6f</vt:lpwstr>
  </property>
  <property fmtid="{D5CDD505-2E9C-101B-9397-08002B2CF9AE}" pid="5" name="Team">
    <vt:lpwstr>320;#Business Support|d9efd397-6043-4d95-985b-6d6d3c90b7ef</vt:lpwstr>
  </property>
  <property fmtid="{D5CDD505-2E9C-101B-9397-08002B2CF9AE}" pid="6" name="Titles">
    <vt:lpwstr/>
  </property>
  <property fmtid="{D5CDD505-2E9C-101B-9397-08002B2CF9AE}" pid="7" name="Title Type">
    <vt:lpwstr/>
  </property>
  <property fmtid="{D5CDD505-2E9C-101B-9397-08002B2CF9AE}" pid="8" name="DocumentType">
    <vt:lpwstr/>
  </property>
  <property fmtid="{D5CDD505-2E9C-101B-9397-08002B2CF9AE}" pid="9" name="Offshore Region">
    <vt:lpwstr/>
  </property>
  <property fmtid="{D5CDD505-2E9C-101B-9397-08002B2CF9AE}" pid="10" name="Application Library">
    <vt:lpwstr/>
  </property>
  <property fmtid="{D5CDD505-2E9C-101B-9397-08002B2CF9AE}" pid="11" name="_dlc_DocIdItemGuid">
    <vt:lpwstr>d6e2f42b-eaee-41ac-9f12-deab092b6797</vt:lpwstr>
  </property>
  <property fmtid="{D5CDD505-2E9C-101B-9397-08002B2CF9AE}" pid="12" name="RecordPoint_WorkflowType">
    <vt:lpwstr>ActiveSubmitStub</vt:lpwstr>
  </property>
  <property fmtid="{D5CDD505-2E9C-101B-9397-08002B2CF9AE}" pid="13" name="RecordPoint_ActiveItemWebId">
    <vt:lpwstr>{1cb09c3b-6bea-4355-94e2-71fef6f9b9df}</vt:lpwstr>
  </property>
  <property fmtid="{D5CDD505-2E9C-101B-9397-08002B2CF9AE}" pid="14" name="RecordPoint_ActiveItemSiteId">
    <vt:lpwstr>{d02ec70a-6101-41fa-8072-ecbec6fd4fd8}</vt:lpwstr>
  </property>
  <property fmtid="{D5CDD505-2E9C-101B-9397-08002B2CF9AE}" pid="15" name="RecordPoint_ActiveItemListId">
    <vt:lpwstr>{8c7e3d1a-eec5-4121-bcb4-f0e0951a3d37}</vt:lpwstr>
  </property>
  <property fmtid="{D5CDD505-2E9C-101B-9397-08002B2CF9AE}" pid="16" name="RecordPoint_ActiveItemUniqueId">
    <vt:lpwstr>{96cf9b80-9d32-46ef-a3d5-4c4555b05347}</vt:lpwstr>
  </property>
  <property fmtid="{D5CDD505-2E9C-101B-9397-08002B2CF9AE}" pid="17" name="RecordPoint_RecordNumberSubmitted">
    <vt:lpwstr>R0000153034</vt:lpwstr>
  </property>
  <property fmtid="{D5CDD505-2E9C-101B-9397-08002B2CF9AE}" pid="18" name="RecordPoint_SubmissionCompleted">
    <vt:lpwstr>2018-11-01T11:48:12.5704616+08:00</vt:lpwstr>
  </property>
  <property fmtid="{D5CDD505-2E9C-101B-9397-08002B2CF9AE}" pid="19" name="DocHub_Year">
    <vt:lpwstr>1362;#2017-18|b7f3f697-63b0-4a64-a581-540e55f3baef</vt:lpwstr>
  </property>
  <property fmtid="{D5CDD505-2E9C-101B-9397-08002B2CF9AE}" pid="20" name="DocHub_DocumentType">
    <vt:lpwstr>58;#Report|116a9244-cef6-47ce-a9a5-088c9cf21292</vt:lpwstr>
  </property>
  <property fmtid="{D5CDD505-2E9C-101B-9397-08002B2CF9AE}" pid="21" name="DocHub_SecurityClassification">
    <vt:lpwstr>30;#UNCLASSIFIED|6106d03b-a1a0-4e30-9d91-d5e9fb4314f9</vt:lpwstr>
  </property>
  <property fmtid="{D5CDD505-2E9C-101B-9397-08002B2CF9AE}" pid="22" name="DocHub_WorkActivity">
    <vt:lpwstr/>
  </property>
  <property fmtid="{D5CDD505-2E9C-101B-9397-08002B2CF9AE}" pid="23" name="DocHub_Keywords">
    <vt:lpwstr/>
  </property>
</Properties>
</file>