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E35D1" w14:textId="77777777" w:rsidR="00CD49D8" w:rsidRPr="00DC2FF1" w:rsidRDefault="00CD49D8" w:rsidP="00CD49D8">
      <w:pPr>
        <w:pStyle w:val="Title"/>
      </w:pPr>
      <w:r w:rsidRPr="00DC2FF1">
        <w:t>REGULATOR PERFORMANCE FRAMEWORK</w:t>
      </w:r>
    </w:p>
    <w:p w14:paraId="7D435B74" w14:textId="77777777" w:rsidR="00CD49D8" w:rsidRPr="00DC2FF1" w:rsidRDefault="00CD49D8" w:rsidP="00CD49D8"/>
    <w:p w14:paraId="1C186AC0" w14:textId="77777777" w:rsidR="00CD49D8" w:rsidRPr="00DC2FF1" w:rsidRDefault="00CD49D8" w:rsidP="00CD49D8">
      <w:pPr>
        <w:rPr>
          <w:rFonts w:ascii="Tahoma" w:hAnsi="Tahoma"/>
          <w:spacing w:val="5"/>
          <w:kern w:val="28"/>
          <w:sz w:val="52"/>
          <w:szCs w:val="52"/>
        </w:rPr>
      </w:pPr>
      <w:r w:rsidRPr="00DC2FF1">
        <w:rPr>
          <w:rFonts w:ascii="Tahoma" w:hAnsi="Tahoma"/>
          <w:spacing w:val="5"/>
          <w:kern w:val="28"/>
          <w:sz w:val="52"/>
          <w:szCs w:val="52"/>
        </w:rPr>
        <w:t>201</w:t>
      </w:r>
      <w:r w:rsidR="000A7619">
        <w:rPr>
          <w:rFonts w:ascii="Tahoma" w:hAnsi="Tahoma"/>
          <w:spacing w:val="5"/>
          <w:kern w:val="28"/>
          <w:sz w:val="52"/>
          <w:szCs w:val="52"/>
        </w:rPr>
        <w:t>7</w:t>
      </w:r>
      <w:r w:rsidRPr="00DC2FF1">
        <w:rPr>
          <w:rFonts w:ascii="Tahoma" w:hAnsi="Tahoma"/>
          <w:spacing w:val="5"/>
          <w:kern w:val="28"/>
          <w:sz w:val="52"/>
          <w:szCs w:val="52"/>
        </w:rPr>
        <w:noBreakHyphen/>
        <w:t>1</w:t>
      </w:r>
      <w:r w:rsidR="000A7619">
        <w:rPr>
          <w:rFonts w:ascii="Tahoma" w:hAnsi="Tahoma"/>
          <w:spacing w:val="5"/>
          <w:kern w:val="28"/>
          <w:sz w:val="52"/>
          <w:szCs w:val="52"/>
        </w:rPr>
        <w:t>8</w:t>
      </w:r>
      <w:r w:rsidRPr="00DC2FF1">
        <w:rPr>
          <w:rFonts w:ascii="Tahoma" w:hAnsi="Tahoma"/>
          <w:spacing w:val="5"/>
          <w:kern w:val="28"/>
          <w:sz w:val="52"/>
          <w:szCs w:val="52"/>
        </w:rPr>
        <w:t xml:space="preserve"> SELF ASSESSMENT</w:t>
      </w:r>
    </w:p>
    <w:p w14:paraId="6FC41A18" w14:textId="77777777" w:rsidR="006A4E31" w:rsidRPr="00DC2FF1" w:rsidRDefault="006A4E31" w:rsidP="00C65816"/>
    <w:p w14:paraId="5129FC76" w14:textId="77777777" w:rsidR="006A4E31" w:rsidRPr="00DC2FF1" w:rsidRDefault="006A4E31" w:rsidP="00C65816"/>
    <w:p w14:paraId="52C70A84" w14:textId="70AADA8F" w:rsidR="006A4E31" w:rsidRPr="00DC2FF1" w:rsidRDefault="00CE6A83" w:rsidP="00C65816">
      <w:r>
        <w:t>November</w:t>
      </w:r>
      <w:r w:rsidR="00D464FA" w:rsidRPr="00DC2FF1">
        <w:t xml:space="preserve"> </w:t>
      </w:r>
      <w:r w:rsidR="00CD49D8" w:rsidRPr="00DC2FF1">
        <w:t>201</w:t>
      </w:r>
      <w:r w:rsidR="000A7619">
        <w:t>8</w:t>
      </w:r>
    </w:p>
    <w:p w14:paraId="38EB4704" w14:textId="77777777" w:rsidR="006A4E31" w:rsidRPr="00DC2FF1" w:rsidRDefault="006A4E31" w:rsidP="00C65816"/>
    <w:p w14:paraId="35102EDC" w14:textId="77777777" w:rsidR="006A4E31" w:rsidRPr="00DC2FF1" w:rsidRDefault="006A4E31" w:rsidP="00C65816"/>
    <w:p w14:paraId="48E26F8F" w14:textId="77777777" w:rsidR="002D5A99" w:rsidRPr="00DC2FF1" w:rsidRDefault="002D5A99" w:rsidP="0088313C">
      <w:pPr>
        <w:sectPr w:rsidR="002D5A99" w:rsidRPr="00DC2FF1" w:rsidSect="006A4E31">
          <w:headerReference w:type="default" r:id="rId12"/>
          <w:footerReference w:type="default" r:id="rId13"/>
          <w:headerReference w:type="first" r:id="rId14"/>
          <w:footerReference w:type="first" r:id="rId15"/>
          <w:pgSz w:w="11906" w:h="16838"/>
          <w:pgMar w:top="4962" w:right="1134" w:bottom="567" w:left="1134" w:header="567" w:footer="567" w:gutter="0"/>
          <w:cols w:space="720"/>
          <w:titlePg/>
          <w:docGrid w:linePitch="272"/>
        </w:sectPr>
      </w:pPr>
    </w:p>
    <w:p w14:paraId="31DE9F49" w14:textId="77777777" w:rsidR="006F657C" w:rsidRPr="00DC2FF1" w:rsidRDefault="006F657C" w:rsidP="00C65816">
      <w:pPr>
        <w:pStyle w:val="Contents"/>
      </w:pPr>
      <w:r w:rsidRPr="00DC2FF1">
        <w:lastRenderedPageBreak/>
        <w:t>Contents</w:t>
      </w:r>
    </w:p>
    <w:p w14:paraId="4491814C" w14:textId="77777777" w:rsidR="00E3135E" w:rsidRPr="00DC2FF1" w:rsidRDefault="00E3135E" w:rsidP="00C65816">
      <w:pPr>
        <w:pStyle w:val="TOC1"/>
        <w:sectPr w:rsidR="00E3135E" w:rsidRPr="00DC2FF1" w:rsidSect="00063CD6">
          <w:headerReference w:type="default" r:id="rId16"/>
          <w:footerReference w:type="default" r:id="rId17"/>
          <w:pgSz w:w="11906" w:h="16838"/>
          <w:pgMar w:top="1418" w:right="1134" w:bottom="720" w:left="1134" w:header="567" w:footer="794" w:gutter="0"/>
          <w:pgNumType w:start="1"/>
          <w:cols w:space="720"/>
          <w:noEndnote/>
          <w:docGrid w:linePitch="299"/>
        </w:sectPr>
      </w:pPr>
    </w:p>
    <w:p w14:paraId="75044EB3" w14:textId="77777777" w:rsidR="00DC3A99" w:rsidRDefault="00F8193A">
      <w:pPr>
        <w:pStyle w:val="TOC1"/>
        <w:rPr>
          <w:rFonts w:asciiTheme="minorHAnsi" w:eastAsiaTheme="minorEastAsia" w:hAnsiTheme="minorHAnsi" w:cstheme="minorBidi"/>
          <w:bCs w:val="0"/>
          <w:lang w:val="en-AU" w:eastAsia="en-AU"/>
        </w:rPr>
      </w:pPr>
      <w:r w:rsidRPr="00DC2FF1">
        <w:fldChar w:fldCharType="begin"/>
      </w:r>
      <w:r w:rsidRPr="00DC2FF1">
        <w:instrText xml:space="preserve"> TOC \o "1-1" </w:instrText>
      </w:r>
      <w:r w:rsidRPr="00DC2FF1">
        <w:fldChar w:fldCharType="separate"/>
      </w:r>
      <w:r w:rsidR="00DC3A99" w:rsidRPr="00D80C11">
        <w:t>Executive Summary</w:t>
      </w:r>
      <w:r w:rsidR="00DC3A99">
        <w:tab/>
      </w:r>
      <w:r w:rsidR="00DC3A99">
        <w:fldChar w:fldCharType="begin"/>
      </w:r>
      <w:r w:rsidR="00DC3A99">
        <w:instrText xml:space="preserve"> PAGEREF _Toc517947251 \h </w:instrText>
      </w:r>
      <w:r w:rsidR="00DC3A99">
        <w:fldChar w:fldCharType="separate"/>
      </w:r>
      <w:r w:rsidR="00065075">
        <w:t>1</w:t>
      </w:r>
      <w:r w:rsidR="00DC3A99">
        <w:fldChar w:fldCharType="end"/>
      </w:r>
    </w:p>
    <w:p w14:paraId="414C2303" w14:textId="6FA9787C" w:rsidR="00DC3A99" w:rsidRDefault="00DC3A99">
      <w:pPr>
        <w:pStyle w:val="TOC1"/>
        <w:rPr>
          <w:rFonts w:asciiTheme="minorHAnsi" w:eastAsiaTheme="minorEastAsia" w:hAnsiTheme="minorHAnsi" w:cstheme="minorBidi"/>
          <w:bCs w:val="0"/>
          <w:lang w:val="en-AU" w:eastAsia="en-AU"/>
        </w:rPr>
      </w:pPr>
      <w:r w:rsidRPr="00D80C11">
        <w:t>2017</w:t>
      </w:r>
      <w:r w:rsidRPr="00D80C11">
        <w:noBreakHyphen/>
        <w:t>18 Performance Scorecard</w:t>
      </w:r>
      <w:r>
        <w:tab/>
      </w:r>
      <w:r>
        <w:fldChar w:fldCharType="begin"/>
      </w:r>
      <w:r>
        <w:instrText xml:space="preserve"> PAGEREF _Toc517947252 \h </w:instrText>
      </w:r>
      <w:r>
        <w:fldChar w:fldCharType="separate"/>
      </w:r>
      <w:r w:rsidR="00065075">
        <w:t>5</w:t>
      </w:r>
      <w:r>
        <w:fldChar w:fldCharType="end"/>
      </w:r>
    </w:p>
    <w:p w14:paraId="20E7F8D7" w14:textId="233071BF" w:rsidR="00DC3A99" w:rsidRDefault="00DC3A99">
      <w:pPr>
        <w:pStyle w:val="TOC1"/>
        <w:rPr>
          <w:rFonts w:asciiTheme="minorHAnsi" w:eastAsiaTheme="minorEastAsia" w:hAnsiTheme="minorHAnsi" w:cstheme="minorBidi"/>
          <w:bCs w:val="0"/>
          <w:lang w:val="en-AU" w:eastAsia="en-AU"/>
        </w:rPr>
      </w:pPr>
      <w:r w:rsidRPr="00D80C11">
        <w:t>Performance Infographic</w:t>
      </w:r>
      <w:r>
        <w:tab/>
      </w:r>
      <w:r w:rsidR="000F246C">
        <w:t>11</w:t>
      </w:r>
    </w:p>
    <w:p w14:paraId="79614865" w14:textId="1DE47588" w:rsidR="00AF08F4" w:rsidRPr="00DC2FF1" w:rsidRDefault="00F8193A" w:rsidP="00713429">
      <w:pPr>
        <w:pStyle w:val="TOC1"/>
        <w:sectPr w:rsidR="00AF08F4" w:rsidRPr="00DC2FF1" w:rsidSect="00E3135E">
          <w:type w:val="continuous"/>
          <w:pgSz w:w="11906" w:h="16838"/>
          <w:pgMar w:top="1418" w:right="1134" w:bottom="720" w:left="1134" w:header="567" w:footer="794" w:gutter="0"/>
          <w:pgNumType w:start="1"/>
          <w:cols w:space="720"/>
          <w:noEndnote/>
          <w:docGrid w:linePitch="299"/>
        </w:sectPr>
      </w:pPr>
      <w:r w:rsidRPr="00DC2FF1">
        <w:fldChar w:fldCharType="end"/>
      </w:r>
    </w:p>
    <w:p w14:paraId="24234F3E" w14:textId="77777777" w:rsidR="00274953" w:rsidRPr="00DC2FF1" w:rsidRDefault="00274953" w:rsidP="00C65816">
      <w:pPr>
        <w:pStyle w:val="NoSpacing"/>
      </w:pPr>
    </w:p>
    <w:p w14:paraId="79A3BD6F" w14:textId="77777777" w:rsidR="00274953" w:rsidRPr="00DC2FF1" w:rsidRDefault="00274953" w:rsidP="00C65816">
      <w:pPr>
        <w:pStyle w:val="NoSpacing"/>
      </w:pPr>
    </w:p>
    <w:p w14:paraId="19A74935" w14:textId="77777777" w:rsidR="00274953" w:rsidRPr="00DC2FF1" w:rsidRDefault="00274953" w:rsidP="00C65816">
      <w:pPr>
        <w:pStyle w:val="NoSpacing"/>
      </w:pPr>
    </w:p>
    <w:p w14:paraId="41B02FB9" w14:textId="77777777" w:rsidR="00274953" w:rsidRPr="00DC2FF1" w:rsidRDefault="00274953" w:rsidP="00C65816">
      <w:pPr>
        <w:pStyle w:val="NoSpacing"/>
      </w:pPr>
    </w:p>
    <w:p w14:paraId="1F23B243" w14:textId="77777777" w:rsidR="00DC7D63" w:rsidRPr="00DC2FF1" w:rsidRDefault="00DC7D63" w:rsidP="00C65816">
      <w:r w:rsidRPr="00DC2FF1">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listing revision dates and ammendments"/>
      </w:tblPr>
      <w:tblGrid>
        <w:gridCol w:w="1920"/>
        <w:gridCol w:w="7708"/>
      </w:tblGrid>
      <w:tr w:rsidR="00DC2FF1" w:rsidRPr="00DC2FF1" w14:paraId="5113EAE2" w14:textId="77777777" w:rsidTr="008B3D8C">
        <w:trPr>
          <w:trHeight w:val="337"/>
          <w:tblHeader/>
        </w:trPr>
        <w:tc>
          <w:tcPr>
            <w:tcW w:w="1943" w:type="dxa"/>
            <w:shd w:val="clear" w:color="auto" w:fill="auto"/>
          </w:tcPr>
          <w:p w14:paraId="377A76F4" w14:textId="77777777" w:rsidR="00DC7D63" w:rsidRPr="00DC2FF1" w:rsidRDefault="00DC7D63" w:rsidP="00C65816">
            <w:pPr>
              <w:rPr>
                <w:sz w:val="16"/>
                <w:szCs w:val="16"/>
              </w:rPr>
            </w:pPr>
            <w:r w:rsidRPr="00DC2FF1">
              <w:rPr>
                <w:sz w:val="16"/>
                <w:szCs w:val="16"/>
              </w:rPr>
              <w:t>Date</w:t>
            </w:r>
          </w:p>
        </w:tc>
        <w:tc>
          <w:tcPr>
            <w:tcW w:w="7863" w:type="dxa"/>
            <w:shd w:val="clear" w:color="auto" w:fill="auto"/>
          </w:tcPr>
          <w:p w14:paraId="70323479" w14:textId="77777777" w:rsidR="00DC7D63" w:rsidRPr="00DC2FF1" w:rsidRDefault="00DC7D63" w:rsidP="00C65816">
            <w:pPr>
              <w:rPr>
                <w:sz w:val="16"/>
                <w:szCs w:val="16"/>
              </w:rPr>
            </w:pPr>
            <w:r w:rsidRPr="00DC2FF1">
              <w:rPr>
                <w:sz w:val="16"/>
                <w:szCs w:val="16"/>
              </w:rPr>
              <w:t>Amendments</w:t>
            </w:r>
          </w:p>
        </w:tc>
      </w:tr>
      <w:tr w:rsidR="000A7619" w:rsidRPr="00DC2FF1" w14:paraId="4DF0C27C" w14:textId="77777777" w:rsidTr="00B41938">
        <w:tc>
          <w:tcPr>
            <w:tcW w:w="1943" w:type="dxa"/>
            <w:shd w:val="clear" w:color="auto" w:fill="auto"/>
          </w:tcPr>
          <w:p w14:paraId="0426D3B8" w14:textId="3778A8DD" w:rsidR="000A7619" w:rsidRPr="00EB7EFB" w:rsidDel="00750BC3" w:rsidRDefault="00CE6A83" w:rsidP="00B41938">
            <w:pPr>
              <w:rPr>
                <w:sz w:val="16"/>
                <w:szCs w:val="16"/>
                <w:highlight w:val="yellow"/>
              </w:rPr>
            </w:pPr>
            <w:r>
              <w:rPr>
                <w:sz w:val="16"/>
                <w:szCs w:val="16"/>
              </w:rPr>
              <w:t>6/11/2018</w:t>
            </w:r>
          </w:p>
        </w:tc>
        <w:tc>
          <w:tcPr>
            <w:tcW w:w="7863" w:type="dxa"/>
            <w:shd w:val="clear" w:color="auto" w:fill="auto"/>
          </w:tcPr>
          <w:p w14:paraId="6094F7BC" w14:textId="0D323C28" w:rsidR="000A7619" w:rsidRDefault="00CE6A83" w:rsidP="00B41938">
            <w:pPr>
              <w:rPr>
                <w:sz w:val="16"/>
                <w:szCs w:val="16"/>
              </w:rPr>
            </w:pPr>
            <w:r>
              <w:rPr>
                <w:sz w:val="16"/>
                <w:szCs w:val="16"/>
              </w:rPr>
              <w:t>Final draft with content from 2017-18 Annual Report, and GM PGG.</w:t>
            </w:r>
          </w:p>
        </w:tc>
      </w:tr>
      <w:tr w:rsidR="00DC2FF1" w:rsidRPr="00DC2FF1" w14:paraId="01FAFCF0" w14:textId="77777777" w:rsidTr="00303578">
        <w:tc>
          <w:tcPr>
            <w:tcW w:w="1943" w:type="dxa"/>
            <w:shd w:val="clear" w:color="auto" w:fill="auto"/>
          </w:tcPr>
          <w:p w14:paraId="2861EB10" w14:textId="05AC0173" w:rsidR="00DC7D63" w:rsidRPr="00DC2FF1" w:rsidRDefault="00500885" w:rsidP="00C65816">
            <w:pPr>
              <w:rPr>
                <w:sz w:val="16"/>
                <w:szCs w:val="16"/>
              </w:rPr>
            </w:pPr>
            <w:r>
              <w:rPr>
                <w:sz w:val="16"/>
                <w:szCs w:val="16"/>
              </w:rPr>
              <w:t>7</w:t>
            </w:r>
            <w:r w:rsidR="000A7619" w:rsidRPr="000A7619">
              <w:rPr>
                <w:sz w:val="16"/>
                <w:szCs w:val="16"/>
              </w:rPr>
              <w:t>/</w:t>
            </w:r>
            <w:r>
              <w:rPr>
                <w:sz w:val="16"/>
                <w:szCs w:val="16"/>
              </w:rPr>
              <w:t>11</w:t>
            </w:r>
            <w:r w:rsidR="000A7619" w:rsidRPr="000A7619">
              <w:rPr>
                <w:sz w:val="16"/>
                <w:szCs w:val="16"/>
              </w:rPr>
              <w:t>/</w:t>
            </w:r>
            <w:r>
              <w:rPr>
                <w:sz w:val="16"/>
                <w:szCs w:val="16"/>
              </w:rPr>
              <w:t>2018</w:t>
            </w:r>
          </w:p>
        </w:tc>
        <w:tc>
          <w:tcPr>
            <w:tcW w:w="7863" w:type="dxa"/>
            <w:shd w:val="clear" w:color="auto" w:fill="auto"/>
          </w:tcPr>
          <w:p w14:paraId="4F837A63" w14:textId="69F71E95" w:rsidR="00DC7D63" w:rsidRPr="00DC2FF1" w:rsidRDefault="00500885" w:rsidP="001D7C39">
            <w:pPr>
              <w:rPr>
                <w:sz w:val="16"/>
                <w:szCs w:val="16"/>
              </w:rPr>
            </w:pPr>
            <w:r>
              <w:rPr>
                <w:sz w:val="16"/>
                <w:szCs w:val="16"/>
              </w:rPr>
              <w:t>Update to incorporate comments from DDG IPRD</w:t>
            </w:r>
          </w:p>
        </w:tc>
      </w:tr>
      <w:tr w:rsidR="00DC2FF1" w:rsidRPr="00DC2FF1" w14:paraId="47E6EE72" w14:textId="77777777" w:rsidTr="00303578">
        <w:tc>
          <w:tcPr>
            <w:tcW w:w="1943" w:type="dxa"/>
            <w:shd w:val="clear" w:color="auto" w:fill="auto"/>
          </w:tcPr>
          <w:p w14:paraId="14C635EB" w14:textId="32C05A31" w:rsidR="00DC7D63" w:rsidRPr="00DC2FF1" w:rsidRDefault="002161B0" w:rsidP="00C65816">
            <w:pPr>
              <w:rPr>
                <w:sz w:val="16"/>
                <w:szCs w:val="16"/>
              </w:rPr>
            </w:pPr>
            <w:r>
              <w:rPr>
                <w:sz w:val="16"/>
                <w:szCs w:val="16"/>
              </w:rPr>
              <w:t>8/11/2018</w:t>
            </w:r>
          </w:p>
        </w:tc>
        <w:tc>
          <w:tcPr>
            <w:tcW w:w="7863" w:type="dxa"/>
            <w:shd w:val="clear" w:color="auto" w:fill="auto"/>
          </w:tcPr>
          <w:p w14:paraId="130F2ABA" w14:textId="75FC3860" w:rsidR="00DC7D63" w:rsidRPr="00DC2FF1" w:rsidRDefault="002161B0" w:rsidP="00C65816">
            <w:pPr>
              <w:rPr>
                <w:sz w:val="16"/>
                <w:szCs w:val="16"/>
              </w:rPr>
            </w:pPr>
            <w:r>
              <w:rPr>
                <w:sz w:val="16"/>
                <w:szCs w:val="16"/>
              </w:rPr>
              <w:t>Update to incorporate comments from DDG P&amp;CD</w:t>
            </w:r>
          </w:p>
        </w:tc>
      </w:tr>
      <w:tr w:rsidR="00F6588E" w:rsidRPr="00DC2FF1" w14:paraId="5A3F31C7" w14:textId="77777777" w:rsidTr="00303578">
        <w:tc>
          <w:tcPr>
            <w:tcW w:w="1943" w:type="dxa"/>
            <w:shd w:val="clear" w:color="auto" w:fill="auto"/>
          </w:tcPr>
          <w:p w14:paraId="0FD35255" w14:textId="45658F9C" w:rsidR="00F6588E" w:rsidRDefault="00F6588E" w:rsidP="00C65816">
            <w:pPr>
              <w:rPr>
                <w:sz w:val="16"/>
                <w:szCs w:val="16"/>
              </w:rPr>
            </w:pPr>
            <w:r>
              <w:rPr>
                <w:sz w:val="16"/>
                <w:szCs w:val="16"/>
              </w:rPr>
              <w:t>9/11/2018</w:t>
            </w:r>
          </w:p>
        </w:tc>
        <w:tc>
          <w:tcPr>
            <w:tcW w:w="7863" w:type="dxa"/>
            <w:shd w:val="clear" w:color="auto" w:fill="auto"/>
          </w:tcPr>
          <w:p w14:paraId="390A467E" w14:textId="64433839" w:rsidR="00F6588E" w:rsidRDefault="00F6588E" w:rsidP="00C65816">
            <w:pPr>
              <w:rPr>
                <w:sz w:val="16"/>
                <w:szCs w:val="16"/>
              </w:rPr>
            </w:pPr>
            <w:r>
              <w:rPr>
                <w:sz w:val="16"/>
                <w:szCs w:val="16"/>
              </w:rPr>
              <w:t>DDGs IPRD and P&amp;CD Approval</w:t>
            </w:r>
          </w:p>
        </w:tc>
      </w:tr>
      <w:tr w:rsidR="00F6588E" w:rsidRPr="00DC2FF1" w14:paraId="7EDED46D" w14:textId="77777777" w:rsidTr="00303578">
        <w:tc>
          <w:tcPr>
            <w:tcW w:w="1943" w:type="dxa"/>
            <w:shd w:val="clear" w:color="auto" w:fill="auto"/>
          </w:tcPr>
          <w:p w14:paraId="6B4CE0F6" w14:textId="51CB2D38" w:rsidR="00F6588E" w:rsidRDefault="00B16B65" w:rsidP="00C65816">
            <w:pPr>
              <w:rPr>
                <w:sz w:val="16"/>
                <w:szCs w:val="16"/>
              </w:rPr>
            </w:pPr>
            <w:r>
              <w:rPr>
                <w:sz w:val="16"/>
                <w:szCs w:val="16"/>
              </w:rPr>
              <w:t>13/11/2018</w:t>
            </w:r>
          </w:p>
        </w:tc>
        <w:tc>
          <w:tcPr>
            <w:tcW w:w="7863" w:type="dxa"/>
            <w:shd w:val="clear" w:color="auto" w:fill="auto"/>
          </w:tcPr>
          <w:p w14:paraId="7F5F1CBF" w14:textId="1C31907B" w:rsidR="00F6588E" w:rsidRDefault="00F6588E" w:rsidP="00C65816">
            <w:pPr>
              <w:rPr>
                <w:sz w:val="16"/>
                <w:szCs w:val="16"/>
              </w:rPr>
            </w:pPr>
            <w:r>
              <w:rPr>
                <w:sz w:val="16"/>
                <w:szCs w:val="16"/>
              </w:rPr>
              <w:t>DG Approval</w:t>
            </w:r>
          </w:p>
        </w:tc>
      </w:tr>
      <w:tr w:rsidR="00B4654F" w:rsidRPr="00DC2FF1" w14:paraId="79B7A946" w14:textId="77777777" w:rsidTr="00303578">
        <w:tc>
          <w:tcPr>
            <w:tcW w:w="1943" w:type="dxa"/>
            <w:shd w:val="clear" w:color="auto" w:fill="auto"/>
          </w:tcPr>
          <w:p w14:paraId="170BAB10" w14:textId="15E5D54C" w:rsidR="00B4654F" w:rsidRDefault="00B4654F" w:rsidP="00C65816">
            <w:pPr>
              <w:rPr>
                <w:sz w:val="16"/>
                <w:szCs w:val="16"/>
              </w:rPr>
            </w:pPr>
            <w:r>
              <w:rPr>
                <w:sz w:val="16"/>
                <w:szCs w:val="16"/>
              </w:rPr>
              <w:t>26/11/2018</w:t>
            </w:r>
          </w:p>
        </w:tc>
        <w:tc>
          <w:tcPr>
            <w:tcW w:w="7863" w:type="dxa"/>
            <w:shd w:val="clear" w:color="auto" w:fill="auto"/>
          </w:tcPr>
          <w:p w14:paraId="35AE45C7" w14:textId="23EA468A" w:rsidR="00B4654F" w:rsidRDefault="00B4654F" w:rsidP="00C65816">
            <w:pPr>
              <w:rPr>
                <w:sz w:val="16"/>
                <w:szCs w:val="16"/>
              </w:rPr>
            </w:pPr>
            <w:r>
              <w:rPr>
                <w:sz w:val="16"/>
                <w:szCs w:val="16"/>
              </w:rPr>
              <w:t>Update typographical error with IPSF member feedback to note Knowledge Commercialisation Australasia (</w:t>
            </w:r>
            <w:proofErr w:type="spellStart"/>
            <w:r>
              <w:rPr>
                <w:sz w:val="16"/>
                <w:szCs w:val="16"/>
              </w:rPr>
              <w:t>p.g</w:t>
            </w:r>
            <w:proofErr w:type="spellEnd"/>
            <w:r>
              <w:rPr>
                <w:sz w:val="16"/>
                <w:szCs w:val="16"/>
              </w:rPr>
              <w:t>. 1)</w:t>
            </w:r>
          </w:p>
        </w:tc>
      </w:tr>
      <w:tr w:rsidR="000C7888" w:rsidRPr="00DC2FF1" w14:paraId="5E6F2BBA" w14:textId="77777777" w:rsidTr="00303578">
        <w:tc>
          <w:tcPr>
            <w:tcW w:w="1943" w:type="dxa"/>
            <w:shd w:val="clear" w:color="auto" w:fill="auto"/>
          </w:tcPr>
          <w:p w14:paraId="3CB72A50" w14:textId="69ED68BE" w:rsidR="000C7888" w:rsidRDefault="000C7888" w:rsidP="00C65816">
            <w:pPr>
              <w:rPr>
                <w:sz w:val="16"/>
                <w:szCs w:val="16"/>
              </w:rPr>
            </w:pPr>
            <w:r>
              <w:rPr>
                <w:sz w:val="16"/>
                <w:szCs w:val="16"/>
              </w:rPr>
              <w:t>11/12/2018</w:t>
            </w:r>
          </w:p>
        </w:tc>
        <w:tc>
          <w:tcPr>
            <w:tcW w:w="7863" w:type="dxa"/>
            <w:shd w:val="clear" w:color="auto" w:fill="auto"/>
          </w:tcPr>
          <w:p w14:paraId="59DF1681" w14:textId="759654D8" w:rsidR="000C7888" w:rsidRDefault="000C7888" w:rsidP="00C65816">
            <w:pPr>
              <w:rPr>
                <w:sz w:val="16"/>
                <w:szCs w:val="16"/>
              </w:rPr>
            </w:pPr>
            <w:r>
              <w:rPr>
                <w:sz w:val="16"/>
                <w:szCs w:val="16"/>
              </w:rPr>
              <w:t>Finalisation to incorporate IPSF feedback on improvement initiatives for 2018</w:t>
            </w:r>
            <w:r>
              <w:rPr>
                <w:sz w:val="16"/>
                <w:szCs w:val="16"/>
              </w:rPr>
              <w:noBreakHyphen/>
              <w:t xml:space="preserve">19. </w:t>
            </w:r>
          </w:p>
        </w:tc>
      </w:tr>
      <w:tr w:rsidR="00FD1368" w:rsidRPr="00DC2FF1" w14:paraId="2D6D4B98" w14:textId="77777777" w:rsidTr="00303578">
        <w:tc>
          <w:tcPr>
            <w:tcW w:w="1943" w:type="dxa"/>
            <w:shd w:val="clear" w:color="auto" w:fill="auto"/>
          </w:tcPr>
          <w:p w14:paraId="41896104" w14:textId="54F9CD79" w:rsidR="00FD1368" w:rsidRDefault="00FD1368" w:rsidP="00C65816">
            <w:pPr>
              <w:rPr>
                <w:sz w:val="16"/>
                <w:szCs w:val="16"/>
              </w:rPr>
            </w:pPr>
            <w:r>
              <w:rPr>
                <w:sz w:val="16"/>
                <w:szCs w:val="16"/>
              </w:rPr>
              <w:t>12/12/2018</w:t>
            </w:r>
          </w:p>
        </w:tc>
        <w:tc>
          <w:tcPr>
            <w:tcW w:w="7863" w:type="dxa"/>
            <w:shd w:val="clear" w:color="auto" w:fill="auto"/>
          </w:tcPr>
          <w:p w14:paraId="4E5BA8F3" w14:textId="3D66F7FD" w:rsidR="00FD1368" w:rsidRDefault="00FD1368" w:rsidP="00FD1368">
            <w:pPr>
              <w:rPr>
                <w:sz w:val="16"/>
                <w:szCs w:val="16"/>
              </w:rPr>
            </w:pPr>
            <w:r>
              <w:rPr>
                <w:sz w:val="16"/>
                <w:szCs w:val="16"/>
              </w:rPr>
              <w:t>GM PCG approval IPSF comments captured correctly.</w:t>
            </w:r>
          </w:p>
        </w:tc>
      </w:tr>
    </w:tbl>
    <w:p w14:paraId="01567332" w14:textId="77777777" w:rsidR="00274953" w:rsidRPr="00DC2FF1" w:rsidRDefault="00274953" w:rsidP="00C65816"/>
    <w:p w14:paraId="6C8DE83A" w14:textId="77777777" w:rsidR="00E3135E" w:rsidRPr="00DC2FF1" w:rsidRDefault="00E3135E" w:rsidP="00C65816"/>
    <w:p w14:paraId="1B12F993" w14:textId="77777777" w:rsidR="006F657C" w:rsidRPr="00DC2FF1" w:rsidRDefault="006F657C" w:rsidP="009D2511">
      <w:pPr>
        <w:rPr>
          <w:szCs w:val="24"/>
        </w:rPr>
        <w:sectPr w:rsidR="006F657C" w:rsidRPr="00DC2FF1" w:rsidSect="000326BB">
          <w:type w:val="continuous"/>
          <w:pgSz w:w="11906" w:h="16838"/>
          <w:pgMar w:top="1418" w:right="1134" w:bottom="720" w:left="1134" w:header="720" w:footer="503" w:gutter="0"/>
          <w:pgNumType w:start="1"/>
          <w:cols w:space="720"/>
          <w:noEndnote/>
          <w:docGrid w:linePitch="299"/>
        </w:sectPr>
      </w:pPr>
    </w:p>
    <w:p w14:paraId="41FD4F33" w14:textId="77777777" w:rsidR="00437BF3" w:rsidRPr="00DC2FF1" w:rsidRDefault="00CD49D8" w:rsidP="00C65816">
      <w:pPr>
        <w:pStyle w:val="Heading1"/>
        <w:rPr>
          <w:color w:val="auto"/>
        </w:rPr>
      </w:pPr>
      <w:bookmarkStart w:id="0" w:name="_Toc517947251"/>
      <w:r w:rsidRPr="00DC2FF1">
        <w:rPr>
          <w:color w:val="auto"/>
        </w:rPr>
        <w:lastRenderedPageBreak/>
        <w:t>Executive Summary</w:t>
      </w:r>
      <w:bookmarkEnd w:id="0"/>
    </w:p>
    <w:tbl>
      <w:tblPr>
        <w:tblStyle w:val="LightShading-Accent4"/>
        <w:tblpPr w:leftFromText="181" w:rightFromText="181" w:vertAnchor="text" w:tblpY="1"/>
        <w:tblOverlap w:val="never"/>
        <w:tblW w:w="9889" w:type="dxa"/>
        <w:tblLayout w:type="fixed"/>
        <w:tblLook w:val="04E0" w:firstRow="1" w:lastRow="1" w:firstColumn="1" w:lastColumn="0" w:noHBand="0" w:noVBand="1"/>
        <w:tblCaption w:val="Table describing our roles, stakeholders, frameworks, performance and initiatives"/>
      </w:tblPr>
      <w:tblGrid>
        <w:gridCol w:w="1809"/>
        <w:gridCol w:w="8080"/>
      </w:tblGrid>
      <w:tr w:rsidR="007D589A" w:rsidRPr="00DC2FF1" w14:paraId="0A80C193" w14:textId="77777777" w:rsidTr="008633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19B515A" w14:textId="3273C436" w:rsidR="007D589A" w:rsidRPr="007D589A" w:rsidRDefault="007D589A" w:rsidP="007D589A">
            <w:pPr>
              <w:pStyle w:val="Heading3"/>
              <w:outlineLvl w:val="2"/>
              <w:rPr>
                <w:color w:val="FFFFFF" w:themeColor="background1"/>
                <w:sz w:val="4"/>
                <w:szCs w:val="4"/>
              </w:rPr>
            </w:pPr>
            <w:r w:rsidRPr="007D589A">
              <w:rPr>
                <w:color w:val="FFFFFF" w:themeColor="background1"/>
                <w:sz w:val="4"/>
                <w:szCs w:val="4"/>
              </w:rPr>
              <w:t>item</w:t>
            </w:r>
          </w:p>
        </w:tc>
        <w:tc>
          <w:tcPr>
            <w:tcW w:w="8080" w:type="dxa"/>
            <w:vAlign w:val="center"/>
          </w:tcPr>
          <w:p w14:paraId="4E8CCC27" w14:textId="5159AF4B" w:rsidR="007D589A" w:rsidRPr="007D589A" w:rsidRDefault="007D589A" w:rsidP="007D589A">
            <w:pPr>
              <w:pStyle w:val="Bullet"/>
              <w:numPr>
                <w:ilvl w:val="0"/>
                <w:numId w:val="0"/>
              </w:num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4"/>
                <w:szCs w:val="4"/>
                <w:lang w:eastAsia="en-AU"/>
              </w:rPr>
            </w:pPr>
            <w:bookmarkStart w:id="1" w:name="_GoBack"/>
            <w:bookmarkEnd w:id="1"/>
            <w:r w:rsidRPr="007D589A">
              <w:rPr>
                <w:rFonts w:cstheme="minorHAnsi"/>
                <w:color w:val="FFFFFF" w:themeColor="background1"/>
                <w:sz w:val="4"/>
                <w:szCs w:val="4"/>
                <w:lang w:eastAsia="en-AU"/>
              </w:rPr>
              <w:t>Description</w:t>
            </w:r>
          </w:p>
        </w:tc>
      </w:tr>
      <w:tr w:rsidR="00DC2FF1" w:rsidRPr="00DC2FF1" w14:paraId="358B94A1" w14:textId="77777777" w:rsidTr="0050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DD4265A" w14:textId="77777777" w:rsidR="00CD49D8" w:rsidRPr="00DC2FF1" w:rsidRDefault="00CD49D8" w:rsidP="0050204F">
            <w:pPr>
              <w:pStyle w:val="Heading3"/>
              <w:outlineLvl w:val="2"/>
              <w:rPr>
                <w:rFonts w:ascii="Calibri" w:hAnsi="Calibri"/>
                <w:color w:val="auto"/>
                <w:szCs w:val="24"/>
                <w:lang w:val="en"/>
              </w:rPr>
            </w:pPr>
            <w:bookmarkStart w:id="2" w:name="_Toc441825102"/>
            <w:r w:rsidRPr="00DC2FF1">
              <w:rPr>
                <w:b/>
                <w:color w:val="auto"/>
                <w:szCs w:val="24"/>
              </w:rPr>
              <w:t>Our Role</w:t>
            </w:r>
            <w:bookmarkEnd w:id="2"/>
          </w:p>
        </w:tc>
        <w:tc>
          <w:tcPr>
            <w:tcW w:w="8080" w:type="dxa"/>
          </w:tcPr>
          <w:p w14:paraId="3ED027D5" w14:textId="77777777" w:rsidR="00CD49D8" w:rsidRPr="00DC2FF1" w:rsidRDefault="00CD49D8" w:rsidP="0050204F">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cstheme="minorHAnsi"/>
                <w:b/>
                <w:bCs/>
                <w:color w:val="auto"/>
                <w:sz w:val="22"/>
                <w:szCs w:val="24"/>
                <w:lang w:eastAsia="en-AU"/>
              </w:rPr>
            </w:pPr>
            <w:r w:rsidRPr="00DC2FF1">
              <w:rPr>
                <w:rFonts w:cstheme="minorHAnsi"/>
                <w:color w:val="auto"/>
                <w:sz w:val="22"/>
                <w:szCs w:val="24"/>
                <w:lang w:eastAsia="en-AU"/>
              </w:rPr>
              <w:t xml:space="preserve">IP Australia is the Government agency responsible for administering Australia’s </w:t>
            </w:r>
            <w:r w:rsidR="00611E1E" w:rsidRPr="00DC2FF1">
              <w:rPr>
                <w:rFonts w:cstheme="minorHAnsi"/>
                <w:color w:val="auto"/>
                <w:sz w:val="22"/>
                <w:szCs w:val="24"/>
                <w:lang w:eastAsia="en-AU"/>
              </w:rPr>
              <w:t>registrable Intellectual P</w:t>
            </w:r>
            <w:r w:rsidRPr="00DC2FF1">
              <w:rPr>
                <w:rFonts w:cstheme="minorHAnsi"/>
                <w:color w:val="auto"/>
                <w:sz w:val="22"/>
                <w:szCs w:val="24"/>
                <w:lang w:eastAsia="en-AU"/>
              </w:rPr>
              <w:t xml:space="preserve">roperty (IP) rights system; specifically patents, </w:t>
            </w:r>
            <w:proofErr w:type="spellStart"/>
            <w:r w:rsidRPr="00DC2FF1">
              <w:rPr>
                <w:rFonts w:cstheme="minorHAnsi"/>
                <w:color w:val="auto"/>
                <w:sz w:val="22"/>
                <w:szCs w:val="24"/>
                <w:lang w:eastAsia="en-AU"/>
              </w:rPr>
              <w:t>trade</w:t>
            </w:r>
            <w:r w:rsidR="00860C2E" w:rsidRPr="00DC2FF1">
              <w:rPr>
                <w:rFonts w:cstheme="minorHAnsi"/>
                <w:color w:val="auto"/>
                <w:sz w:val="22"/>
                <w:szCs w:val="24"/>
                <w:lang w:eastAsia="en-AU"/>
              </w:rPr>
              <w:t xml:space="preserve"> </w:t>
            </w:r>
            <w:r w:rsidRPr="00DC2FF1">
              <w:rPr>
                <w:rFonts w:cstheme="minorHAnsi"/>
                <w:color w:val="auto"/>
                <w:sz w:val="22"/>
                <w:szCs w:val="24"/>
                <w:lang w:eastAsia="en-AU"/>
              </w:rPr>
              <w:t>marks</w:t>
            </w:r>
            <w:proofErr w:type="spellEnd"/>
            <w:r w:rsidRPr="00DC2FF1">
              <w:rPr>
                <w:rFonts w:cstheme="minorHAnsi"/>
                <w:color w:val="auto"/>
                <w:sz w:val="22"/>
                <w:szCs w:val="24"/>
                <w:lang w:eastAsia="en-AU"/>
              </w:rPr>
              <w:t>, designs and plant breeder’s rights. This includes processing applications, maintaining the IP rights registers, conducting hearings and deciding on disputed matters relating to granting or refusing Australian IP rights, and regulating the IP attorney profession.</w:t>
            </w:r>
          </w:p>
          <w:p w14:paraId="5294E7C0" w14:textId="77777777" w:rsidR="00CD49D8" w:rsidRPr="00DC2FF1" w:rsidRDefault="00CD49D8" w:rsidP="0050204F">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cstheme="minorHAnsi"/>
                <w:b/>
                <w:bCs/>
                <w:color w:val="auto"/>
                <w:sz w:val="22"/>
                <w:szCs w:val="24"/>
                <w:lang w:eastAsia="en-AU"/>
              </w:rPr>
            </w:pPr>
            <w:r w:rsidRPr="00DC2FF1">
              <w:rPr>
                <w:rFonts w:cstheme="minorHAnsi"/>
                <w:color w:val="auto"/>
                <w:sz w:val="22"/>
                <w:szCs w:val="24"/>
                <w:lang w:eastAsia="en-AU"/>
              </w:rPr>
              <w:t>IP Australia also promotes awareness of the IP system, provides advice to Government on the development of IP policy, and contributes to international negotiations and development cooperation programs to support the global IP system for the benefit of the Australian economy and society.</w:t>
            </w:r>
          </w:p>
        </w:tc>
      </w:tr>
      <w:tr w:rsidR="00DC2FF1" w:rsidRPr="00DC2FF1" w14:paraId="4A53B0B1" w14:textId="77777777" w:rsidTr="0050204F">
        <w:tc>
          <w:tcPr>
            <w:cnfStyle w:val="001000000000" w:firstRow="0" w:lastRow="0" w:firstColumn="1" w:lastColumn="0" w:oddVBand="0" w:evenVBand="0" w:oddHBand="0" w:evenHBand="0" w:firstRowFirstColumn="0" w:firstRowLastColumn="0" w:lastRowFirstColumn="0" w:lastRowLastColumn="0"/>
            <w:tcW w:w="1809" w:type="dxa"/>
            <w:shd w:val="clear" w:color="auto" w:fill="F2F2F2" w:themeFill="background1" w:themeFillShade="F2"/>
          </w:tcPr>
          <w:p w14:paraId="46D1C333" w14:textId="77777777" w:rsidR="00CD49D8" w:rsidRPr="00DC2FF1" w:rsidRDefault="00CD49D8" w:rsidP="0050204F">
            <w:pPr>
              <w:pStyle w:val="Heading3"/>
              <w:outlineLvl w:val="2"/>
              <w:rPr>
                <w:rFonts w:ascii="Calibri" w:hAnsi="Calibri"/>
                <w:color w:val="auto"/>
                <w:szCs w:val="24"/>
                <w:lang w:val="en"/>
              </w:rPr>
            </w:pPr>
            <w:bookmarkStart w:id="3" w:name="_Toc441825103"/>
            <w:r w:rsidRPr="00DC2FF1">
              <w:rPr>
                <w:b/>
                <w:color w:val="auto"/>
                <w:szCs w:val="24"/>
              </w:rPr>
              <w:t>Our Stakeholders</w:t>
            </w:r>
            <w:bookmarkEnd w:id="3"/>
          </w:p>
        </w:tc>
        <w:tc>
          <w:tcPr>
            <w:tcW w:w="8080" w:type="dxa"/>
            <w:shd w:val="clear" w:color="auto" w:fill="F2F2F2" w:themeFill="background1" w:themeFillShade="F2"/>
          </w:tcPr>
          <w:p w14:paraId="783A45C7" w14:textId="77777777" w:rsidR="00CD49D8" w:rsidRPr="00DC2FF1" w:rsidRDefault="00CD49D8" w:rsidP="0050204F">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IP Australia’s customers are individuals and businesses in Australia and overseas. IP Australia works closely with our customers to deliver new and improved administration of IP rights. IP Australia’s stakeholders further include IP professionals, representative bodies, our international counterparts and othe</w:t>
            </w:r>
            <w:r w:rsidR="009B41E0" w:rsidRPr="00DC2FF1">
              <w:rPr>
                <w:rFonts w:cstheme="minorHAnsi"/>
                <w:color w:val="auto"/>
                <w:sz w:val="22"/>
                <w:szCs w:val="24"/>
                <w:lang w:eastAsia="en-AU"/>
              </w:rPr>
              <w:t>r government agencies.</w:t>
            </w:r>
          </w:p>
          <w:p w14:paraId="6E93E3B8" w14:textId="77777777" w:rsidR="00CD49D8" w:rsidRPr="00DC2FF1" w:rsidRDefault="00CD49D8" w:rsidP="0050204F">
            <w:pPr>
              <w:pStyle w:val="Bullet"/>
              <w:numPr>
                <w:ilvl w:val="0"/>
                <w:numId w:val="0"/>
              </w:numPr>
              <w:ind w:left="34" w:hanging="34"/>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 xml:space="preserve">IP Australia’s stakeholder consultation mechanism under the Regulatory Performance Framework includes representatives from the: </w:t>
            </w:r>
          </w:p>
          <w:p w14:paraId="3A93F092" w14:textId="77777777" w:rsidR="00CD49D8"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Australian Chamber of Commerce and Industry (ACCI)</w:t>
            </w:r>
          </w:p>
          <w:p w14:paraId="5880EC13" w14:textId="77777777" w:rsidR="00CD49D8"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Australian Federation of Intellectual Property Attorneys (FICPI Australia)</w:t>
            </w:r>
          </w:p>
          <w:p w14:paraId="64ED8957" w14:textId="77777777" w:rsidR="001515B6"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Australian Industry Group (AIG)</w:t>
            </w:r>
          </w:p>
          <w:p w14:paraId="07BAB2CA" w14:textId="77777777" w:rsidR="00CD49D8"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Institute of Patent and Trade Mark Attorneys of Australia (IPTA)</w:t>
            </w:r>
          </w:p>
          <w:p w14:paraId="20699D3E" w14:textId="77777777" w:rsidR="00CD49D8"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International Association for the Protection of Intellectual Property (AIPPI)</w:t>
            </w:r>
          </w:p>
          <w:p w14:paraId="0EC20D4C" w14:textId="77777777" w:rsidR="00CD49D8"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Law Council of Australia IP Committee</w:t>
            </w:r>
          </w:p>
          <w:p w14:paraId="4584D1CF" w14:textId="77777777" w:rsidR="00CD49D8"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Licensing Executives Society of Australia and New Zealand (LESANZ)</w:t>
            </w:r>
          </w:p>
          <w:p w14:paraId="1371CAB1" w14:textId="6D899F2C" w:rsidR="00CD49D8"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Knowledge Commercialisation Austral</w:t>
            </w:r>
            <w:r w:rsidR="0088096B">
              <w:rPr>
                <w:rFonts w:cstheme="minorHAnsi"/>
                <w:color w:val="auto"/>
                <w:sz w:val="22"/>
                <w:szCs w:val="24"/>
                <w:lang w:eastAsia="en-AU"/>
              </w:rPr>
              <w:t>asia</w:t>
            </w:r>
            <w:r w:rsidRPr="00DC2FF1">
              <w:rPr>
                <w:rFonts w:cstheme="minorHAnsi"/>
                <w:color w:val="auto"/>
                <w:sz w:val="22"/>
                <w:szCs w:val="24"/>
                <w:lang w:eastAsia="en-AU"/>
              </w:rPr>
              <w:t xml:space="preserve"> (KCA)</w:t>
            </w:r>
          </w:p>
          <w:p w14:paraId="0F79AFA3" w14:textId="77777777" w:rsidR="009B41E0" w:rsidRPr="00DC2FF1" w:rsidRDefault="00CD49D8" w:rsidP="0050204F">
            <w:pPr>
              <w:pStyle w:val="Bullet"/>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Universities Australia</w:t>
            </w:r>
            <w:r w:rsidR="00F23EE5" w:rsidRPr="00DC2FF1">
              <w:rPr>
                <w:rFonts w:cstheme="minorHAnsi"/>
                <w:color w:val="auto"/>
                <w:sz w:val="22"/>
                <w:szCs w:val="24"/>
                <w:lang w:eastAsia="en-AU"/>
              </w:rPr>
              <w:t>.</w:t>
            </w:r>
          </w:p>
        </w:tc>
      </w:tr>
      <w:tr w:rsidR="00DC2FF1" w:rsidRPr="00DC2FF1" w14:paraId="649B1930" w14:textId="77777777" w:rsidTr="0050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7AE6426" w14:textId="77777777" w:rsidR="00CD49D8" w:rsidRPr="00DC2FF1" w:rsidRDefault="00CD49D8" w:rsidP="0050204F">
            <w:pPr>
              <w:pStyle w:val="Heading3"/>
              <w:outlineLvl w:val="2"/>
              <w:rPr>
                <w:rFonts w:ascii="Calibri" w:hAnsi="Calibri"/>
                <w:color w:val="auto"/>
                <w:szCs w:val="24"/>
              </w:rPr>
            </w:pPr>
            <w:bookmarkStart w:id="4" w:name="_Toc441825104"/>
            <w:r w:rsidRPr="00DC2FF1">
              <w:rPr>
                <w:b/>
                <w:color w:val="auto"/>
                <w:szCs w:val="24"/>
              </w:rPr>
              <w:t>Regulator Performance Framework</w:t>
            </w:r>
            <w:bookmarkEnd w:id="4"/>
          </w:p>
        </w:tc>
        <w:tc>
          <w:tcPr>
            <w:tcW w:w="8080" w:type="dxa"/>
          </w:tcPr>
          <w:p w14:paraId="4844C438" w14:textId="77777777" w:rsidR="009B41E0" w:rsidRPr="00DC2FF1" w:rsidRDefault="00CD49D8" w:rsidP="0050204F">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 xml:space="preserve">The Regulator Performance Framework (RPF) is an important part of the Government’s commitment to reduce unnecessary or inefficient regulation imposed on individuals, business and community organisations. The RPF sets up a process to measure the performance of regulators, including IP Australia. </w:t>
            </w:r>
          </w:p>
          <w:p w14:paraId="11287DF3" w14:textId="77777777" w:rsidR="00CD49D8" w:rsidRPr="00DC2FF1" w:rsidRDefault="00CD49D8" w:rsidP="0050204F">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Annual externally-validated self-assessment reports aim to identify the extent to which the regulator is achieving the performance indicators in the RPF and highlight areas for improvement</w:t>
            </w:r>
            <w:r w:rsidR="00F23EE5" w:rsidRPr="00DC2FF1">
              <w:rPr>
                <w:rFonts w:cstheme="minorHAnsi"/>
                <w:color w:val="auto"/>
                <w:sz w:val="22"/>
                <w:szCs w:val="24"/>
                <w:lang w:eastAsia="en-AU"/>
              </w:rPr>
              <w:t xml:space="preserve"> against the six key performance indicators (KPIs), which state the Government’s expectations of </w:t>
            </w:r>
            <w:r w:rsidR="007D51C5" w:rsidRPr="00DC2FF1">
              <w:rPr>
                <w:rFonts w:cstheme="minorHAnsi"/>
                <w:color w:val="auto"/>
                <w:sz w:val="22"/>
                <w:szCs w:val="24"/>
                <w:lang w:eastAsia="en-AU"/>
              </w:rPr>
              <w:t xml:space="preserve">a </w:t>
            </w:r>
            <w:r w:rsidR="00F23EE5" w:rsidRPr="00DC2FF1">
              <w:rPr>
                <w:rFonts w:cstheme="minorHAnsi"/>
                <w:color w:val="auto"/>
                <w:sz w:val="22"/>
                <w:szCs w:val="24"/>
                <w:lang w:eastAsia="en-AU"/>
              </w:rPr>
              <w:t>regulator’s performance</w:t>
            </w:r>
            <w:r w:rsidRPr="00DC2FF1">
              <w:rPr>
                <w:rFonts w:cstheme="minorHAnsi"/>
                <w:color w:val="auto"/>
                <w:sz w:val="22"/>
                <w:szCs w:val="24"/>
                <w:lang w:eastAsia="en-AU"/>
              </w:rPr>
              <w:t>.</w:t>
            </w:r>
          </w:p>
          <w:p w14:paraId="59749271" w14:textId="77777777" w:rsidR="00CD49D8" w:rsidRPr="00DC2FF1" w:rsidRDefault="00CD49D8" w:rsidP="0050204F">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IP Australia’s measures for the key performance indicators under the RPF have been selected to ensure:</w:t>
            </w:r>
          </w:p>
          <w:p w14:paraId="6822D79C" w14:textId="77777777" w:rsidR="00CD49D8" w:rsidRPr="00DC2FF1" w:rsidRDefault="00CD49D8" w:rsidP="0050204F">
            <w:pPr>
              <w:pStyle w:val="Bullet"/>
              <w:numPr>
                <w:ilvl w:val="0"/>
                <w:numId w:val="18"/>
              </w:numPr>
              <w:cnfStyle w:val="000000100000" w:firstRow="0" w:lastRow="0" w:firstColumn="0" w:lastColumn="0" w:oddVBand="0" w:evenVBand="0" w:oddHBand="1"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high quality services are provided in a timely way</w:t>
            </w:r>
          </w:p>
          <w:p w14:paraId="1BB65E5B" w14:textId="77777777" w:rsidR="00CD49D8" w:rsidRPr="00DC2FF1" w:rsidRDefault="00CD49D8" w:rsidP="0050204F">
            <w:pPr>
              <w:pStyle w:val="Bullet"/>
              <w:numPr>
                <w:ilvl w:val="0"/>
                <w:numId w:val="18"/>
              </w:numPr>
              <w:cnfStyle w:val="000000100000" w:firstRow="0" w:lastRow="0" w:firstColumn="0" w:lastColumn="0" w:oddVBand="0" w:evenVBand="0" w:oddHBand="1"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 xml:space="preserve">communication is clear, meaningful and timely </w:t>
            </w:r>
          </w:p>
          <w:p w14:paraId="3E4E8500" w14:textId="77777777" w:rsidR="00CD49D8" w:rsidRPr="00DC2FF1" w:rsidRDefault="00CD49D8" w:rsidP="0050204F">
            <w:pPr>
              <w:pStyle w:val="Bullet"/>
              <w:numPr>
                <w:ilvl w:val="0"/>
                <w:numId w:val="18"/>
              </w:numPr>
              <w:cnfStyle w:val="000000100000" w:firstRow="0" w:lastRow="0" w:firstColumn="0" w:lastColumn="0" w:oddVBand="0" w:evenVBand="0" w:oddHBand="1"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compliance standards are transparent</w:t>
            </w:r>
          </w:p>
          <w:p w14:paraId="655136D3" w14:textId="77777777" w:rsidR="00CD49D8" w:rsidRPr="00DC2FF1" w:rsidRDefault="00CD49D8" w:rsidP="0050204F">
            <w:pPr>
              <w:pStyle w:val="Bullet"/>
              <w:numPr>
                <w:ilvl w:val="0"/>
                <w:numId w:val="18"/>
              </w:numPr>
              <w:cnfStyle w:val="000000100000" w:firstRow="0" w:lastRow="0" w:firstColumn="0" w:lastColumn="0" w:oddVBand="0" w:evenVBand="0" w:oddHBand="1" w:evenHBand="0" w:firstRowFirstColumn="0" w:firstRowLastColumn="0" w:lastRowFirstColumn="0" w:lastRowLastColumn="0"/>
              <w:rPr>
                <w:rFonts w:cstheme="minorHAnsi"/>
                <w:color w:val="auto"/>
                <w:sz w:val="22"/>
                <w:szCs w:val="24"/>
                <w:lang w:eastAsia="en-AU"/>
              </w:rPr>
            </w:pPr>
            <w:r w:rsidRPr="00DC2FF1">
              <w:rPr>
                <w:rFonts w:cstheme="minorHAnsi"/>
                <w:color w:val="auto"/>
                <w:sz w:val="22"/>
                <w:szCs w:val="24"/>
                <w:lang w:eastAsia="en-AU"/>
              </w:rPr>
              <w:t xml:space="preserve">ongoing stakeholder engagement to improve the way we work. </w:t>
            </w:r>
          </w:p>
          <w:p w14:paraId="77B13715" w14:textId="77777777" w:rsidR="009B41E0" w:rsidRPr="00DC2FF1" w:rsidRDefault="009B41E0" w:rsidP="0050204F">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cstheme="minorHAnsi"/>
                <w:color w:val="auto"/>
                <w:sz w:val="22"/>
                <w:szCs w:val="24"/>
              </w:rPr>
            </w:pPr>
            <w:r w:rsidRPr="00DC2FF1">
              <w:rPr>
                <w:rFonts w:cstheme="minorHAnsi"/>
                <w:color w:val="auto"/>
                <w:sz w:val="22"/>
                <w:szCs w:val="24"/>
                <w:lang w:eastAsia="en-AU"/>
              </w:rPr>
              <w:lastRenderedPageBreak/>
              <w:t>Results from the RPF self-assessment process will be used alongside ongoing feedback from our customers to shape the future direction of our agency, and tailor the services and support we provide.</w:t>
            </w:r>
            <w:r w:rsidRPr="00DC2FF1">
              <w:rPr>
                <w:rFonts w:cstheme="minorHAnsi"/>
                <w:color w:val="auto"/>
                <w:sz w:val="22"/>
                <w:szCs w:val="24"/>
              </w:rPr>
              <w:t xml:space="preserve"> </w:t>
            </w:r>
          </w:p>
        </w:tc>
      </w:tr>
      <w:tr w:rsidR="00DC2FF1" w:rsidRPr="00DC2FF1" w14:paraId="1E7899EB" w14:textId="77777777" w:rsidTr="0050204F">
        <w:tc>
          <w:tcPr>
            <w:cnfStyle w:val="001000000000" w:firstRow="0" w:lastRow="0" w:firstColumn="1" w:lastColumn="0" w:oddVBand="0" w:evenVBand="0" w:oddHBand="0" w:evenHBand="0" w:firstRowFirstColumn="0" w:firstRowLastColumn="0" w:lastRowFirstColumn="0" w:lastRowLastColumn="0"/>
            <w:tcW w:w="1809" w:type="dxa"/>
            <w:shd w:val="clear" w:color="auto" w:fill="F2F2F2" w:themeFill="background1" w:themeFillShade="F2"/>
          </w:tcPr>
          <w:p w14:paraId="2D222A52" w14:textId="77777777" w:rsidR="00CD49D8" w:rsidRPr="00DC2FF1" w:rsidRDefault="00CD49D8" w:rsidP="0050204F">
            <w:pPr>
              <w:pStyle w:val="Heading3"/>
              <w:outlineLvl w:val="2"/>
              <w:rPr>
                <w:b/>
                <w:color w:val="auto"/>
                <w:szCs w:val="24"/>
              </w:rPr>
            </w:pPr>
            <w:bookmarkStart w:id="5" w:name="_Toc441825105"/>
            <w:r w:rsidRPr="00DC2FF1">
              <w:rPr>
                <w:b/>
                <w:color w:val="auto"/>
                <w:szCs w:val="24"/>
              </w:rPr>
              <w:lastRenderedPageBreak/>
              <w:t>Performance Summary</w:t>
            </w:r>
            <w:bookmarkEnd w:id="5"/>
          </w:p>
        </w:tc>
        <w:tc>
          <w:tcPr>
            <w:tcW w:w="8080" w:type="dxa"/>
            <w:shd w:val="clear" w:color="auto" w:fill="F2F2F2" w:themeFill="background1" w:themeFillShade="F2"/>
          </w:tcPr>
          <w:p w14:paraId="12BE4423" w14:textId="21AEF0BC" w:rsidR="00775B30" w:rsidRPr="00101981" w:rsidRDefault="00775B30" w:rsidP="00101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101981">
              <w:rPr>
                <w:rFonts w:asciiTheme="minorHAnsi" w:hAnsiTheme="minorHAnsi" w:cstheme="minorHAnsi"/>
                <w:color w:val="auto"/>
                <w:szCs w:val="24"/>
              </w:rPr>
              <w:t xml:space="preserve">This annual self-assessment report provides an assessment of IP Australia’s performance against the six KPIs under the RPF and sets the performance benchmarks to measure </w:t>
            </w:r>
            <w:r w:rsidR="00101981">
              <w:rPr>
                <w:rFonts w:asciiTheme="minorHAnsi" w:hAnsiTheme="minorHAnsi" w:cstheme="minorHAnsi"/>
                <w:color w:val="auto"/>
                <w:szCs w:val="24"/>
              </w:rPr>
              <w:t>future performance improvement.</w:t>
            </w:r>
          </w:p>
          <w:p w14:paraId="2848BCF8" w14:textId="77777777" w:rsidR="00775B30" w:rsidRPr="00101981" w:rsidRDefault="00775B30" w:rsidP="00101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101981">
              <w:rPr>
                <w:rFonts w:asciiTheme="minorHAnsi" w:hAnsiTheme="minorHAnsi" w:cstheme="minorHAnsi"/>
                <w:color w:val="auto"/>
                <w:szCs w:val="24"/>
              </w:rPr>
              <w:t>IP Australia met the majority of performance targets in 201</w:t>
            </w:r>
            <w:r w:rsidR="0010312D" w:rsidRPr="00101981">
              <w:rPr>
                <w:rFonts w:asciiTheme="minorHAnsi" w:hAnsiTheme="minorHAnsi" w:cstheme="minorHAnsi"/>
                <w:color w:val="auto"/>
                <w:szCs w:val="24"/>
              </w:rPr>
              <w:t>7</w:t>
            </w:r>
            <w:r w:rsidRPr="00101981">
              <w:rPr>
                <w:rFonts w:asciiTheme="minorHAnsi" w:hAnsiTheme="minorHAnsi" w:cstheme="minorHAnsi"/>
                <w:color w:val="auto"/>
                <w:szCs w:val="24"/>
              </w:rPr>
              <w:noBreakHyphen/>
              <w:t>1</w:t>
            </w:r>
            <w:r w:rsidR="0010312D" w:rsidRPr="00101981">
              <w:rPr>
                <w:rFonts w:asciiTheme="minorHAnsi" w:hAnsiTheme="minorHAnsi" w:cstheme="minorHAnsi"/>
                <w:color w:val="auto"/>
                <w:szCs w:val="24"/>
              </w:rPr>
              <w:t>8</w:t>
            </w:r>
            <w:r w:rsidRPr="00101981">
              <w:rPr>
                <w:rFonts w:asciiTheme="minorHAnsi" w:hAnsiTheme="minorHAnsi" w:cstheme="minorHAnsi"/>
                <w:color w:val="auto"/>
                <w:szCs w:val="24"/>
              </w:rPr>
              <w:t xml:space="preserve">. The performance scorecard provides further detail on IP Australia’s </w:t>
            </w:r>
            <w:r w:rsidR="0010312D" w:rsidRPr="00101981">
              <w:rPr>
                <w:rFonts w:asciiTheme="minorHAnsi" w:hAnsiTheme="minorHAnsi" w:cstheme="minorHAnsi"/>
                <w:color w:val="auto"/>
                <w:szCs w:val="24"/>
              </w:rPr>
              <w:t>2017</w:t>
            </w:r>
            <w:r w:rsidR="0010312D" w:rsidRPr="00101981">
              <w:rPr>
                <w:rFonts w:asciiTheme="minorHAnsi" w:hAnsiTheme="minorHAnsi" w:cstheme="minorHAnsi"/>
                <w:color w:val="auto"/>
                <w:szCs w:val="24"/>
              </w:rPr>
              <w:noBreakHyphen/>
              <w:t xml:space="preserve">18 </w:t>
            </w:r>
            <w:r w:rsidRPr="00101981">
              <w:rPr>
                <w:rFonts w:asciiTheme="minorHAnsi" w:hAnsiTheme="minorHAnsi" w:cstheme="minorHAnsi"/>
                <w:color w:val="auto"/>
                <w:szCs w:val="24"/>
              </w:rPr>
              <w:t xml:space="preserve">performance against specific metrics for the purposes of the RPF. </w:t>
            </w:r>
          </w:p>
          <w:p w14:paraId="09865029" w14:textId="77777777" w:rsidR="00775B30" w:rsidRDefault="00775B30" w:rsidP="005020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10312D">
              <w:rPr>
                <w:rFonts w:asciiTheme="minorHAnsi" w:hAnsiTheme="minorHAnsi" w:cstheme="minorHAnsi"/>
                <w:color w:val="auto"/>
                <w:szCs w:val="24"/>
              </w:rPr>
              <w:t xml:space="preserve">The following examples highlight some of our achievements in </w:t>
            </w:r>
            <w:r w:rsidR="0010312D" w:rsidRPr="0010312D">
              <w:rPr>
                <w:rFonts w:asciiTheme="minorHAnsi" w:hAnsiTheme="minorHAnsi" w:cstheme="minorHAnsi"/>
                <w:color w:val="auto"/>
              </w:rPr>
              <w:t>201</w:t>
            </w:r>
            <w:r w:rsidR="0010312D">
              <w:rPr>
                <w:rFonts w:asciiTheme="minorHAnsi" w:hAnsiTheme="minorHAnsi" w:cstheme="minorHAnsi"/>
                <w:color w:val="auto"/>
              </w:rPr>
              <w:t>7</w:t>
            </w:r>
            <w:r w:rsidR="0010312D" w:rsidRPr="0010312D">
              <w:rPr>
                <w:rFonts w:asciiTheme="minorHAnsi" w:hAnsiTheme="minorHAnsi" w:cstheme="minorHAnsi"/>
                <w:color w:val="auto"/>
              </w:rPr>
              <w:noBreakHyphen/>
              <w:t>1</w:t>
            </w:r>
            <w:r w:rsidR="0010312D">
              <w:rPr>
                <w:rFonts w:asciiTheme="minorHAnsi" w:hAnsiTheme="minorHAnsi" w:cstheme="minorHAnsi"/>
                <w:color w:val="auto"/>
              </w:rPr>
              <w:t xml:space="preserve">8 </w:t>
            </w:r>
            <w:r w:rsidRPr="0010312D">
              <w:rPr>
                <w:rFonts w:asciiTheme="minorHAnsi" w:hAnsiTheme="minorHAnsi" w:cstheme="minorHAnsi"/>
                <w:color w:val="auto"/>
                <w:szCs w:val="24"/>
              </w:rPr>
              <w:t xml:space="preserve">across the 6 RPF KPIs. </w:t>
            </w:r>
          </w:p>
          <w:p w14:paraId="12710034" w14:textId="25BC8A17" w:rsidR="00775B30" w:rsidRPr="0096626E" w:rsidRDefault="00775B30" w:rsidP="005020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Cs w:val="24"/>
              </w:rPr>
            </w:pPr>
            <w:r w:rsidRPr="0096626E">
              <w:rPr>
                <w:rFonts w:asciiTheme="minorHAnsi" w:hAnsiTheme="minorHAnsi" w:cstheme="minorHAnsi"/>
                <w:b/>
                <w:color w:val="auto"/>
                <w:szCs w:val="24"/>
              </w:rPr>
              <w:t>Quality</w:t>
            </w:r>
            <w:r w:rsidR="000E5B0E" w:rsidRPr="0096626E">
              <w:rPr>
                <w:rFonts w:asciiTheme="minorHAnsi" w:hAnsiTheme="minorHAnsi" w:cstheme="minorHAnsi"/>
                <w:b/>
                <w:color w:val="auto"/>
                <w:szCs w:val="24"/>
              </w:rPr>
              <w:t xml:space="preserve"> and timeliness</w:t>
            </w:r>
          </w:p>
          <w:p w14:paraId="06792033" w14:textId="77777777" w:rsidR="002161B0" w:rsidRPr="0096626E" w:rsidRDefault="002161B0" w:rsidP="002161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Pr>
                <w:rFonts w:asciiTheme="minorHAnsi" w:hAnsiTheme="minorHAnsi" w:cstheme="minorHAnsi"/>
                <w:color w:val="auto"/>
                <w:szCs w:val="24"/>
              </w:rPr>
              <w:t>A well-functioning intellectual property system is an</w:t>
            </w:r>
            <w:r w:rsidRPr="0096626E">
              <w:rPr>
                <w:rFonts w:asciiTheme="minorHAnsi" w:hAnsiTheme="minorHAnsi" w:cstheme="minorHAnsi"/>
                <w:color w:val="auto"/>
                <w:szCs w:val="24"/>
              </w:rPr>
              <w:t xml:space="preserve"> important element of the innovation ecosystem, so the provision of robust IP rights is an ongoing focus for </w:t>
            </w:r>
            <w:r>
              <w:rPr>
                <w:rFonts w:asciiTheme="minorHAnsi" w:hAnsiTheme="minorHAnsi" w:cstheme="minorHAnsi"/>
                <w:color w:val="auto"/>
                <w:szCs w:val="24"/>
              </w:rPr>
              <w:t>IP Australia</w:t>
            </w:r>
            <w:r w:rsidRPr="0096626E">
              <w:rPr>
                <w:rFonts w:asciiTheme="minorHAnsi" w:hAnsiTheme="minorHAnsi" w:cstheme="minorHAnsi"/>
                <w:color w:val="auto"/>
                <w:szCs w:val="24"/>
              </w:rPr>
              <w:t xml:space="preserve">. In 2017–18, IP Australia continued to focus on our core business to deliver an effective framework for the protection of IP rights. We increased our commitment to quality improvement by transitioning our quality management system certification from ISO 9001:2008 to ISO 9001:2015, expanding it to include ICT functions. </w:t>
            </w:r>
          </w:p>
          <w:p w14:paraId="42C57535" w14:textId="7F7D3165" w:rsidR="0096626E" w:rsidRPr="00101981" w:rsidRDefault="00817EDE" w:rsidP="00C115F0">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sidRPr="0096626E">
              <w:rPr>
                <w:rFonts w:cstheme="minorHAnsi"/>
                <w:color w:val="auto"/>
                <w:sz w:val="22"/>
                <w:szCs w:val="24"/>
                <w:lang w:eastAsia="en-AU"/>
              </w:rPr>
              <w:t xml:space="preserve">We also pursued a number of strategies to improve IP rights quality and timeliness. </w:t>
            </w:r>
            <w:r w:rsidR="0096626E" w:rsidRPr="0096626E">
              <w:rPr>
                <w:rFonts w:cstheme="minorHAnsi"/>
                <w:color w:val="auto"/>
                <w:sz w:val="22"/>
                <w:szCs w:val="24"/>
                <w:lang w:eastAsia="en-AU"/>
              </w:rPr>
              <w:t>Improvements in 2017</w:t>
            </w:r>
            <w:r w:rsidR="0096626E" w:rsidRPr="0096626E">
              <w:rPr>
                <w:rFonts w:cstheme="minorHAnsi"/>
                <w:color w:val="auto"/>
                <w:sz w:val="22"/>
                <w:szCs w:val="24"/>
                <w:lang w:eastAsia="en-AU"/>
              </w:rPr>
              <w:noBreakHyphen/>
              <w:t xml:space="preserve">18 include the implementation of a trade marks search and research dashboard for examination staff, to improve the quality and timeliness of examining trade mark applications. </w:t>
            </w:r>
            <w:r w:rsidRPr="0096626E">
              <w:rPr>
                <w:rFonts w:cstheme="minorHAnsi"/>
                <w:color w:val="auto"/>
                <w:sz w:val="22"/>
                <w:szCs w:val="24"/>
                <w:lang w:eastAsia="en-AU"/>
              </w:rPr>
              <w:t xml:space="preserve">The Examination Excellence working group </w:t>
            </w:r>
            <w:r w:rsidR="002662B1">
              <w:rPr>
                <w:rFonts w:cstheme="minorHAnsi"/>
                <w:color w:val="auto"/>
                <w:sz w:val="22"/>
                <w:szCs w:val="24"/>
                <w:lang w:eastAsia="en-AU"/>
              </w:rPr>
              <w:t xml:space="preserve"> considered</w:t>
            </w:r>
            <w:r w:rsidR="002662B1" w:rsidRPr="0096626E">
              <w:rPr>
                <w:rFonts w:cstheme="minorHAnsi"/>
                <w:color w:val="auto"/>
                <w:sz w:val="22"/>
                <w:szCs w:val="24"/>
                <w:lang w:eastAsia="en-AU"/>
              </w:rPr>
              <w:t xml:space="preserve"> </w:t>
            </w:r>
            <w:r w:rsidRPr="0096626E">
              <w:rPr>
                <w:rFonts w:cstheme="minorHAnsi"/>
                <w:color w:val="auto"/>
                <w:sz w:val="22"/>
                <w:szCs w:val="24"/>
                <w:lang w:eastAsia="en-AU"/>
              </w:rPr>
              <w:t xml:space="preserve">our current product quality and looked at how we can work more effectively. With an ongoing focus on the needs of our customers, this </w:t>
            </w:r>
            <w:r w:rsidR="002662B1">
              <w:rPr>
                <w:rFonts w:cstheme="minorHAnsi"/>
                <w:color w:val="auto"/>
                <w:sz w:val="22"/>
                <w:szCs w:val="24"/>
                <w:lang w:eastAsia="en-AU"/>
              </w:rPr>
              <w:t>work</w:t>
            </w:r>
            <w:r w:rsidRPr="0096626E">
              <w:rPr>
                <w:rFonts w:cstheme="minorHAnsi"/>
                <w:color w:val="auto"/>
                <w:sz w:val="22"/>
                <w:szCs w:val="24"/>
                <w:lang w:eastAsia="en-AU"/>
              </w:rPr>
              <w:t xml:space="preserve"> will evaluate the </w:t>
            </w:r>
            <w:r w:rsidR="002662B1">
              <w:rPr>
                <w:rFonts w:cstheme="minorHAnsi"/>
                <w:color w:val="auto"/>
                <w:sz w:val="22"/>
                <w:szCs w:val="24"/>
                <w:lang w:eastAsia="en-AU"/>
              </w:rPr>
              <w:t xml:space="preserve">potential </w:t>
            </w:r>
            <w:r w:rsidRPr="0096626E">
              <w:rPr>
                <w:rFonts w:cstheme="minorHAnsi"/>
                <w:color w:val="auto"/>
                <w:sz w:val="22"/>
                <w:szCs w:val="24"/>
                <w:lang w:eastAsia="en-AU"/>
              </w:rPr>
              <w:t>role of automation, artificial intelligence and machine learning in improving the quality of our examination output.</w:t>
            </w:r>
            <w:r w:rsidR="0096626E" w:rsidRPr="00101981">
              <w:rPr>
                <w:rFonts w:cstheme="minorHAnsi"/>
                <w:color w:val="auto"/>
                <w:sz w:val="22"/>
                <w:szCs w:val="24"/>
                <w:lang w:eastAsia="en-AU"/>
              </w:rPr>
              <w:t xml:space="preserve"> </w:t>
            </w:r>
          </w:p>
          <w:p w14:paraId="0E8B9498" w14:textId="56E038E9" w:rsidR="00817EDE" w:rsidRPr="0096626E" w:rsidRDefault="002662B1" w:rsidP="0096626E">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4"/>
                <w:lang w:eastAsia="en-AU"/>
              </w:rPr>
            </w:pPr>
            <w:r>
              <w:rPr>
                <w:rFonts w:cstheme="minorHAnsi"/>
                <w:color w:val="auto"/>
                <w:sz w:val="22"/>
                <w:szCs w:val="24"/>
                <w:lang w:eastAsia="en-AU"/>
              </w:rPr>
              <w:t>A</w:t>
            </w:r>
            <w:r w:rsidRPr="0096626E">
              <w:rPr>
                <w:rFonts w:cstheme="minorHAnsi"/>
                <w:color w:val="auto"/>
                <w:sz w:val="22"/>
                <w:szCs w:val="24"/>
                <w:lang w:eastAsia="en-AU"/>
              </w:rPr>
              <w:t xml:space="preserve"> </w:t>
            </w:r>
            <w:r w:rsidR="00817EDE" w:rsidRPr="0096626E">
              <w:rPr>
                <w:rFonts w:cstheme="minorHAnsi"/>
                <w:color w:val="auto"/>
                <w:sz w:val="22"/>
                <w:szCs w:val="24"/>
                <w:lang w:eastAsia="en-AU"/>
              </w:rPr>
              <w:t xml:space="preserve">complementary review of the performance-setting and incentive arrangements for IP rights examiners aims to improve the delivery of IP Australia’s examination objectives by developing contemporary incentives that seek to motivate staff. The review will benchmark our processes against those of comparable international agencies and </w:t>
            </w:r>
            <w:r w:rsidR="006267B5">
              <w:rPr>
                <w:rFonts w:cstheme="minorHAnsi"/>
                <w:color w:val="auto"/>
                <w:sz w:val="22"/>
                <w:szCs w:val="24"/>
                <w:lang w:eastAsia="en-AU"/>
              </w:rPr>
              <w:t>include</w:t>
            </w:r>
            <w:r w:rsidR="006267B5" w:rsidRPr="0096626E">
              <w:rPr>
                <w:rFonts w:cstheme="minorHAnsi"/>
                <w:color w:val="auto"/>
                <w:sz w:val="22"/>
                <w:szCs w:val="24"/>
                <w:lang w:eastAsia="en-AU"/>
              </w:rPr>
              <w:t xml:space="preserve"> </w:t>
            </w:r>
            <w:r w:rsidR="00817EDE" w:rsidRPr="0096626E">
              <w:rPr>
                <w:rFonts w:cstheme="minorHAnsi"/>
                <w:color w:val="auto"/>
                <w:sz w:val="22"/>
                <w:szCs w:val="24"/>
                <w:lang w:eastAsia="en-AU"/>
              </w:rPr>
              <w:t xml:space="preserve">a global study of current best practice for performance setting and incentives. </w:t>
            </w:r>
            <w:r w:rsidR="006267B5">
              <w:rPr>
                <w:rFonts w:cstheme="minorHAnsi"/>
                <w:color w:val="auto"/>
                <w:sz w:val="22"/>
                <w:szCs w:val="24"/>
                <w:lang w:eastAsia="en-AU"/>
              </w:rPr>
              <w:t xml:space="preserve">Work is also being done on performance setting methods, and trials will be undertaken in the future </w:t>
            </w:r>
            <w:r w:rsidR="00817EDE" w:rsidRPr="0096626E">
              <w:rPr>
                <w:rFonts w:cstheme="minorHAnsi"/>
                <w:color w:val="auto"/>
                <w:sz w:val="22"/>
                <w:szCs w:val="24"/>
                <w:lang w:eastAsia="en-AU"/>
              </w:rPr>
              <w:t>to test and validate a potential new framework</w:t>
            </w:r>
            <w:r w:rsidR="006267B5">
              <w:rPr>
                <w:rFonts w:cstheme="minorHAnsi"/>
                <w:color w:val="auto"/>
                <w:sz w:val="22"/>
                <w:szCs w:val="24"/>
                <w:lang w:eastAsia="en-AU"/>
              </w:rPr>
              <w:t>.</w:t>
            </w:r>
            <w:r w:rsidR="00817EDE" w:rsidRPr="0096626E">
              <w:rPr>
                <w:rFonts w:cstheme="minorHAnsi"/>
                <w:color w:val="auto"/>
                <w:sz w:val="22"/>
                <w:szCs w:val="24"/>
                <w:lang w:eastAsia="en-AU"/>
              </w:rPr>
              <w:t xml:space="preserve">  </w:t>
            </w:r>
          </w:p>
          <w:p w14:paraId="4438F00B" w14:textId="6BC036E0" w:rsidR="00775B30" w:rsidRPr="00101981" w:rsidRDefault="00F130FA" w:rsidP="005020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Cs w:val="24"/>
              </w:rPr>
            </w:pPr>
            <w:r w:rsidRPr="00101981">
              <w:rPr>
                <w:rFonts w:asciiTheme="minorHAnsi" w:hAnsiTheme="minorHAnsi" w:cstheme="minorHAnsi"/>
                <w:b/>
                <w:color w:val="auto"/>
                <w:szCs w:val="24"/>
              </w:rPr>
              <w:t>Partnerships and</w:t>
            </w:r>
            <w:r w:rsidR="00775B30" w:rsidRPr="00101981">
              <w:rPr>
                <w:rFonts w:asciiTheme="minorHAnsi" w:hAnsiTheme="minorHAnsi" w:cstheme="minorHAnsi"/>
                <w:b/>
                <w:color w:val="auto"/>
                <w:szCs w:val="24"/>
              </w:rPr>
              <w:t xml:space="preserve"> </w:t>
            </w:r>
            <w:r w:rsidR="00101981">
              <w:rPr>
                <w:rFonts w:asciiTheme="minorHAnsi" w:hAnsiTheme="minorHAnsi" w:cstheme="minorHAnsi"/>
                <w:b/>
                <w:color w:val="auto"/>
                <w:szCs w:val="24"/>
              </w:rPr>
              <w:t>value added services</w:t>
            </w:r>
          </w:p>
          <w:p w14:paraId="59B87377" w14:textId="35217356" w:rsidR="00B01643" w:rsidRPr="00101981" w:rsidRDefault="00B01643" w:rsidP="00B01643">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IP Australia is committed to shaping the IP system through work-sharing and engagement activities</w:t>
            </w:r>
            <w:r w:rsidR="006C47B3" w:rsidRPr="00101981">
              <w:rPr>
                <w:rFonts w:ascii="Calibri" w:hAnsi="Calibri"/>
                <w:color w:val="auto"/>
                <w:sz w:val="22"/>
                <w:lang w:eastAsia="en-AU"/>
              </w:rPr>
              <w:t xml:space="preserve"> at home and abroad</w:t>
            </w:r>
            <w:r w:rsidRPr="00101981">
              <w:rPr>
                <w:rFonts w:ascii="Calibri" w:hAnsi="Calibri"/>
                <w:color w:val="auto"/>
                <w:sz w:val="22"/>
                <w:lang w:eastAsia="en-AU"/>
              </w:rPr>
              <w:t>. Specific activities in 2017</w:t>
            </w:r>
            <w:r w:rsidRPr="00101981">
              <w:rPr>
                <w:rFonts w:ascii="Calibri" w:hAnsi="Calibri"/>
                <w:color w:val="auto"/>
                <w:sz w:val="22"/>
                <w:lang w:eastAsia="en-AU"/>
              </w:rPr>
              <w:noBreakHyphen/>
              <w:t>18 included:</w:t>
            </w:r>
          </w:p>
          <w:p w14:paraId="0C294520" w14:textId="474B0309" w:rsidR="00F130FA" w:rsidRPr="00101981" w:rsidRDefault="00F130FA"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finalising, and consulting the public on options to address issues around compulsory licensing, to introduce divisional applications for international trade marks, and to implement a second tranche of recommendations from the government response to the Productivity Commission inquiry into Australia’s IP arrangements</w:t>
            </w:r>
          </w:p>
          <w:p w14:paraId="72B05599" w14:textId="72F41FC7" w:rsidR="00101981" w:rsidRPr="00101981" w:rsidRDefault="00030105" w:rsidP="00101981">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Pr>
                <w:rFonts w:ascii="Calibri" w:hAnsi="Calibri"/>
                <w:color w:val="auto"/>
                <w:sz w:val="22"/>
                <w:lang w:eastAsia="en-AU"/>
              </w:rPr>
              <w:t>p</w:t>
            </w:r>
            <w:r w:rsidR="00101981" w:rsidRPr="00101981">
              <w:rPr>
                <w:rFonts w:ascii="Calibri" w:hAnsi="Calibri"/>
                <w:color w:val="auto"/>
                <w:sz w:val="22"/>
                <w:lang w:eastAsia="en-AU"/>
              </w:rPr>
              <w:t>ublishing IP Australia’s policy issues register, in line with the Australian Government’s Open Government National Action Plan.</w:t>
            </w:r>
          </w:p>
          <w:p w14:paraId="7850FA4A" w14:textId="4657D1B1" w:rsidR="0012102E" w:rsidRPr="00101981" w:rsidRDefault="00B01643"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 xml:space="preserve">implementing </w:t>
            </w:r>
            <w:r w:rsidR="0012102E" w:rsidRPr="00101981">
              <w:rPr>
                <w:rFonts w:ascii="Calibri" w:hAnsi="Calibri"/>
                <w:color w:val="auto"/>
                <w:sz w:val="22"/>
                <w:lang w:eastAsia="en-AU"/>
              </w:rPr>
              <w:t xml:space="preserve">the new Trans-Tasman attorney regime, with five meetings of the Trans-Tasman IP Attorneys Board held and reports provided to the relevant </w:t>
            </w:r>
            <w:r w:rsidR="0012102E" w:rsidRPr="00101981">
              <w:rPr>
                <w:rFonts w:ascii="Calibri" w:hAnsi="Calibri"/>
                <w:color w:val="auto"/>
                <w:sz w:val="22"/>
                <w:lang w:eastAsia="en-AU"/>
              </w:rPr>
              <w:lastRenderedPageBreak/>
              <w:t xml:space="preserve">Australian and New Zealand ministers. The Code of Conduct for Trans-Tasman Patent and Trade Marks Attorneys was reviewed and revised code registered. </w:t>
            </w:r>
          </w:p>
          <w:p w14:paraId="3A67C282" w14:textId="0957FD96" w:rsidR="006C47B3" w:rsidRPr="00101981" w:rsidRDefault="00101981" w:rsidP="006C47B3">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val="en-AU" w:eastAsia="en-AU"/>
              </w:rPr>
            </w:pPr>
            <w:r>
              <w:rPr>
                <w:rFonts w:ascii="Calibri" w:hAnsi="Calibri"/>
                <w:color w:val="auto"/>
                <w:sz w:val="22"/>
                <w:lang w:val="en-AU" w:eastAsia="en-AU"/>
              </w:rPr>
              <w:t>A</w:t>
            </w:r>
            <w:r w:rsidR="006C47B3" w:rsidRPr="00101981">
              <w:rPr>
                <w:rFonts w:ascii="Calibri" w:hAnsi="Calibri"/>
                <w:color w:val="auto"/>
                <w:sz w:val="22"/>
                <w:lang w:val="en-AU" w:eastAsia="en-AU"/>
              </w:rPr>
              <w:t xml:space="preserve">ll international engagement activities </w:t>
            </w:r>
            <w:r>
              <w:rPr>
                <w:rFonts w:ascii="Calibri" w:hAnsi="Calibri"/>
                <w:color w:val="auto"/>
                <w:sz w:val="22"/>
                <w:lang w:val="en-AU" w:eastAsia="en-AU"/>
              </w:rPr>
              <w:t xml:space="preserve">were progressed </w:t>
            </w:r>
            <w:r w:rsidR="006C47B3" w:rsidRPr="00101981">
              <w:rPr>
                <w:rFonts w:ascii="Calibri" w:hAnsi="Calibri"/>
                <w:color w:val="auto"/>
                <w:sz w:val="22"/>
                <w:lang w:val="en-AU" w:eastAsia="en-AU"/>
              </w:rPr>
              <w:t xml:space="preserve">as planned, including: </w:t>
            </w:r>
          </w:p>
          <w:p w14:paraId="399DBE6F" w14:textId="77777777" w:rsidR="006C47B3" w:rsidRPr="00101981" w:rsidRDefault="006C47B3"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multilateral discussions and collaboration with WIPO under the Australia Funds-in-Trust for Intellectual Property project, including delivery of a side event at the WIPO General Assemblies in 2017</w:t>
            </w:r>
          </w:p>
          <w:p w14:paraId="739F6D8E" w14:textId="77777777" w:rsidR="006C47B3" w:rsidRPr="00101981" w:rsidRDefault="006C47B3"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the development of online training modules on the Madrid Protocol for registering and managing trade marks in collaboration with WIPO</w:t>
            </w:r>
          </w:p>
          <w:p w14:paraId="5ADD01FE" w14:textId="7124A96B" w:rsidR="006C47B3" w:rsidRPr="00101981" w:rsidRDefault="00101981"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Pr>
                <w:rFonts w:ascii="Calibri" w:hAnsi="Calibri"/>
                <w:color w:val="auto"/>
                <w:sz w:val="22"/>
                <w:lang w:eastAsia="en-AU"/>
              </w:rPr>
              <w:t>w</w:t>
            </w:r>
            <w:r w:rsidR="006C47B3" w:rsidRPr="00101981">
              <w:rPr>
                <w:rFonts w:ascii="Calibri" w:hAnsi="Calibri"/>
                <w:color w:val="auto"/>
                <w:sz w:val="22"/>
                <w:lang w:eastAsia="en-AU"/>
              </w:rPr>
              <w:t>ork to extend IP Australia’s status as an International Search Authority. This involved two treaty processes—the minor treaty process was completed and the full treaty process commenced.</w:t>
            </w:r>
          </w:p>
          <w:p w14:paraId="024E807A" w14:textId="1025E731" w:rsidR="00101981" w:rsidRPr="00101981" w:rsidRDefault="00101981" w:rsidP="00101981">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val="en-AU" w:eastAsia="en-AU"/>
              </w:rPr>
            </w:pPr>
            <w:r w:rsidRPr="00101981">
              <w:rPr>
                <w:rFonts w:ascii="Calibri" w:hAnsi="Calibri"/>
                <w:color w:val="auto"/>
                <w:sz w:val="22"/>
                <w:lang w:val="en-AU" w:eastAsia="en-AU"/>
              </w:rPr>
              <w:t xml:space="preserve">As part of IP Australia’s commitment to maximising access and use of our data, compliance with the PM&amp;C Open Data Policy was maintained, with the development of a data quality framework and processes, and agreement on metadata principles for sourcing data, the key achievements for 207-18. </w:t>
            </w:r>
          </w:p>
          <w:p w14:paraId="5C2DEE2B" w14:textId="77777777" w:rsidR="00775B30" w:rsidRPr="0012102E" w:rsidRDefault="00775B30" w:rsidP="005020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Cs w:val="24"/>
              </w:rPr>
            </w:pPr>
            <w:r w:rsidRPr="0012102E">
              <w:rPr>
                <w:rFonts w:asciiTheme="minorHAnsi" w:hAnsiTheme="minorHAnsi" w:cstheme="minorHAnsi"/>
                <w:b/>
                <w:color w:val="auto"/>
                <w:szCs w:val="24"/>
              </w:rPr>
              <w:t>Customer tools and support services</w:t>
            </w:r>
          </w:p>
          <w:p w14:paraId="5DE90E0B" w14:textId="742FCE8E" w:rsidR="0096626E" w:rsidRPr="0012102E" w:rsidRDefault="0096626E" w:rsidP="0096626E">
            <w:pPr>
              <w:cnfStyle w:val="000000000000" w:firstRow="0" w:lastRow="0" w:firstColumn="0" w:lastColumn="0" w:oddVBand="0" w:evenVBand="0" w:oddHBand="0" w:evenHBand="0" w:firstRowFirstColumn="0" w:firstRowLastColumn="0" w:lastRowFirstColumn="0" w:lastRowLastColumn="0"/>
              <w:rPr>
                <w:color w:val="auto"/>
              </w:rPr>
            </w:pPr>
            <w:r w:rsidRPr="0012102E">
              <w:rPr>
                <w:color w:val="auto"/>
              </w:rPr>
              <w:t>In 2017–18, IP Australia maintained high customer satisfaction rates</w:t>
            </w:r>
            <w:r w:rsidR="00B01643">
              <w:rPr>
                <w:color w:val="auto"/>
              </w:rPr>
              <w:t xml:space="preserve"> recording the following results</w:t>
            </w:r>
            <w:r w:rsidRPr="0012102E">
              <w:rPr>
                <w:color w:val="auto"/>
              </w:rPr>
              <w:t xml:space="preserve">: </w:t>
            </w:r>
          </w:p>
          <w:p w14:paraId="3DE8A873" w14:textId="77777777" w:rsidR="0096626E" w:rsidRPr="00101981" w:rsidRDefault="0096626E"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85% of customers surveyed were satisfied with our performance and services</w:t>
            </w:r>
          </w:p>
          <w:p w14:paraId="29EA3F34" w14:textId="77777777" w:rsidR="0096626E" w:rsidRPr="00101981" w:rsidRDefault="0096626E"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87% of customers were satisfied with the quality of tools to support user accessibility</w:t>
            </w:r>
          </w:p>
          <w:p w14:paraId="335D404D" w14:textId="1A877F57" w:rsidR="0096626E" w:rsidRPr="00101981" w:rsidRDefault="0096626E"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87% of customers were satisfied with the reliability of externally facing ICT systems</w:t>
            </w:r>
          </w:p>
          <w:p w14:paraId="1B78A53D" w14:textId="77777777" w:rsidR="0096626E" w:rsidRPr="00101981" w:rsidRDefault="0096626E" w:rsidP="006C47B3">
            <w:pPr>
              <w:pStyle w:val="Bullet"/>
              <w:cnfStyle w:val="000000000000" w:firstRow="0" w:lastRow="0" w:firstColumn="0" w:lastColumn="0" w:oddVBand="0" w:evenVBand="0" w:oddHBand="0" w:evenHBand="0" w:firstRowFirstColumn="0" w:firstRowLastColumn="0" w:lastRowFirstColumn="0" w:lastRowLastColumn="0"/>
              <w:rPr>
                <w:rFonts w:ascii="Calibri" w:hAnsi="Calibri"/>
                <w:color w:val="auto"/>
                <w:sz w:val="22"/>
                <w:lang w:eastAsia="en-AU"/>
              </w:rPr>
            </w:pPr>
            <w:r w:rsidRPr="00101981">
              <w:rPr>
                <w:rFonts w:ascii="Calibri" w:hAnsi="Calibri"/>
                <w:color w:val="auto"/>
                <w:sz w:val="22"/>
                <w:lang w:eastAsia="en-AU"/>
              </w:rPr>
              <w:t>88% of customers surveyed in the annual customer satisfaction survey indicated that they were satisfied with IP Australia staff.</w:t>
            </w:r>
          </w:p>
          <w:p w14:paraId="44209527" w14:textId="3C0C6668" w:rsidR="0096626E" w:rsidRPr="0012102E" w:rsidRDefault="0096626E" w:rsidP="0096626E">
            <w:pPr>
              <w:cnfStyle w:val="000000000000" w:firstRow="0" w:lastRow="0" w:firstColumn="0" w:lastColumn="0" w:oddVBand="0" w:evenVBand="0" w:oddHBand="0" w:evenHBand="0" w:firstRowFirstColumn="0" w:firstRowLastColumn="0" w:lastRowFirstColumn="0" w:lastRowLastColumn="0"/>
              <w:rPr>
                <w:color w:val="auto"/>
              </w:rPr>
            </w:pPr>
            <w:r w:rsidRPr="0012102E">
              <w:rPr>
                <w:color w:val="auto"/>
              </w:rPr>
              <w:t xml:space="preserve">We updated our Customer Service Charter commitments to provide customers and stakeholders with more transparency around the operations of IP Australia. </w:t>
            </w:r>
          </w:p>
          <w:p w14:paraId="3106CF90" w14:textId="3CD4CD05" w:rsidR="0096626E" w:rsidRPr="0012102E" w:rsidRDefault="0096626E" w:rsidP="0096626E">
            <w:pPr>
              <w:cnfStyle w:val="000000000000" w:firstRow="0" w:lastRow="0" w:firstColumn="0" w:lastColumn="0" w:oddVBand="0" w:evenVBand="0" w:oddHBand="0" w:evenHBand="0" w:firstRowFirstColumn="0" w:firstRowLastColumn="0" w:lastRowFirstColumn="0" w:lastRowLastColumn="0"/>
              <w:rPr>
                <w:color w:val="auto"/>
              </w:rPr>
            </w:pPr>
            <w:r w:rsidRPr="0012102E">
              <w:rPr>
                <w:color w:val="auto"/>
              </w:rPr>
              <w:t xml:space="preserve">We also implemented a number of new and innovative tools to assist our customers with IP rights management, and enhance their experience of IP Australia. We launched Trade Mark Assist, a web technology that uses machine learning to guide applicants through the initial stages of the trade mark application process. The tool is of particular value to small business and unrepresented applicants. We also released the IP Folio mobile app, which assists with tracking IP rights registration processes, and </w:t>
            </w:r>
            <w:r w:rsidR="00030105">
              <w:rPr>
                <w:color w:val="auto"/>
              </w:rPr>
              <w:t xml:space="preserve">commenced </w:t>
            </w:r>
            <w:r w:rsidRPr="0012102E">
              <w:rPr>
                <w:color w:val="auto"/>
              </w:rPr>
              <w:t xml:space="preserve">the Transactional Digital Services program, which will update interfaces for client transactions. </w:t>
            </w:r>
          </w:p>
          <w:p w14:paraId="660C3085" w14:textId="64BB598A" w:rsidR="0096626E" w:rsidRPr="0012102E" w:rsidRDefault="0096626E" w:rsidP="0096626E">
            <w:pPr>
              <w:cnfStyle w:val="000000000000" w:firstRow="0" w:lastRow="0" w:firstColumn="0" w:lastColumn="0" w:oddVBand="0" w:evenVBand="0" w:oddHBand="0" w:evenHBand="0" w:firstRowFirstColumn="0" w:firstRowLastColumn="0" w:lastRowFirstColumn="0" w:lastRowLastColumn="0"/>
              <w:rPr>
                <w:color w:val="auto"/>
              </w:rPr>
            </w:pPr>
            <w:r w:rsidRPr="0012102E">
              <w:rPr>
                <w:color w:val="auto"/>
              </w:rPr>
              <w:t xml:space="preserve">New functionality was delivered in e-services to enable customers to submit 3D models for new and existing design applications. This feature was designed to future proof our designs application systems and processes by ensuring that IP Australia will be able to handle new technology types and formats that industry uses to create IP. </w:t>
            </w:r>
          </w:p>
          <w:p w14:paraId="07E36E7E" w14:textId="77777777" w:rsidR="00775B30" w:rsidRPr="0012102E" w:rsidRDefault="00775B30" w:rsidP="005020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szCs w:val="24"/>
              </w:rPr>
            </w:pPr>
            <w:r w:rsidRPr="0012102E">
              <w:rPr>
                <w:rFonts w:asciiTheme="minorHAnsi" w:hAnsiTheme="minorHAnsi" w:cstheme="minorHAnsi"/>
                <w:b/>
                <w:color w:val="auto"/>
                <w:szCs w:val="24"/>
              </w:rPr>
              <w:t>Outreach and awareness activities</w:t>
            </w:r>
          </w:p>
          <w:p w14:paraId="3B128794" w14:textId="5947C753" w:rsidR="00775B30" w:rsidRPr="000015AA" w:rsidRDefault="00775B30" w:rsidP="0050204F">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0015AA">
              <w:rPr>
                <w:rFonts w:eastAsia="Calibri"/>
                <w:color w:val="auto"/>
              </w:rPr>
              <w:t>IP Australia is expanding customer communication channels through its social media accounts. In 201</w:t>
            </w:r>
            <w:r w:rsidR="000E5B0E" w:rsidRPr="000015AA">
              <w:rPr>
                <w:rFonts w:eastAsia="Calibri"/>
                <w:color w:val="auto"/>
              </w:rPr>
              <w:t>7–18</w:t>
            </w:r>
            <w:r w:rsidRPr="000015AA">
              <w:rPr>
                <w:rFonts w:eastAsia="Calibri"/>
                <w:color w:val="auto"/>
              </w:rPr>
              <w:t xml:space="preserve">, IP Australia engaged online with more than </w:t>
            </w:r>
            <w:r w:rsidR="000015AA" w:rsidRPr="000015AA">
              <w:rPr>
                <w:rFonts w:eastAsia="Calibri"/>
                <w:color w:val="auto"/>
              </w:rPr>
              <w:t>16,470</w:t>
            </w:r>
            <w:r w:rsidR="000E5B0E" w:rsidRPr="000015AA">
              <w:rPr>
                <w:rFonts w:eastAsia="Calibri"/>
                <w:color w:val="auto"/>
              </w:rPr>
              <w:t xml:space="preserve"> </w:t>
            </w:r>
            <w:r w:rsidRPr="000015AA">
              <w:rPr>
                <w:rFonts w:eastAsia="Calibri"/>
                <w:color w:val="auto"/>
              </w:rPr>
              <w:t xml:space="preserve">followers, across Facebook, YouTube, LinkedIn and Twitter, an increase of </w:t>
            </w:r>
            <w:r w:rsidR="000015AA" w:rsidRPr="000015AA">
              <w:rPr>
                <w:rFonts w:eastAsia="Calibri"/>
                <w:color w:val="auto"/>
              </w:rPr>
              <w:t>2,770</w:t>
            </w:r>
            <w:r w:rsidR="000E5B0E" w:rsidRPr="000015AA">
              <w:rPr>
                <w:rFonts w:eastAsia="Calibri"/>
                <w:color w:val="auto"/>
              </w:rPr>
              <w:t xml:space="preserve"> followers since 2016–17</w:t>
            </w:r>
            <w:r w:rsidRPr="000015AA">
              <w:rPr>
                <w:rFonts w:eastAsia="Calibri"/>
                <w:color w:val="auto"/>
              </w:rPr>
              <w:t>. Continued efforts to improve and increase IP Australia’s social media presence focused on a series of educational IP activities, which resulted in stronger engagement and content sharing.</w:t>
            </w:r>
          </w:p>
          <w:p w14:paraId="364B718F" w14:textId="77777777" w:rsidR="000015AA" w:rsidRPr="000015AA" w:rsidRDefault="00775B30" w:rsidP="0012102E">
            <w:pPr>
              <w:cnfStyle w:val="000000000000" w:firstRow="0" w:lastRow="0" w:firstColumn="0" w:lastColumn="0" w:oddVBand="0" w:evenVBand="0" w:oddHBand="0" w:evenHBand="0" w:firstRowFirstColumn="0" w:firstRowLastColumn="0" w:lastRowFirstColumn="0" w:lastRowLastColumn="0"/>
              <w:rPr>
                <w:rFonts w:eastAsia="Calibri"/>
                <w:color w:val="auto"/>
              </w:rPr>
            </w:pPr>
            <w:r w:rsidRPr="000015AA">
              <w:rPr>
                <w:rFonts w:eastAsia="Calibri"/>
                <w:color w:val="auto"/>
              </w:rPr>
              <w:lastRenderedPageBreak/>
              <w:t>Public awareness activities are important for the delivery of IP information. Website content is the primary channel for this, alongside forums, subscription lists and promotion via social media channels.</w:t>
            </w:r>
            <w:r w:rsidR="000015AA" w:rsidRPr="000015AA">
              <w:rPr>
                <w:rFonts w:eastAsia="Calibri"/>
                <w:color w:val="auto"/>
              </w:rPr>
              <w:t xml:space="preserve"> IP Australia delivered a </w:t>
            </w:r>
            <w:proofErr w:type="spellStart"/>
            <w:r w:rsidR="000015AA" w:rsidRPr="000015AA">
              <w:rPr>
                <w:rFonts w:eastAsia="Calibri"/>
                <w:color w:val="auto"/>
              </w:rPr>
              <w:t>TEDx</w:t>
            </w:r>
            <w:proofErr w:type="spellEnd"/>
            <w:r w:rsidR="000015AA" w:rsidRPr="000015AA">
              <w:rPr>
                <w:rFonts w:eastAsia="Calibri"/>
                <w:color w:val="auto"/>
              </w:rPr>
              <w:t xml:space="preserve"> styled event targeted at the university sector and supported Questacon’s Smart Skills Initiative and the National Youth Science Forum. Other external communication activities focused on research report releases, IP Australia’s forward legislation and policy agenda, consultations, events and general IP awareness, including awareness packages for the web: Building your business - protect your brand, and IP and Engaging an Attorney Toolkit.</w:t>
            </w:r>
          </w:p>
          <w:p w14:paraId="3885E8C4" w14:textId="1F4F0A50" w:rsidR="0012102E" w:rsidRPr="0012102E" w:rsidRDefault="0012102E" w:rsidP="0012102E">
            <w:pPr>
              <w:cnfStyle w:val="000000000000" w:firstRow="0" w:lastRow="0" w:firstColumn="0" w:lastColumn="0" w:oddVBand="0" w:evenVBand="0" w:oddHBand="0" w:evenHBand="0" w:firstRowFirstColumn="0" w:firstRowLastColumn="0" w:lastRowFirstColumn="0" w:lastRowLastColumn="0"/>
              <w:rPr>
                <w:color w:val="auto"/>
              </w:rPr>
            </w:pPr>
            <w:r w:rsidRPr="0012102E">
              <w:rPr>
                <w:color w:val="auto"/>
              </w:rPr>
              <w:t xml:space="preserve">Customer engagement activities included holding the first IP Summit, which supported small and medium enterprises by helping them to understand more about the importance of IP in growing a business and moving to export; a </w:t>
            </w:r>
            <w:r w:rsidRPr="0012102E">
              <w:rPr>
                <w:rFonts w:eastAsia="Calibri"/>
                <w:color w:val="auto"/>
              </w:rPr>
              <w:t xml:space="preserve">workshop/webinar series that educated and promoted the benefits of IP </w:t>
            </w:r>
            <w:r w:rsidRPr="0012102E">
              <w:rPr>
                <w:color w:val="auto"/>
              </w:rPr>
              <w:t>among the start-up community; and the Understanding Certification Trade Marks for Food forum, which has been complemented with an ongoing digital education and awareness campaign.</w:t>
            </w:r>
          </w:p>
          <w:p w14:paraId="7177DD7B" w14:textId="77777777" w:rsidR="00165931" w:rsidRPr="00DC2FF1" w:rsidRDefault="00165931" w:rsidP="005020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F327F2">
              <w:rPr>
                <w:rFonts w:asciiTheme="minorHAnsi" w:hAnsiTheme="minorHAnsi" w:cstheme="minorHAnsi"/>
                <w:color w:val="auto"/>
                <w:szCs w:val="24"/>
              </w:rPr>
              <w:t>The below scorecard provides further detail on IP Australia’s performance in 201</w:t>
            </w:r>
            <w:r>
              <w:rPr>
                <w:rFonts w:asciiTheme="minorHAnsi" w:hAnsiTheme="minorHAnsi" w:cstheme="minorHAnsi"/>
                <w:color w:val="auto"/>
                <w:szCs w:val="24"/>
              </w:rPr>
              <w:t>7</w:t>
            </w:r>
            <w:r w:rsidRPr="00F327F2">
              <w:rPr>
                <w:rFonts w:asciiTheme="minorHAnsi" w:hAnsiTheme="minorHAnsi" w:cstheme="minorHAnsi"/>
                <w:color w:val="auto"/>
                <w:szCs w:val="24"/>
              </w:rPr>
              <w:t>-1</w:t>
            </w:r>
            <w:r>
              <w:rPr>
                <w:rFonts w:asciiTheme="minorHAnsi" w:hAnsiTheme="minorHAnsi" w:cstheme="minorHAnsi"/>
                <w:color w:val="auto"/>
                <w:szCs w:val="24"/>
              </w:rPr>
              <w:t xml:space="preserve">8 for the purposes of the RPF. </w:t>
            </w:r>
          </w:p>
        </w:tc>
      </w:tr>
      <w:tr w:rsidR="00DC2FF1" w:rsidRPr="00DC2FF1" w14:paraId="2C831F9D" w14:textId="77777777" w:rsidTr="0050204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3B584F2" w14:textId="07505444" w:rsidR="00CD49D8" w:rsidRPr="00DC2FF1" w:rsidRDefault="00CD49D8" w:rsidP="0050204F">
            <w:pPr>
              <w:pStyle w:val="Default"/>
              <w:rPr>
                <w:rFonts w:ascii="Calibri" w:hAnsi="Calibri" w:cs="Times New Roman"/>
                <w:b w:val="0"/>
                <w:bCs w:val="0"/>
                <w:color w:val="auto"/>
                <w:sz w:val="22"/>
                <w:lang w:val="en-AU" w:eastAsia="en-AU"/>
              </w:rPr>
            </w:pPr>
            <w:bookmarkStart w:id="6" w:name="_Toc441825106"/>
            <w:r w:rsidRPr="00DC2FF1">
              <w:rPr>
                <w:rFonts w:ascii="Tahoma" w:hAnsi="Tahoma" w:cs="Times New Roman"/>
                <w:bCs w:val="0"/>
                <w:color w:val="auto"/>
                <w:sz w:val="22"/>
                <w:lang w:val="en-AU" w:eastAsia="en-AU"/>
              </w:rPr>
              <w:lastRenderedPageBreak/>
              <w:t xml:space="preserve">Improvement Initiatives in </w:t>
            </w:r>
            <w:r w:rsidR="0010312D" w:rsidRPr="00DC2FF1">
              <w:rPr>
                <w:rFonts w:ascii="Tahoma" w:hAnsi="Tahoma" w:cs="Times New Roman"/>
                <w:bCs w:val="0"/>
                <w:color w:val="auto"/>
                <w:sz w:val="22"/>
                <w:lang w:val="en-AU" w:eastAsia="en-AU"/>
              </w:rPr>
              <w:t>201</w:t>
            </w:r>
            <w:r w:rsidR="0010312D">
              <w:rPr>
                <w:rFonts w:ascii="Tahoma" w:hAnsi="Tahoma" w:cs="Times New Roman"/>
                <w:bCs w:val="0"/>
                <w:color w:val="auto"/>
                <w:sz w:val="22"/>
                <w:lang w:val="en-AU" w:eastAsia="en-AU"/>
              </w:rPr>
              <w:t>8</w:t>
            </w:r>
            <w:r w:rsidR="00171EDC" w:rsidRPr="00DC2FF1">
              <w:rPr>
                <w:rFonts w:ascii="Tahoma" w:hAnsi="Tahoma" w:cs="Times New Roman"/>
                <w:bCs w:val="0"/>
                <w:color w:val="auto"/>
                <w:sz w:val="22"/>
                <w:lang w:val="en-AU" w:eastAsia="en-AU"/>
              </w:rPr>
              <w:noBreakHyphen/>
            </w:r>
            <w:bookmarkEnd w:id="6"/>
            <w:r w:rsidR="0010312D" w:rsidRPr="00DC2FF1">
              <w:rPr>
                <w:rFonts w:ascii="Tahoma" w:hAnsi="Tahoma" w:cs="Times New Roman"/>
                <w:bCs w:val="0"/>
                <w:color w:val="auto"/>
                <w:sz w:val="22"/>
                <w:lang w:val="en-AU" w:eastAsia="en-AU"/>
              </w:rPr>
              <w:t>1</w:t>
            </w:r>
            <w:r w:rsidR="0010312D">
              <w:rPr>
                <w:rFonts w:ascii="Tahoma" w:hAnsi="Tahoma" w:cs="Times New Roman"/>
                <w:bCs w:val="0"/>
                <w:color w:val="auto"/>
                <w:sz w:val="22"/>
                <w:lang w:val="en-AU" w:eastAsia="en-AU"/>
              </w:rPr>
              <w:t>9</w:t>
            </w:r>
          </w:p>
        </w:tc>
        <w:tc>
          <w:tcPr>
            <w:tcW w:w="8080" w:type="dxa"/>
          </w:tcPr>
          <w:p w14:paraId="1FEE729D" w14:textId="77777777" w:rsidR="00165931" w:rsidRPr="000A373E" w:rsidRDefault="00165931" w:rsidP="0050204F">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auto"/>
                <w:szCs w:val="24"/>
              </w:rPr>
            </w:pPr>
            <w:r w:rsidRPr="000A373E">
              <w:rPr>
                <w:rFonts w:asciiTheme="minorHAnsi" w:hAnsiTheme="minorHAnsi" w:cstheme="minorHAnsi"/>
                <w:b w:val="0"/>
                <w:bCs w:val="0"/>
                <w:color w:val="auto"/>
                <w:szCs w:val="24"/>
              </w:rPr>
              <w:t xml:space="preserve">Results from the RPF self-assessment process will be used alongside ongoing feedback from our customers to shape the future direction of our agency, and tailor the services and support we provide. </w:t>
            </w:r>
          </w:p>
          <w:p w14:paraId="19AFBED0" w14:textId="7B03FFB0" w:rsidR="00165931" w:rsidRPr="00165931" w:rsidRDefault="00165931" w:rsidP="0050204F">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FF0000"/>
                <w:szCs w:val="24"/>
              </w:rPr>
            </w:pPr>
            <w:r w:rsidRPr="000A373E">
              <w:rPr>
                <w:rFonts w:asciiTheme="minorHAnsi" w:hAnsiTheme="minorHAnsi" w:cstheme="minorHAnsi"/>
                <w:b w:val="0"/>
                <w:bCs w:val="0"/>
                <w:color w:val="auto"/>
                <w:szCs w:val="24"/>
              </w:rPr>
              <w:t>Specific improvement initiatives planned for 201</w:t>
            </w:r>
            <w:r w:rsidR="000A373E" w:rsidRPr="000A373E">
              <w:rPr>
                <w:rFonts w:asciiTheme="minorHAnsi" w:hAnsiTheme="minorHAnsi" w:cstheme="minorHAnsi"/>
                <w:b w:val="0"/>
                <w:bCs w:val="0"/>
                <w:color w:val="auto"/>
                <w:szCs w:val="24"/>
              </w:rPr>
              <w:t>8</w:t>
            </w:r>
            <w:r w:rsidRPr="000A373E">
              <w:rPr>
                <w:rFonts w:asciiTheme="minorHAnsi" w:hAnsiTheme="minorHAnsi" w:cstheme="minorHAnsi"/>
                <w:b w:val="0"/>
                <w:bCs w:val="0"/>
                <w:color w:val="auto"/>
                <w:szCs w:val="24"/>
              </w:rPr>
              <w:noBreakHyphen/>
              <w:t>1</w:t>
            </w:r>
            <w:r w:rsidR="000A373E" w:rsidRPr="000A373E">
              <w:rPr>
                <w:rFonts w:asciiTheme="minorHAnsi" w:hAnsiTheme="minorHAnsi" w:cstheme="minorHAnsi"/>
                <w:b w:val="0"/>
                <w:bCs w:val="0"/>
                <w:color w:val="auto"/>
                <w:szCs w:val="24"/>
              </w:rPr>
              <w:t>9</w:t>
            </w:r>
            <w:r w:rsidRPr="000A373E">
              <w:rPr>
                <w:rFonts w:asciiTheme="minorHAnsi" w:hAnsiTheme="minorHAnsi" w:cstheme="minorHAnsi"/>
                <w:b w:val="0"/>
                <w:bCs w:val="0"/>
                <w:color w:val="auto"/>
                <w:szCs w:val="24"/>
              </w:rPr>
              <w:t xml:space="preserve"> include: </w:t>
            </w:r>
          </w:p>
          <w:p w14:paraId="2C18CCB2" w14:textId="57EA8010" w:rsidR="000A373E" w:rsidRPr="00FD1368" w:rsidRDefault="006E59BF" w:rsidP="0050204F">
            <w:pPr>
              <w:pStyle w:val="ListParagraph"/>
              <w:numPr>
                <w:ilvl w:val="0"/>
                <w:numId w:val="11"/>
              </w:num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auto"/>
                <w:szCs w:val="24"/>
              </w:rPr>
            </w:pPr>
            <w:r>
              <w:rPr>
                <w:rFonts w:asciiTheme="minorHAnsi" w:hAnsiTheme="minorHAnsi" w:cstheme="minorHAnsi"/>
                <w:b w:val="0"/>
                <w:bCs w:val="0"/>
                <w:color w:val="auto"/>
                <w:szCs w:val="24"/>
              </w:rPr>
              <w:t>Customer Service Charter c</w:t>
            </w:r>
            <w:r w:rsidRPr="00D85D37">
              <w:rPr>
                <w:rFonts w:asciiTheme="minorHAnsi" w:hAnsiTheme="minorHAnsi" w:cstheme="minorHAnsi"/>
                <w:b w:val="0"/>
                <w:bCs w:val="0"/>
                <w:color w:val="auto"/>
                <w:szCs w:val="24"/>
              </w:rPr>
              <w:t>ompliance rates will be a continual focus for improvement in 2018–19—enhanced</w:t>
            </w:r>
            <w:r w:rsidRPr="00D85D37" w:rsidDel="0073567B">
              <w:rPr>
                <w:rFonts w:asciiTheme="minorHAnsi" w:hAnsiTheme="minorHAnsi" w:cstheme="minorHAnsi"/>
                <w:b w:val="0"/>
                <w:bCs w:val="0"/>
                <w:color w:val="auto"/>
                <w:szCs w:val="24"/>
              </w:rPr>
              <w:t xml:space="preserve"> </w:t>
            </w:r>
            <w:r w:rsidRPr="00D85D37">
              <w:rPr>
                <w:rFonts w:asciiTheme="minorHAnsi" w:hAnsiTheme="minorHAnsi" w:cstheme="minorHAnsi"/>
                <w:b w:val="0"/>
                <w:bCs w:val="0"/>
                <w:color w:val="auto"/>
                <w:szCs w:val="24"/>
              </w:rPr>
              <w:t xml:space="preserve">operational reporting will allow the IP Rights Division to track individual applications more robustly and to intervene earlier </w:t>
            </w:r>
            <w:r w:rsidRPr="00FD1368">
              <w:rPr>
                <w:rFonts w:asciiTheme="minorHAnsi" w:hAnsiTheme="minorHAnsi" w:cstheme="minorHAnsi"/>
                <w:b w:val="0"/>
                <w:bCs w:val="0"/>
                <w:color w:val="auto"/>
                <w:szCs w:val="24"/>
              </w:rPr>
              <w:t>when issues arise.</w:t>
            </w:r>
          </w:p>
          <w:p w14:paraId="52CD19CE" w14:textId="7054B232" w:rsidR="000C7888" w:rsidRPr="00FD1368" w:rsidRDefault="000C7888" w:rsidP="0050204F">
            <w:pPr>
              <w:pStyle w:val="ListParagraph"/>
              <w:numPr>
                <w:ilvl w:val="0"/>
                <w:numId w:val="11"/>
              </w:num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auto"/>
                <w:szCs w:val="24"/>
              </w:rPr>
            </w:pPr>
            <w:r w:rsidRPr="00FD1368">
              <w:rPr>
                <w:rFonts w:asciiTheme="minorHAnsi" w:hAnsiTheme="minorHAnsi" w:cstheme="minorHAnsi"/>
                <w:b w:val="0"/>
                <w:bCs w:val="0"/>
                <w:color w:val="auto"/>
                <w:szCs w:val="24"/>
              </w:rPr>
              <w:t>Continue IP Australia’s ongoing program of critical evaluation of performance standards, to ensure measures and targets continue to drive better outcomes that meet customer needs.</w:t>
            </w:r>
          </w:p>
          <w:p w14:paraId="10FAC24A" w14:textId="34F9BE6F" w:rsidR="006E59BF" w:rsidRPr="00C115F0" w:rsidRDefault="006E59BF" w:rsidP="006E59BF">
            <w:pPr>
              <w:pStyle w:val="ListParagraph"/>
              <w:numPr>
                <w:ilvl w:val="0"/>
                <w:numId w:val="11"/>
              </w:num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auto"/>
                <w:szCs w:val="24"/>
              </w:rPr>
            </w:pPr>
            <w:r w:rsidRPr="00C115F0">
              <w:rPr>
                <w:rFonts w:asciiTheme="minorHAnsi" w:hAnsiTheme="minorHAnsi" w:cstheme="minorHAnsi"/>
                <w:b w:val="0"/>
                <w:bCs w:val="0"/>
                <w:color w:val="auto"/>
                <w:szCs w:val="24"/>
              </w:rPr>
              <w:t>Deliver a modern data platform as part of the business intelligence and analytics project</w:t>
            </w:r>
            <w:r w:rsidR="00101981" w:rsidRPr="00C115F0">
              <w:rPr>
                <w:rFonts w:asciiTheme="minorHAnsi" w:hAnsiTheme="minorHAnsi" w:cstheme="minorHAnsi"/>
                <w:b w:val="0"/>
                <w:bCs w:val="0"/>
                <w:color w:val="auto"/>
                <w:szCs w:val="24"/>
              </w:rPr>
              <w:t>.</w:t>
            </w:r>
          </w:p>
          <w:p w14:paraId="756063F8" w14:textId="6C0B75DF" w:rsidR="000A373E" w:rsidRPr="00C115F0" w:rsidRDefault="006E59BF" w:rsidP="0050204F">
            <w:pPr>
              <w:pStyle w:val="ListParagraph"/>
              <w:numPr>
                <w:ilvl w:val="0"/>
                <w:numId w:val="11"/>
              </w:num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auto"/>
                <w:szCs w:val="24"/>
              </w:rPr>
            </w:pPr>
            <w:r w:rsidRPr="00C115F0">
              <w:rPr>
                <w:rFonts w:asciiTheme="minorHAnsi" w:hAnsiTheme="minorHAnsi" w:cstheme="minorHAnsi"/>
                <w:b w:val="0"/>
                <w:bCs w:val="0"/>
                <w:color w:val="auto"/>
                <w:szCs w:val="24"/>
              </w:rPr>
              <w:t>Enhance digital customer experience an</w:t>
            </w:r>
            <w:r w:rsidR="00101981" w:rsidRPr="00C115F0">
              <w:rPr>
                <w:rFonts w:asciiTheme="minorHAnsi" w:hAnsiTheme="minorHAnsi" w:cstheme="minorHAnsi"/>
                <w:b w:val="0"/>
                <w:bCs w:val="0"/>
                <w:color w:val="auto"/>
                <w:szCs w:val="24"/>
              </w:rPr>
              <w:t>d</w:t>
            </w:r>
            <w:r w:rsidRPr="00C115F0">
              <w:rPr>
                <w:rFonts w:asciiTheme="minorHAnsi" w:hAnsiTheme="minorHAnsi" w:cstheme="minorHAnsi"/>
                <w:b w:val="0"/>
                <w:bCs w:val="0"/>
                <w:color w:val="auto"/>
                <w:szCs w:val="24"/>
              </w:rPr>
              <w:t xml:space="preserve"> enablement (including TDS and Alex)</w:t>
            </w:r>
            <w:r w:rsidR="00101981" w:rsidRPr="00C115F0">
              <w:rPr>
                <w:rFonts w:asciiTheme="minorHAnsi" w:hAnsiTheme="minorHAnsi" w:cstheme="minorHAnsi"/>
                <w:b w:val="0"/>
                <w:bCs w:val="0"/>
                <w:color w:val="auto"/>
                <w:szCs w:val="24"/>
              </w:rPr>
              <w:t>.</w:t>
            </w:r>
          </w:p>
          <w:p w14:paraId="7EFC42A2" w14:textId="0EB5EC24" w:rsidR="006E59BF" w:rsidRPr="00C115F0" w:rsidRDefault="00105803" w:rsidP="0050204F">
            <w:pPr>
              <w:pStyle w:val="ListParagraph"/>
              <w:numPr>
                <w:ilvl w:val="0"/>
                <w:numId w:val="11"/>
              </w:num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auto"/>
                <w:szCs w:val="24"/>
              </w:rPr>
            </w:pPr>
            <w:r w:rsidRPr="00C115F0">
              <w:rPr>
                <w:rFonts w:asciiTheme="minorHAnsi" w:hAnsiTheme="minorHAnsi" w:cstheme="minorHAnsi"/>
                <w:b w:val="0"/>
                <w:bCs w:val="0"/>
                <w:color w:val="auto"/>
                <w:szCs w:val="24"/>
              </w:rPr>
              <w:t>Continu</w:t>
            </w:r>
            <w:r w:rsidRPr="00B16B65">
              <w:rPr>
                <w:rFonts w:asciiTheme="minorHAnsi" w:hAnsiTheme="minorHAnsi" w:cstheme="minorHAnsi"/>
                <w:b w:val="0"/>
                <w:bCs w:val="0"/>
                <w:color w:val="auto"/>
                <w:szCs w:val="24"/>
              </w:rPr>
              <w:t>e to host IP Attorney round tables, bu</w:t>
            </w:r>
            <w:r w:rsidRPr="00C115F0">
              <w:rPr>
                <w:rFonts w:asciiTheme="minorHAnsi" w:hAnsiTheme="minorHAnsi" w:cstheme="minorHAnsi"/>
                <w:b w:val="0"/>
                <w:bCs w:val="0"/>
                <w:color w:val="auto"/>
                <w:szCs w:val="24"/>
              </w:rPr>
              <w:t>ild on the inaugural</w:t>
            </w:r>
            <w:r w:rsidR="006E59BF" w:rsidRPr="00C115F0">
              <w:rPr>
                <w:rFonts w:asciiTheme="minorHAnsi" w:hAnsiTheme="minorHAnsi" w:cstheme="minorHAnsi"/>
                <w:b w:val="0"/>
                <w:bCs w:val="0"/>
                <w:color w:val="auto"/>
                <w:szCs w:val="24"/>
              </w:rPr>
              <w:t xml:space="preserve"> IP Summit </w:t>
            </w:r>
            <w:r w:rsidRPr="00C115F0">
              <w:rPr>
                <w:rFonts w:asciiTheme="minorHAnsi" w:hAnsiTheme="minorHAnsi" w:cstheme="minorHAnsi"/>
                <w:b w:val="0"/>
                <w:bCs w:val="0"/>
                <w:color w:val="auto"/>
                <w:szCs w:val="24"/>
              </w:rPr>
              <w:t xml:space="preserve">success, </w:t>
            </w:r>
            <w:r w:rsidR="006E59BF" w:rsidRPr="00C115F0">
              <w:rPr>
                <w:rFonts w:asciiTheme="minorHAnsi" w:hAnsiTheme="minorHAnsi" w:cstheme="minorHAnsi"/>
                <w:b w:val="0"/>
                <w:bCs w:val="0"/>
                <w:color w:val="auto"/>
                <w:szCs w:val="24"/>
              </w:rPr>
              <w:t>and co-host the INTA Regional Mee</w:t>
            </w:r>
            <w:r w:rsidRPr="00C115F0">
              <w:rPr>
                <w:rFonts w:asciiTheme="minorHAnsi" w:hAnsiTheme="minorHAnsi" w:cstheme="minorHAnsi"/>
                <w:b w:val="0"/>
                <w:bCs w:val="0"/>
                <w:color w:val="auto"/>
                <w:szCs w:val="24"/>
              </w:rPr>
              <w:t>t</w:t>
            </w:r>
            <w:r w:rsidR="006E59BF" w:rsidRPr="00C115F0">
              <w:rPr>
                <w:rFonts w:asciiTheme="minorHAnsi" w:hAnsiTheme="minorHAnsi" w:cstheme="minorHAnsi"/>
                <w:b w:val="0"/>
                <w:bCs w:val="0"/>
                <w:color w:val="auto"/>
                <w:szCs w:val="24"/>
              </w:rPr>
              <w:t>ing 2018</w:t>
            </w:r>
            <w:r w:rsidR="00101981" w:rsidRPr="00C115F0">
              <w:rPr>
                <w:rFonts w:asciiTheme="minorHAnsi" w:hAnsiTheme="minorHAnsi" w:cstheme="minorHAnsi"/>
                <w:b w:val="0"/>
                <w:bCs w:val="0"/>
                <w:color w:val="auto"/>
                <w:szCs w:val="24"/>
              </w:rPr>
              <w:t>.</w:t>
            </w:r>
          </w:p>
          <w:p w14:paraId="501E111B" w14:textId="74A33A1F" w:rsidR="00165931" w:rsidRPr="006E59BF" w:rsidRDefault="006E59BF" w:rsidP="006E59BF">
            <w:pPr>
              <w:pStyle w:val="ListParagraph"/>
              <w:numPr>
                <w:ilvl w:val="0"/>
                <w:numId w:val="11"/>
              </w:num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FF0000"/>
                <w:szCs w:val="24"/>
              </w:rPr>
            </w:pPr>
            <w:r w:rsidRPr="00C115F0">
              <w:rPr>
                <w:rFonts w:asciiTheme="minorHAnsi" w:hAnsiTheme="minorHAnsi" w:cstheme="minorHAnsi"/>
                <w:b w:val="0"/>
                <w:bCs w:val="0"/>
                <w:color w:val="auto"/>
                <w:szCs w:val="24"/>
              </w:rPr>
              <w:t>Conduct a Design Summit to better understand stakeholder needs for the future of the Australian Designs System and develop a future strategy</w:t>
            </w:r>
            <w:r w:rsidR="00101981" w:rsidRPr="00C115F0">
              <w:rPr>
                <w:rFonts w:asciiTheme="minorHAnsi" w:hAnsiTheme="minorHAnsi" w:cstheme="minorHAnsi"/>
                <w:b w:val="0"/>
                <w:bCs w:val="0"/>
                <w:color w:val="auto"/>
                <w:szCs w:val="24"/>
              </w:rPr>
              <w:t>.</w:t>
            </w:r>
          </w:p>
        </w:tc>
      </w:tr>
    </w:tbl>
    <w:p w14:paraId="3D609111" w14:textId="59A3BB94" w:rsidR="00CD49D8" w:rsidRPr="00DC2FF1" w:rsidRDefault="00CD49D8" w:rsidP="00C65816">
      <w:pPr>
        <w:pStyle w:val="Heading1"/>
        <w:rPr>
          <w:color w:val="auto"/>
        </w:rPr>
        <w:sectPr w:rsidR="00CD49D8" w:rsidRPr="00DC2FF1" w:rsidSect="00823FF5">
          <w:headerReference w:type="default" r:id="rId18"/>
          <w:footerReference w:type="default" r:id="rId19"/>
          <w:headerReference w:type="first" r:id="rId20"/>
          <w:footerReference w:type="first" r:id="rId21"/>
          <w:pgSz w:w="11906" w:h="16838"/>
          <w:pgMar w:top="1418" w:right="1134" w:bottom="1134" w:left="1134" w:header="567" w:footer="284" w:gutter="0"/>
          <w:pgNumType w:start="1"/>
          <w:cols w:space="720"/>
          <w:noEndnote/>
          <w:docGrid w:linePitch="299"/>
        </w:sectPr>
      </w:pPr>
    </w:p>
    <w:p w14:paraId="3CAA1A82" w14:textId="77777777" w:rsidR="00F02EC3" w:rsidRPr="00F02EC3" w:rsidRDefault="00CD49D8" w:rsidP="00F02EC3">
      <w:pPr>
        <w:pStyle w:val="Heading1"/>
        <w:rPr>
          <w:color w:val="auto"/>
        </w:rPr>
      </w:pPr>
      <w:bookmarkStart w:id="7" w:name="_Toc517947252"/>
      <w:r w:rsidRPr="00DC2FF1">
        <w:rPr>
          <w:color w:val="auto"/>
        </w:rPr>
        <w:lastRenderedPageBreak/>
        <w:t>201</w:t>
      </w:r>
      <w:r w:rsidR="00F02EC3">
        <w:rPr>
          <w:color w:val="auto"/>
        </w:rPr>
        <w:t>7</w:t>
      </w:r>
      <w:r w:rsidR="00F02EC3">
        <w:rPr>
          <w:color w:val="auto"/>
        </w:rPr>
        <w:noBreakHyphen/>
        <w:t>18</w:t>
      </w:r>
      <w:r w:rsidRPr="00DC2FF1">
        <w:rPr>
          <w:color w:val="auto"/>
        </w:rPr>
        <w:t xml:space="preserve"> Performance Scorecard</w:t>
      </w:r>
      <w:bookmarkEnd w:id="7"/>
    </w:p>
    <w:tbl>
      <w:tblPr>
        <w:tblStyle w:val="LightList-Accent4"/>
        <w:tblW w:w="5000" w:type="pct"/>
        <w:tblLook w:val="04E0" w:firstRow="1" w:lastRow="1" w:firstColumn="1" w:lastColumn="0" w:noHBand="0" w:noVBand="1"/>
        <w:tblCaption w:val="Table listing details of the reulator performance framework"/>
        <w:tblDescription w:val="This table spans several pages."/>
      </w:tblPr>
      <w:tblGrid>
        <w:gridCol w:w="755"/>
        <w:gridCol w:w="4484"/>
        <w:gridCol w:w="4229"/>
        <w:gridCol w:w="1737"/>
        <w:gridCol w:w="1504"/>
        <w:gridCol w:w="8533"/>
      </w:tblGrid>
      <w:tr w:rsidR="00AF46F2" w:rsidRPr="001955A3" w14:paraId="0A760EF5" w14:textId="77777777" w:rsidTr="008B3D8C">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77" w:type="pct"/>
          </w:tcPr>
          <w:p w14:paraId="64C7C531" w14:textId="77777777" w:rsidR="00B2378E" w:rsidRPr="001955A3" w:rsidRDefault="00B2378E" w:rsidP="00B2378E">
            <w:pPr>
              <w:jc w:val="center"/>
              <w:rPr>
                <w:rFonts w:asciiTheme="minorHAnsi" w:hAnsiTheme="minorHAnsi" w:cstheme="minorHAnsi"/>
                <w:sz w:val="24"/>
                <w:szCs w:val="24"/>
              </w:rPr>
            </w:pPr>
          </w:p>
        </w:tc>
        <w:tc>
          <w:tcPr>
            <w:tcW w:w="4823" w:type="pct"/>
            <w:gridSpan w:val="5"/>
          </w:tcPr>
          <w:p w14:paraId="5EE4CC14" w14:textId="77777777" w:rsidR="00B2378E" w:rsidRPr="001955A3" w:rsidRDefault="00B2378E" w:rsidP="00B2378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955A3">
              <w:rPr>
                <w:rFonts w:asciiTheme="minorHAnsi" w:hAnsiTheme="minorHAnsi" w:cstheme="minorHAnsi"/>
                <w:sz w:val="24"/>
                <w:szCs w:val="24"/>
              </w:rPr>
              <w:t>REGULATOR PERFORMANCE FRAMEWORK</w:t>
            </w:r>
          </w:p>
        </w:tc>
      </w:tr>
      <w:tr w:rsidR="00A55AFB" w:rsidRPr="001955A3" w14:paraId="0EAF2A9D" w14:textId="77777777" w:rsidTr="008B3D8C">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77" w:type="pct"/>
          </w:tcPr>
          <w:p w14:paraId="6E2891DC" w14:textId="77777777" w:rsidR="00B2378E" w:rsidRPr="001955A3" w:rsidRDefault="00B2378E" w:rsidP="00B41938">
            <w:pPr>
              <w:rPr>
                <w:rFonts w:asciiTheme="minorHAnsi" w:hAnsiTheme="minorHAnsi" w:cstheme="minorHAnsi"/>
                <w:sz w:val="24"/>
                <w:szCs w:val="24"/>
              </w:rPr>
            </w:pPr>
            <w:r w:rsidRPr="001955A3">
              <w:rPr>
                <w:rFonts w:asciiTheme="minorHAnsi" w:hAnsiTheme="minorHAnsi" w:cstheme="minorHAnsi"/>
                <w:sz w:val="24"/>
                <w:szCs w:val="24"/>
              </w:rPr>
              <w:t>KPI</w:t>
            </w:r>
          </w:p>
        </w:tc>
        <w:tc>
          <w:tcPr>
            <w:tcW w:w="1058" w:type="pct"/>
          </w:tcPr>
          <w:p w14:paraId="2570A25B" w14:textId="77777777" w:rsidR="00B2378E" w:rsidRPr="001955A3" w:rsidRDefault="00B2378E" w:rsidP="003A58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1955A3">
              <w:rPr>
                <w:rFonts w:asciiTheme="minorHAnsi" w:hAnsiTheme="minorHAnsi" w:cstheme="minorHAnsi"/>
                <w:sz w:val="24"/>
                <w:szCs w:val="24"/>
              </w:rPr>
              <w:t>RPF MEASURE</w:t>
            </w:r>
          </w:p>
        </w:tc>
        <w:tc>
          <w:tcPr>
            <w:tcW w:w="998" w:type="pct"/>
          </w:tcPr>
          <w:p w14:paraId="6D11333B" w14:textId="77777777" w:rsidR="00B2378E" w:rsidRPr="001955A3" w:rsidRDefault="00B2378E" w:rsidP="00B419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1955A3">
              <w:rPr>
                <w:rFonts w:asciiTheme="minorHAnsi" w:hAnsiTheme="minorHAnsi" w:cstheme="minorHAnsi"/>
                <w:sz w:val="24"/>
                <w:szCs w:val="24"/>
              </w:rPr>
              <w:t>IPA MEASURE</w:t>
            </w:r>
          </w:p>
        </w:tc>
        <w:tc>
          <w:tcPr>
            <w:tcW w:w="404" w:type="pct"/>
          </w:tcPr>
          <w:p w14:paraId="47E744C9" w14:textId="77777777" w:rsidR="00B2378E" w:rsidRPr="00E96BFC" w:rsidRDefault="00B2378E" w:rsidP="00B419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E96BFC">
              <w:rPr>
                <w:rFonts w:asciiTheme="minorHAnsi" w:hAnsiTheme="minorHAnsi" w:cstheme="minorHAnsi"/>
                <w:sz w:val="20"/>
              </w:rPr>
              <w:t>OWNER</w:t>
            </w:r>
          </w:p>
        </w:tc>
        <w:tc>
          <w:tcPr>
            <w:tcW w:w="352" w:type="pct"/>
          </w:tcPr>
          <w:p w14:paraId="0E46B1A8" w14:textId="77777777" w:rsidR="00B2378E" w:rsidRPr="00E96BFC" w:rsidRDefault="00B2378E" w:rsidP="00B419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E96BFC">
              <w:rPr>
                <w:rFonts w:asciiTheme="minorHAnsi" w:hAnsiTheme="minorHAnsi" w:cstheme="minorHAnsi"/>
                <w:sz w:val="20"/>
              </w:rPr>
              <w:t>PERFORMANCE</w:t>
            </w:r>
          </w:p>
        </w:tc>
        <w:tc>
          <w:tcPr>
            <w:tcW w:w="2010" w:type="pct"/>
          </w:tcPr>
          <w:p w14:paraId="491A3D51" w14:textId="77777777" w:rsidR="00B2378E" w:rsidRPr="001955A3" w:rsidRDefault="00B2378E" w:rsidP="00B419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1955A3">
              <w:rPr>
                <w:rFonts w:asciiTheme="minorHAnsi" w:hAnsiTheme="minorHAnsi" w:cstheme="minorHAnsi"/>
                <w:sz w:val="24"/>
                <w:szCs w:val="24"/>
              </w:rPr>
              <w:t>COMMENTARY</w:t>
            </w:r>
          </w:p>
        </w:tc>
      </w:tr>
      <w:tr w:rsidR="00A55AFB" w:rsidRPr="001955A3" w14:paraId="05D825AE"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val="restart"/>
            <w:textDirection w:val="btLr"/>
          </w:tcPr>
          <w:p w14:paraId="710288DF" w14:textId="77777777" w:rsidR="00A55AFB" w:rsidRPr="001955A3" w:rsidRDefault="00A55AFB" w:rsidP="00DB4D4B">
            <w:pPr>
              <w:ind w:left="113" w:right="113"/>
              <w:jc w:val="right"/>
              <w:rPr>
                <w:rFonts w:asciiTheme="minorHAnsi" w:hAnsiTheme="minorHAnsi" w:cstheme="minorHAnsi"/>
                <w:sz w:val="24"/>
                <w:szCs w:val="24"/>
              </w:rPr>
            </w:pPr>
            <w:r w:rsidRPr="001955A3">
              <w:rPr>
                <w:rFonts w:asciiTheme="minorHAnsi" w:hAnsiTheme="minorHAnsi" w:cstheme="minorHAnsi"/>
                <w:sz w:val="24"/>
                <w:szCs w:val="24"/>
              </w:rPr>
              <w:t>KPI 1 - Do not unnecessarily impede the efficient operation of regulated entities</w:t>
            </w:r>
          </w:p>
        </w:tc>
        <w:tc>
          <w:tcPr>
            <w:tcW w:w="1058" w:type="pct"/>
          </w:tcPr>
          <w:p w14:paraId="0949C9ED" w14:textId="77777777" w:rsidR="00A55AFB" w:rsidRPr="006E59BF" w:rsidRDefault="00A55AFB" w:rsidP="003A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6E59BF">
              <w:rPr>
                <w:rFonts w:asciiTheme="minorHAnsi" w:hAnsiTheme="minorHAnsi" w:cstheme="minorHAnsi"/>
                <w:b/>
                <w:szCs w:val="22"/>
                <w:u w:val="single"/>
              </w:rPr>
              <w:t>RPF 1:</w:t>
            </w:r>
            <w:r w:rsidRPr="006E59BF">
              <w:rPr>
                <w:rFonts w:asciiTheme="minorHAnsi" w:hAnsiTheme="minorHAnsi" w:cstheme="minorHAnsi"/>
                <w:szCs w:val="22"/>
              </w:rPr>
              <w:t xml:space="preserve"> Regulators demonstrate an understanding of the operating environment of the industry or organisation, or the circumstances of individuals and the current and emerging issues that affect the sector</w:t>
            </w:r>
          </w:p>
        </w:tc>
        <w:tc>
          <w:tcPr>
            <w:tcW w:w="998" w:type="pct"/>
            <w:shd w:val="clear" w:color="auto" w:fill="auto"/>
          </w:tcPr>
          <w:p w14:paraId="6ED446C3" w14:textId="1AB596E2" w:rsidR="00A55AFB" w:rsidRPr="006E59BF" w:rsidRDefault="001955A3" w:rsidP="001955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6E59BF">
              <w:rPr>
                <w:rFonts w:asciiTheme="minorHAnsi" w:hAnsiTheme="minorHAnsi" w:cstheme="minorHAnsi"/>
                <w:szCs w:val="22"/>
              </w:rPr>
              <w:t>85%+ o</w:t>
            </w:r>
            <w:r w:rsidR="00042A8F" w:rsidRPr="006E59BF">
              <w:rPr>
                <w:rFonts w:asciiTheme="minorHAnsi" w:hAnsiTheme="minorHAnsi" w:cstheme="minorHAnsi"/>
                <w:szCs w:val="22"/>
              </w:rPr>
              <w:t>verall customer satisfaction with IP Australia as an agency</w:t>
            </w:r>
            <w:r w:rsidRPr="006E59BF">
              <w:rPr>
                <w:rFonts w:asciiTheme="minorHAnsi" w:hAnsiTheme="minorHAnsi" w:cstheme="minorHAnsi"/>
                <w:szCs w:val="22"/>
              </w:rPr>
              <w:t xml:space="preserve"> is maintained. </w:t>
            </w:r>
          </w:p>
        </w:tc>
        <w:tc>
          <w:tcPr>
            <w:tcW w:w="404" w:type="pct"/>
          </w:tcPr>
          <w:p w14:paraId="60AB937C" w14:textId="77777777" w:rsidR="00A55AFB" w:rsidRPr="00E96BFC" w:rsidRDefault="005E481F" w:rsidP="00B419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96BFC">
              <w:rPr>
                <w:rFonts w:asciiTheme="minorHAnsi" w:hAnsiTheme="minorHAnsi" w:cstheme="minorHAnsi"/>
                <w:sz w:val="20"/>
                <w:lang w:val="en"/>
              </w:rPr>
              <w:t>PEOPLE AND COMMUNICATION GROUP (P&amp;CG)</w:t>
            </w:r>
          </w:p>
        </w:tc>
        <w:tc>
          <w:tcPr>
            <w:tcW w:w="352" w:type="pct"/>
          </w:tcPr>
          <w:p w14:paraId="3145E493" w14:textId="16B13F49" w:rsidR="00A55AFB" w:rsidRPr="00E96BFC" w:rsidRDefault="00EF0BA8" w:rsidP="001955A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rPr>
            </w:pPr>
            <w:r w:rsidRPr="00E96BFC">
              <w:rPr>
                <w:rFonts w:asciiTheme="minorHAnsi" w:hAnsiTheme="minorHAnsi" w:cstheme="minorHAnsi"/>
                <w:sz w:val="20"/>
              </w:rPr>
              <w:t>Target met</w:t>
            </w:r>
          </w:p>
        </w:tc>
        <w:tc>
          <w:tcPr>
            <w:tcW w:w="2010" w:type="pct"/>
          </w:tcPr>
          <w:p w14:paraId="615E9DC9" w14:textId="4E5EE8D2" w:rsidR="001B0D75" w:rsidRPr="00DE0CFF" w:rsidRDefault="0049743C" w:rsidP="001B0D75">
            <w:pPr>
              <w:cnfStyle w:val="000000100000" w:firstRow="0" w:lastRow="0" w:firstColumn="0" w:lastColumn="0" w:oddVBand="0" w:evenVBand="0" w:oddHBand="1" w:evenHBand="0" w:firstRowFirstColumn="0" w:firstRowLastColumn="0" w:lastRowFirstColumn="0" w:lastRowLastColumn="0"/>
            </w:pPr>
            <w:r>
              <w:t>85% of customers surveyed in the annual customer satisfaction survey indicated that they were satisfied w</w:t>
            </w:r>
            <w:r w:rsidR="00DE0CFF">
              <w:t>ith IP Australia as an agency.</w:t>
            </w:r>
          </w:p>
        </w:tc>
      </w:tr>
      <w:tr w:rsidR="00A55AFB" w:rsidRPr="001955A3" w14:paraId="5FEB420D"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extDirection w:val="btLr"/>
          </w:tcPr>
          <w:p w14:paraId="502A28C6" w14:textId="77777777" w:rsidR="00A55AFB" w:rsidRPr="001955A3" w:rsidRDefault="00A55AFB" w:rsidP="00B41938">
            <w:pPr>
              <w:ind w:left="113" w:right="113"/>
              <w:rPr>
                <w:rFonts w:asciiTheme="minorHAnsi" w:hAnsiTheme="minorHAnsi" w:cstheme="minorHAnsi"/>
                <w:sz w:val="24"/>
                <w:szCs w:val="24"/>
              </w:rPr>
            </w:pPr>
          </w:p>
        </w:tc>
        <w:tc>
          <w:tcPr>
            <w:tcW w:w="1058" w:type="pct"/>
            <w:vMerge w:val="restart"/>
          </w:tcPr>
          <w:p w14:paraId="7C6B2658" w14:textId="77777777" w:rsidR="00A55AFB" w:rsidRPr="006E59BF" w:rsidRDefault="00A55AFB" w:rsidP="00B2378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2:</w:t>
            </w:r>
            <w:r w:rsidRPr="006E59BF">
              <w:rPr>
                <w:rFonts w:asciiTheme="minorHAnsi" w:hAnsiTheme="minorHAnsi" w:cstheme="minorHAnsi"/>
                <w:szCs w:val="22"/>
                <w:lang w:val="en"/>
              </w:rPr>
              <w:t xml:space="preserve"> Regulators take actions to minimise the potential for unintended negative impacts of regulatory activities on regulated entities or affected supplier industries and supply chains</w:t>
            </w:r>
          </w:p>
        </w:tc>
        <w:tc>
          <w:tcPr>
            <w:tcW w:w="998" w:type="pct"/>
          </w:tcPr>
          <w:p w14:paraId="35AAE5D2" w14:textId="77777777" w:rsidR="00A55AFB" w:rsidRPr="006E59BF" w:rsidRDefault="00A55AF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85% of applications for standard patents will be examined and a first report issued within 12 months of receiving the request for examination.</w:t>
            </w:r>
          </w:p>
        </w:tc>
        <w:tc>
          <w:tcPr>
            <w:tcW w:w="404" w:type="pct"/>
          </w:tcPr>
          <w:p w14:paraId="783F79D5" w14:textId="77777777" w:rsidR="00A55AFB" w:rsidRPr="00E96BFC" w:rsidRDefault="00A55AFB" w:rsidP="003A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PATENTS</w:t>
            </w:r>
          </w:p>
        </w:tc>
        <w:tc>
          <w:tcPr>
            <w:tcW w:w="352" w:type="pct"/>
          </w:tcPr>
          <w:p w14:paraId="3631EAB3" w14:textId="7C03B5AC" w:rsidR="00A55AFB" w:rsidRPr="00E96BFC" w:rsidRDefault="00C64DD1" w:rsidP="004974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w:t>
            </w:r>
            <w:r w:rsidR="0049743C" w:rsidRPr="00E96BFC">
              <w:rPr>
                <w:rFonts w:asciiTheme="minorHAnsi" w:hAnsiTheme="minorHAnsi" w:cstheme="minorHAnsi"/>
                <w:sz w:val="20"/>
              </w:rPr>
              <w:t>t</w:t>
            </w:r>
          </w:p>
        </w:tc>
        <w:tc>
          <w:tcPr>
            <w:tcW w:w="2010" w:type="pct"/>
          </w:tcPr>
          <w:p w14:paraId="4AF2CE90" w14:textId="738FCF23" w:rsidR="00D11509" w:rsidRPr="009C45AC" w:rsidRDefault="0049743C" w:rsidP="001B0D75">
            <w:pPr>
              <w:cnfStyle w:val="000000000000" w:firstRow="0" w:lastRow="0" w:firstColumn="0" w:lastColumn="0" w:oddVBand="0" w:evenVBand="0" w:oddHBand="0" w:evenHBand="0" w:firstRowFirstColumn="0" w:firstRowLastColumn="0" w:lastRowFirstColumn="0" w:lastRowLastColumn="0"/>
            </w:pPr>
            <w:r w:rsidRPr="009C45AC">
              <w:t>87</w:t>
            </w:r>
            <w:r w:rsidR="00D11509" w:rsidRPr="009C45AC">
              <w:t xml:space="preserve">% of standard patent applications were examined and a first report </w:t>
            </w:r>
            <w:r w:rsidR="001B0D75" w:rsidRPr="009C45AC">
              <w:t xml:space="preserve">issued </w:t>
            </w:r>
            <w:r w:rsidR="00D11509" w:rsidRPr="009C45AC">
              <w:t>within 12 months of receiving the request for examination.</w:t>
            </w:r>
          </w:p>
        </w:tc>
      </w:tr>
      <w:tr w:rsidR="00A55AFB" w:rsidRPr="001955A3" w14:paraId="6F0DE3C1"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5F51E176" w14:textId="77777777"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vMerge/>
          </w:tcPr>
          <w:p w14:paraId="6343458E" w14:textId="77777777" w:rsidR="00A55AFB" w:rsidRPr="006E59BF" w:rsidRDefault="00A55AF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p>
        </w:tc>
        <w:tc>
          <w:tcPr>
            <w:tcW w:w="998" w:type="pct"/>
          </w:tcPr>
          <w:p w14:paraId="26D042B0" w14:textId="77777777" w:rsidR="00A55AFB" w:rsidRPr="006E59BF" w:rsidRDefault="00A55AF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85% of plant breeder's rights applications will have initial examinations conducted within eight weeks of receiving the application.</w:t>
            </w:r>
          </w:p>
        </w:tc>
        <w:tc>
          <w:tcPr>
            <w:tcW w:w="404" w:type="pct"/>
          </w:tcPr>
          <w:p w14:paraId="1E9B1535" w14:textId="77777777" w:rsidR="00A55AFB" w:rsidRPr="00E96BFC" w:rsidRDefault="00A55AFB" w:rsidP="003A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PLANT BREEDER</w:t>
            </w:r>
            <w:r w:rsidR="00DC16FC" w:rsidRPr="00E96BFC">
              <w:rPr>
                <w:rFonts w:asciiTheme="minorHAnsi" w:hAnsiTheme="minorHAnsi" w:cstheme="minorHAnsi"/>
                <w:sz w:val="20"/>
                <w:lang w:val="en"/>
              </w:rPr>
              <w:t>’</w:t>
            </w:r>
            <w:r w:rsidRPr="00E96BFC">
              <w:rPr>
                <w:rFonts w:asciiTheme="minorHAnsi" w:hAnsiTheme="minorHAnsi" w:cstheme="minorHAnsi"/>
                <w:sz w:val="20"/>
                <w:lang w:val="en"/>
              </w:rPr>
              <w:t>S RIGHTS (PBR)</w:t>
            </w:r>
          </w:p>
        </w:tc>
        <w:tc>
          <w:tcPr>
            <w:tcW w:w="352" w:type="pct"/>
          </w:tcPr>
          <w:p w14:paraId="3E895FBB" w14:textId="6525CBDA" w:rsidR="00A55AFB" w:rsidRPr="00E96BFC" w:rsidRDefault="00C64DD1" w:rsidP="004974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372A5BBB" w14:textId="56D9307B" w:rsidR="00A55AFB" w:rsidRPr="009C45AC" w:rsidRDefault="0049743C" w:rsidP="00DB4D4B">
            <w:pPr>
              <w:cnfStyle w:val="000000100000" w:firstRow="0" w:lastRow="0" w:firstColumn="0" w:lastColumn="0" w:oddVBand="0" w:evenVBand="0" w:oddHBand="1" w:evenHBand="0" w:firstRowFirstColumn="0" w:firstRowLastColumn="0" w:lastRowFirstColumn="0" w:lastRowLastColumn="0"/>
            </w:pPr>
            <w:r w:rsidRPr="009C45AC">
              <w:t>100</w:t>
            </w:r>
            <w:r w:rsidR="001B0D75" w:rsidRPr="009C45AC">
              <w:t>% of plant breeder’s rights applications were examined within eight weeks of receiving the application.</w:t>
            </w:r>
          </w:p>
        </w:tc>
      </w:tr>
      <w:tr w:rsidR="00A55AFB" w:rsidRPr="001955A3" w14:paraId="1D5CECD3"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02E7669E" w14:textId="77777777"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vMerge/>
          </w:tcPr>
          <w:p w14:paraId="0258667C" w14:textId="77777777" w:rsidR="00A55AFB" w:rsidRPr="006E59BF" w:rsidRDefault="00A55AF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p>
        </w:tc>
        <w:tc>
          <w:tcPr>
            <w:tcW w:w="998" w:type="pct"/>
          </w:tcPr>
          <w:p w14:paraId="14606789" w14:textId="77777777" w:rsidR="00A55AFB" w:rsidRPr="006E59BF" w:rsidRDefault="00A55AF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85% trade mark applications will be examined and issued with a report within 13 weeks of receiving the application.</w:t>
            </w:r>
          </w:p>
        </w:tc>
        <w:tc>
          <w:tcPr>
            <w:tcW w:w="404" w:type="pct"/>
          </w:tcPr>
          <w:p w14:paraId="5170BDFE" w14:textId="77777777" w:rsidR="00A55AFB" w:rsidRPr="00E96BFC" w:rsidRDefault="00A55AFB" w:rsidP="003A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TRADE MARKS (TM)</w:t>
            </w:r>
          </w:p>
        </w:tc>
        <w:tc>
          <w:tcPr>
            <w:tcW w:w="352" w:type="pct"/>
          </w:tcPr>
          <w:p w14:paraId="6D359993" w14:textId="7D2B56EE" w:rsidR="00A55AFB" w:rsidRPr="00E96BFC" w:rsidRDefault="00C64DD1" w:rsidP="003A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not met</w:t>
            </w:r>
          </w:p>
        </w:tc>
        <w:tc>
          <w:tcPr>
            <w:tcW w:w="2010" w:type="pct"/>
          </w:tcPr>
          <w:p w14:paraId="3C517E09" w14:textId="3853AD47" w:rsidR="00A55AFB" w:rsidRPr="009C45AC" w:rsidRDefault="0049743C" w:rsidP="001B0D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9C45AC">
              <w:rPr>
                <w:rFonts w:asciiTheme="minorHAnsi" w:hAnsiTheme="minorHAnsi" w:cstheme="minorHAnsi"/>
                <w:szCs w:val="22"/>
                <w:lang w:val="en"/>
              </w:rPr>
              <w:t>48% of examination reports were examined and issued within 13 weeks. The backlog of trade mark applications continues to remain higher than anticipated. Mitigation strategies such as overtime and forward recruitment remain in place. The decrease in compliance is anticipated to continue through 2018–19. Customers have been notified of this delay through various communication channels.</w:t>
            </w:r>
          </w:p>
        </w:tc>
      </w:tr>
      <w:tr w:rsidR="00A55AFB" w:rsidRPr="001955A3" w14:paraId="3AEBD831"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10F60E0E" w14:textId="77777777"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vMerge/>
          </w:tcPr>
          <w:p w14:paraId="4A85F9CA" w14:textId="77777777" w:rsidR="00A55AFB" w:rsidRPr="006E59BF" w:rsidRDefault="00A55AF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p>
        </w:tc>
        <w:tc>
          <w:tcPr>
            <w:tcW w:w="998" w:type="pct"/>
          </w:tcPr>
          <w:p w14:paraId="10CC97E6" w14:textId="77777777" w:rsidR="00A55AFB" w:rsidRPr="006E59BF" w:rsidRDefault="00A55AF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85% of registered designs will be examined and issued with a report within 13 weeks of receiving the request for examination.</w:t>
            </w:r>
          </w:p>
        </w:tc>
        <w:tc>
          <w:tcPr>
            <w:tcW w:w="404" w:type="pct"/>
          </w:tcPr>
          <w:p w14:paraId="13EBFA0B" w14:textId="77777777" w:rsidR="00A55AFB" w:rsidRPr="00E96BFC" w:rsidRDefault="00A55AFB" w:rsidP="003A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DESIGNS</w:t>
            </w:r>
          </w:p>
        </w:tc>
        <w:tc>
          <w:tcPr>
            <w:tcW w:w="352" w:type="pct"/>
          </w:tcPr>
          <w:p w14:paraId="5EE44745" w14:textId="3B41A4E8" w:rsidR="00A55AFB" w:rsidRPr="00E96BFC" w:rsidRDefault="00C64DD1" w:rsidP="004974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67657950" w14:textId="3054AB70" w:rsidR="00A55AFB" w:rsidRPr="009C45AC" w:rsidRDefault="0049743C" w:rsidP="003A5801">
            <w:pPr>
              <w:spacing w:before="60" w:after="60"/>
              <w:cnfStyle w:val="000000100000" w:firstRow="0" w:lastRow="0" w:firstColumn="0" w:lastColumn="0" w:oddVBand="0" w:evenVBand="0" w:oddHBand="1" w:evenHBand="0" w:firstRowFirstColumn="0" w:firstRowLastColumn="0" w:lastRowFirstColumn="0" w:lastRowLastColumn="0"/>
              <w:rPr>
                <w:szCs w:val="22"/>
              </w:rPr>
            </w:pPr>
            <w:r w:rsidRPr="009C45AC">
              <w:rPr>
                <w:rFonts w:asciiTheme="minorHAnsi" w:hAnsiTheme="minorHAnsi" w:cstheme="minorHAnsi"/>
                <w:szCs w:val="22"/>
                <w:lang w:val="en"/>
              </w:rPr>
              <w:t>95.6</w:t>
            </w:r>
            <w:r w:rsidR="001B0D75" w:rsidRPr="009C45AC">
              <w:rPr>
                <w:rFonts w:asciiTheme="minorHAnsi" w:hAnsiTheme="minorHAnsi" w:cstheme="minorHAnsi"/>
                <w:szCs w:val="22"/>
                <w:lang w:val="en"/>
              </w:rPr>
              <w:t xml:space="preserve">% of registered designs were examined and a report issued within 13 weeks of receiving the request for examination. </w:t>
            </w:r>
          </w:p>
        </w:tc>
      </w:tr>
      <w:tr w:rsidR="00A55AFB" w:rsidRPr="001955A3" w14:paraId="7BC4B77B"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04D19962" w14:textId="77777777"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vMerge/>
          </w:tcPr>
          <w:p w14:paraId="77F60650" w14:textId="77777777" w:rsidR="00A55AFB" w:rsidRPr="006E59BF" w:rsidRDefault="00A55AF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p>
        </w:tc>
        <w:tc>
          <w:tcPr>
            <w:tcW w:w="998" w:type="pct"/>
          </w:tcPr>
          <w:p w14:paraId="345D105E" w14:textId="77777777" w:rsidR="00A55AFB" w:rsidRPr="006E59BF" w:rsidRDefault="00A55AF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Give at least 12 weeks’ notice before implementing a change in fees or introducing major new fees</w:t>
            </w:r>
          </w:p>
        </w:tc>
        <w:tc>
          <w:tcPr>
            <w:tcW w:w="404" w:type="pct"/>
          </w:tcPr>
          <w:p w14:paraId="7149AFCD" w14:textId="480CCDC8" w:rsidR="00A55AFB" w:rsidRPr="00E96BFC" w:rsidRDefault="00A55AFB" w:rsidP="004974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FINANCE</w:t>
            </w:r>
            <w:r w:rsidR="0049743C" w:rsidRPr="00E96BFC">
              <w:rPr>
                <w:rFonts w:asciiTheme="minorHAnsi" w:hAnsiTheme="minorHAnsi" w:cstheme="minorHAnsi"/>
                <w:sz w:val="20"/>
                <w:lang w:val="en"/>
              </w:rPr>
              <w:t xml:space="preserve"> AND BUSINESS SERVICES GROUP (FBSG)</w:t>
            </w:r>
          </w:p>
        </w:tc>
        <w:tc>
          <w:tcPr>
            <w:tcW w:w="352" w:type="pct"/>
          </w:tcPr>
          <w:p w14:paraId="32EA3A84" w14:textId="58A8E36D" w:rsidR="00A55AFB" w:rsidRPr="00E96BFC" w:rsidRDefault="0049743C" w:rsidP="003A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N/A</w:t>
            </w:r>
          </w:p>
        </w:tc>
        <w:tc>
          <w:tcPr>
            <w:tcW w:w="2010" w:type="pct"/>
          </w:tcPr>
          <w:p w14:paraId="5ED3BB49" w14:textId="20172C6E" w:rsidR="00A55AFB" w:rsidRPr="009C45AC" w:rsidRDefault="0049743C" w:rsidP="001B0D7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9C45AC">
              <w:rPr>
                <w:rFonts w:asciiTheme="minorHAnsi" w:hAnsiTheme="minorHAnsi" w:cstheme="minorHAnsi"/>
                <w:szCs w:val="22"/>
                <w:lang w:val="en"/>
              </w:rPr>
              <w:t>No changes to fees or introduction of major new fees occurred in 2017</w:t>
            </w:r>
            <w:r w:rsidRPr="009C45AC">
              <w:rPr>
                <w:rFonts w:asciiTheme="minorHAnsi" w:hAnsiTheme="minorHAnsi" w:cstheme="minorHAnsi"/>
                <w:szCs w:val="22"/>
                <w:lang w:val="en"/>
              </w:rPr>
              <w:noBreakHyphen/>
              <w:t>18</w:t>
            </w:r>
          </w:p>
        </w:tc>
      </w:tr>
      <w:tr w:rsidR="00EF0BA8" w:rsidRPr="001955A3" w14:paraId="4D4C0CEF"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44BFF354" w14:textId="77777777" w:rsidR="00EF0BA8" w:rsidRPr="001955A3" w:rsidRDefault="00EF0BA8" w:rsidP="003A5801">
            <w:pPr>
              <w:spacing w:after="0"/>
              <w:rPr>
                <w:rFonts w:asciiTheme="minorHAnsi" w:hAnsiTheme="minorHAnsi" w:cstheme="minorHAnsi"/>
                <w:sz w:val="24"/>
                <w:szCs w:val="24"/>
                <w:lang w:val="en"/>
              </w:rPr>
            </w:pPr>
          </w:p>
        </w:tc>
        <w:tc>
          <w:tcPr>
            <w:tcW w:w="1058" w:type="pct"/>
            <w:vMerge/>
          </w:tcPr>
          <w:p w14:paraId="12E6AAEB" w14:textId="77777777" w:rsidR="00EF0BA8" w:rsidRPr="006E59BF" w:rsidRDefault="00EF0BA8" w:rsidP="003A580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p>
        </w:tc>
        <w:tc>
          <w:tcPr>
            <w:tcW w:w="998" w:type="pct"/>
          </w:tcPr>
          <w:p w14:paraId="3637C533" w14:textId="77777777" w:rsidR="00EF0BA8" w:rsidRPr="006E59BF" w:rsidRDefault="00EF0BA8" w:rsidP="003A580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Tier 1 -  93.5% of search and research is correct</w:t>
            </w:r>
          </w:p>
        </w:tc>
        <w:tc>
          <w:tcPr>
            <w:tcW w:w="404" w:type="pct"/>
          </w:tcPr>
          <w:p w14:paraId="1495087A" w14:textId="77777777" w:rsidR="00EF0BA8" w:rsidRPr="00E96BFC" w:rsidRDefault="00EF0BA8" w:rsidP="003A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IP RIGHTS</w:t>
            </w:r>
          </w:p>
        </w:tc>
        <w:tc>
          <w:tcPr>
            <w:tcW w:w="352" w:type="pct"/>
          </w:tcPr>
          <w:p w14:paraId="3472E6B8" w14:textId="23C14FA5" w:rsidR="00EF0BA8" w:rsidRPr="00E96BFC" w:rsidRDefault="00C64DD1" w:rsidP="007719D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3709F5BD" w14:textId="77777777" w:rsidR="00EF0BA8" w:rsidRPr="009C45AC" w:rsidRDefault="00EF0BA8" w:rsidP="00B41938">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Compliance was met across IP Rights for FY 201</w:t>
            </w:r>
            <w:r w:rsidR="004015D3" w:rsidRPr="009C45AC">
              <w:rPr>
                <w:rFonts w:asciiTheme="minorHAnsi" w:hAnsiTheme="minorHAnsi" w:cstheme="minorHAnsi"/>
                <w:color w:val="auto"/>
                <w:sz w:val="22"/>
                <w:szCs w:val="22"/>
              </w:rPr>
              <w:t>7</w:t>
            </w:r>
            <w:r w:rsidRPr="009C45AC">
              <w:rPr>
                <w:rFonts w:asciiTheme="minorHAnsi" w:hAnsiTheme="minorHAnsi" w:cstheme="minorHAnsi"/>
                <w:color w:val="auto"/>
                <w:sz w:val="22"/>
                <w:szCs w:val="22"/>
              </w:rPr>
              <w:noBreakHyphen/>
              <w:t>1</w:t>
            </w:r>
            <w:r w:rsidR="004015D3" w:rsidRPr="009C45AC">
              <w:rPr>
                <w:rFonts w:asciiTheme="minorHAnsi" w:hAnsiTheme="minorHAnsi" w:cstheme="minorHAnsi"/>
                <w:color w:val="auto"/>
                <w:sz w:val="22"/>
                <w:szCs w:val="22"/>
              </w:rPr>
              <w:t>8</w:t>
            </w:r>
            <w:r w:rsidRPr="009C45AC">
              <w:rPr>
                <w:rFonts w:asciiTheme="minorHAnsi" w:hAnsiTheme="minorHAnsi" w:cstheme="minorHAnsi"/>
                <w:color w:val="auto"/>
                <w:sz w:val="22"/>
                <w:szCs w:val="22"/>
              </w:rPr>
              <w:t xml:space="preserve"> as follows: </w:t>
            </w:r>
          </w:p>
          <w:p w14:paraId="142525C9" w14:textId="2BF38DFB" w:rsidR="00EF0BA8" w:rsidRPr="009C45AC" w:rsidRDefault="00EF0BA8" w:rsidP="00B41938">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Patents – </w:t>
            </w:r>
            <w:r w:rsidR="007719DF" w:rsidRPr="009C45AC">
              <w:rPr>
                <w:rFonts w:asciiTheme="minorHAnsi" w:hAnsiTheme="minorHAnsi" w:cstheme="minorHAnsi"/>
                <w:color w:val="auto"/>
                <w:sz w:val="22"/>
                <w:szCs w:val="22"/>
              </w:rPr>
              <w:t>96.2%</w:t>
            </w:r>
          </w:p>
          <w:p w14:paraId="66F64CC7" w14:textId="61453903" w:rsidR="007719DF" w:rsidRPr="009C45AC" w:rsidRDefault="007719DF" w:rsidP="00B41938">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PBR – 100%</w:t>
            </w:r>
          </w:p>
          <w:p w14:paraId="7027467D" w14:textId="11EC4F07" w:rsidR="00EF0BA8" w:rsidRPr="009C45AC" w:rsidRDefault="007719DF" w:rsidP="00B41938">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TM – 93.9%</w:t>
            </w:r>
          </w:p>
          <w:p w14:paraId="733EDA5D" w14:textId="33A0C1C7" w:rsidR="00EF0BA8" w:rsidRPr="009C45AC" w:rsidRDefault="007719DF" w:rsidP="007719DF">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Designs – 100%</w:t>
            </w:r>
          </w:p>
        </w:tc>
      </w:tr>
      <w:tr w:rsidR="00EF0BA8" w:rsidRPr="001955A3" w14:paraId="55DC1C74"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7998FD12" w14:textId="77777777" w:rsidR="00EF0BA8" w:rsidRPr="001955A3" w:rsidRDefault="00EF0BA8" w:rsidP="003A5801">
            <w:pPr>
              <w:spacing w:after="0"/>
              <w:rPr>
                <w:rFonts w:asciiTheme="minorHAnsi" w:hAnsiTheme="minorHAnsi" w:cstheme="minorHAnsi"/>
                <w:sz w:val="24"/>
                <w:szCs w:val="24"/>
                <w:lang w:val="en"/>
              </w:rPr>
            </w:pPr>
          </w:p>
        </w:tc>
        <w:tc>
          <w:tcPr>
            <w:tcW w:w="1058" w:type="pct"/>
            <w:vMerge/>
          </w:tcPr>
          <w:p w14:paraId="7D3189FB" w14:textId="77777777" w:rsidR="00EF0BA8" w:rsidRPr="006E59BF" w:rsidRDefault="00EF0BA8" w:rsidP="003A58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p>
        </w:tc>
        <w:tc>
          <w:tcPr>
            <w:tcW w:w="998" w:type="pct"/>
          </w:tcPr>
          <w:p w14:paraId="7087587E" w14:textId="77777777" w:rsidR="00EF0BA8" w:rsidRPr="006E59BF" w:rsidRDefault="00EF0BA8" w:rsidP="003A58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Tier 2 – 90% of reports are comprehensive and informative and free of invalid objections / considerations</w:t>
            </w:r>
          </w:p>
        </w:tc>
        <w:tc>
          <w:tcPr>
            <w:tcW w:w="404" w:type="pct"/>
          </w:tcPr>
          <w:p w14:paraId="135AD2C9" w14:textId="77777777" w:rsidR="00EF0BA8" w:rsidRPr="00E96BFC" w:rsidRDefault="00EF0BA8" w:rsidP="003A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IP RIGHTS</w:t>
            </w:r>
          </w:p>
        </w:tc>
        <w:tc>
          <w:tcPr>
            <w:tcW w:w="352" w:type="pct"/>
          </w:tcPr>
          <w:p w14:paraId="1E5529FC" w14:textId="59793932" w:rsidR="00EF0BA8" w:rsidRPr="00E96BFC" w:rsidRDefault="00C64DD1" w:rsidP="007719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44386E88" w14:textId="77777777" w:rsidR="00EF0BA8" w:rsidRPr="009C45AC" w:rsidRDefault="00EF0BA8" w:rsidP="00B41938">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 xml:space="preserve">Compliance was met across all IP Rights for FY </w:t>
            </w:r>
            <w:r w:rsidR="004015D3" w:rsidRPr="009C45AC">
              <w:rPr>
                <w:rFonts w:asciiTheme="minorHAnsi" w:hAnsiTheme="minorHAnsi" w:cstheme="minorHAnsi"/>
                <w:color w:val="auto"/>
                <w:sz w:val="22"/>
                <w:szCs w:val="22"/>
              </w:rPr>
              <w:t>2017</w:t>
            </w:r>
            <w:r w:rsidR="004015D3" w:rsidRPr="009C45AC">
              <w:rPr>
                <w:rFonts w:asciiTheme="minorHAnsi" w:hAnsiTheme="minorHAnsi" w:cstheme="minorHAnsi"/>
                <w:color w:val="auto"/>
                <w:sz w:val="22"/>
                <w:szCs w:val="22"/>
              </w:rPr>
              <w:noBreakHyphen/>
              <w:t xml:space="preserve">18 </w:t>
            </w:r>
            <w:r w:rsidRPr="009C45AC">
              <w:rPr>
                <w:rFonts w:asciiTheme="minorHAnsi" w:hAnsiTheme="minorHAnsi" w:cstheme="minorHAnsi"/>
                <w:color w:val="auto"/>
                <w:sz w:val="22"/>
                <w:szCs w:val="22"/>
                <w:lang w:val="en" w:eastAsia="en-AU"/>
              </w:rPr>
              <w:t xml:space="preserve">as follows: </w:t>
            </w:r>
          </w:p>
          <w:p w14:paraId="43F523E8" w14:textId="015C88DB" w:rsidR="00EF0BA8" w:rsidRPr="009C45AC" w:rsidRDefault="00EF0BA8" w:rsidP="00B41938">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Patents – </w:t>
            </w:r>
            <w:r w:rsidR="007719DF" w:rsidRPr="009C45AC">
              <w:rPr>
                <w:rFonts w:asciiTheme="minorHAnsi" w:hAnsiTheme="minorHAnsi" w:cstheme="minorHAnsi"/>
                <w:color w:val="auto"/>
                <w:sz w:val="22"/>
                <w:szCs w:val="22"/>
              </w:rPr>
              <w:t>96%</w:t>
            </w:r>
          </w:p>
          <w:p w14:paraId="2E6F6694" w14:textId="7F3BCB83" w:rsidR="00EF0BA8" w:rsidRPr="009C45AC" w:rsidRDefault="007719DF" w:rsidP="00B41938">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PBR – 100%</w:t>
            </w:r>
          </w:p>
          <w:p w14:paraId="02BF19CE" w14:textId="385850A5" w:rsidR="00EF0BA8" w:rsidRPr="009C45AC" w:rsidRDefault="007719DF" w:rsidP="00B41938">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TM – 95</w:t>
            </w:r>
            <w:r w:rsidR="00EF0BA8" w:rsidRPr="009C45AC">
              <w:rPr>
                <w:rFonts w:asciiTheme="minorHAnsi" w:hAnsiTheme="minorHAnsi" w:cstheme="minorHAnsi"/>
                <w:color w:val="auto"/>
                <w:sz w:val="22"/>
                <w:szCs w:val="22"/>
              </w:rPr>
              <w:t xml:space="preserve">% </w:t>
            </w:r>
          </w:p>
          <w:p w14:paraId="784DA5BC" w14:textId="114DBDCB" w:rsidR="00EF0BA8" w:rsidRPr="009C45AC" w:rsidRDefault="007719DF" w:rsidP="00EF0BA8">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Designs – 92</w:t>
            </w:r>
            <w:r w:rsidR="00EF0BA8" w:rsidRPr="009C45AC">
              <w:rPr>
                <w:rFonts w:asciiTheme="minorHAnsi" w:hAnsiTheme="minorHAnsi" w:cstheme="minorHAnsi"/>
                <w:color w:val="auto"/>
                <w:sz w:val="22"/>
                <w:szCs w:val="22"/>
              </w:rPr>
              <w:t xml:space="preserve">% </w:t>
            </w:r>
          </w:p>
        </w:tc>
      </w:tr>
      <w:tr w:rsidR="00EF0BA8" w:rsidRPr="001955A3" w14:paraId="1ED32CE4"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783C61FB" w14:textId="77777777" w:rsidR="00EF0BA8" w:rsidRPr="001955A3" w:rsidRDefault="00EF0BA8" w:rsidP="003A5801">
            <w:pPr>
              <w:autoSpaceDE w:val="0"/>
              <w:autoSpaceDN w:val="0"/>
              <w:adjustRightInd w:val="0"/>
              <w:spacing w:after="0"/>
              <w:rPr>
                <w:rFonts w:asciiTheme="minorHAnsi" w:hAnsiTheme="minorHAnsi" w:cstheme="minorHAnsi"/>
                <w:sz w:val="24"/>
                <w:szCs w:val="24"/>
                <w:lang w:val="en"/>
              </w:rPr>
            </w:pPr>
          </w:p>
        </w:tc>
        <w:tc>
          <w:tcPr>
            <w:tcW w:w="1058" w:type="pct"/>
            <w:vMerge/>
          </w:tcPr>
          <w:p w14:paraId="3F87E434" w14:textId="77777777" w:rsidR="00EF0BA8" w:rsidRPr="006E59BF" w:rsidRDefault="00EF0BA8"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p>
        </w:tc>
        <w:tc>
          <w:tcPr>
            <w:tcW w:w="998" w:type="pct"/>
          </w:tcPr>
          <w:p w14:paraId="5B4A68D8" w14:textId="77777777" w:rsidR="00EF0BA8" w:rsidRPr="006E59BF" w:rsidRDefault="00EF0BA8"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Tier 3 – 85% of written formalities are complete and correct</w:t>
            </w:r>
          </w:p>
        </w:tc>
        <w:tc>
          <w:tcPr>
            <w:tcW w:w="404" w:type="pct"/>
          </w:tcPr>
          <w:p w14:paraId="50A50B06" w14:textId="77777777" w:rsidR="00EF0BA8" w:rsidRPr="00E96BFC" w:rsidRDefault="00EF0BA8" w:rsidP="003A58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IP RIGHTS</w:t>
            </w:r>
          </w:p>
        </w:tc>
        <w:tc>
          <w:tcPr>
            <w:tcW w:w="352" w:type="pct"/>
          </w:tcPr>
          <w:p w14:paraId="66A4B5E0" w14:textId="37A92359" w:rsidR="00EF0BA8" w:rsidRPr="00E96BFC" w:rsidRDefault="00C64DD1" w:rsidP="007719D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57E24444" w14:textId="77777777" w:rsidR="00EF0BA8" w:rsidRPr="009C45AC" w:rsidRDefault="00EF0BA8" w:rsidP="00B41938">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 xml:space="preserve">Compliance was met across all IP Rights for FY </w:t>
            </w:r>
            <w:r w:rsidR="004015D3" w:rsidRPr="009C45AC">
              <w:rPr>
                <w:rFonts w:asciiTheme="minorHAnsi" w:hAnsiTheme="minorHAnsi" w:cstheme="minorHAnsi"/>
                <w:color w:val="auto"/>
                <w:sz w:val="22"/>
                <w:szCs w:val="22"/>
              </w:rPr>
              <w:t>2017</w:t>
            </w:r>
            <w:r w:rsidR="004015D3" w:rsidRPr="009C45AC">
              <w:rPr>
                <w:rFonts w:asciiTheme="minorHAnsi" w:hAnsiTheme="minorHAnsi" w:cstheme="minorHAnsi"/>
                <w:color w:val="auto"/>
                <w:sz w:val="22"/>
                <w:szCs w:val="22"/>
              </w:rPr>
              <w:noBreakHyphen/>
              <w:t xml:space="preserve">18 </w:t>
            </w:r>
            <w:r w:rsidRPr="009C45AC">
              <w:rPr>
                <w:rFonts w:asciiTheme="minorHAnsi" w:hAnsiTheme="minorHAnsi" w:cstheme="minorHAnsi"/>
                <w:color w:val="auto"/>
                <w:sz w:val="22"/>
                <w:szCs w:val="22"/>
                <w:lang w:val="en" w:eastAsia="en-AU"/>
              </w:rPr>
              <w:t xml:space="preserve">as follows: </w:t>
            </w:r>
          </w:p>
          <w:p w14:paraId="1E61C224" w14:textId="45F11595" w:rsidR="00EF0BA8" w:rsidRPr="009C45AC" w:rsidRDefault="00EF0BA8" w:rsidP="00B41938">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Patents – </w:t>
            </w:r>
            <w:r w:rsidR="007719DF" w:rsidRPr="009C45AC">
              <w:rPr>
                <w:rFonts w:asciiTheme="minorHAnsi" w:hAnsiTheme="minorHAnsi" w:cstheme="minorHAnsi"/>
                <w:color w:val="auto"/>
                <w:sz w:val="22"/>
                <w:szCs w:val="22"/>
              </w:rPr>
              <w:t>86%</w:t>
            </w:r>
          </w:p>
          <w:p w14:paraId="2761A5F6" w14:textId="7B9EBD1D" w:rsidR="00EF0BA8" w:rsidRPr="009C45AC" w:rsidRDefault="007719DF" w:rsidP="00B41938">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PBR – 100%</w:t>
            </w:r>
          </w:p>
          <w:p w14:paraId="6828A1C3" w14:textId="41B5F8C0" w:rsidR="00EF0BA8" w:rsidRPr="009C45AC" w:rsidRDefault="007719DF" w:rsidP="00B41938">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lastRenderedPageBreak/>
              <w:t>TM – 96%</w:t>
            </w:r>
          </w:p>
          <w:p w14:paraId="79D2960B" w14:textId="76FA99A2" w:rsidR="00EF0BA8" w:rsidRPr="009C45AC" w:rsidRDefault="007719DF" w:rsidP="00EF0BA8">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Designs – 92%</w:t>
            </w:r>
          </w:p>
        </w:tc>
      </w:tr>
      <w:tr w:rsidR="00A55AFB" w:rsidRPr="001955A3" w14:paraId="4701ADF1"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266DFB46" w14:textId="77777777"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tcPr>
          <w:p w14:paraId="644D7B1A" w14:textId="77777777" w:rsidR="00A55AFB" w:rsidRPr="006E59BF" w:rsidRDefault="00A55AFB" w:rsidP="00F1443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RPF3:</w:t>
            </w:r>
            <w:r w:rsidRPr="006E59BF">
              <w:rPr>
                <w:rFonts w:asciiTheme="minorHAnsi" w:hAnsiTheme="minorHAnsi" w:cstheme="minorHAnsi"/>
                <w:szCs w:val="22"/>
                <w:lang w:val="en"/>
              </w:rPr>
              <w:t xml:space="preserve"> Regulators implement continuous improvement strategies to reduce the cost of compliance for those they regulate. </w:t>
            </w:r>
          </w:p>
        </w:tc>
        <w:tc>
          <w:tcPr>
            <w:tcW w:w="998" w:type="pct"/>
          </w:tcPr>
          <w:p w14:paraId="2A534858" w14:textId="77777777" w:rsidR="00A55AFB" w:rsidRPr="006E59BF" w:rsidRDefault="00A55AFB" w:rsidP="00B41938">
            <w:pPr>
              <w:cnfStyle w:val="000000000000" w:firstRow="0" w:lastRow="0" w:firstColumn="0" w:lastColumn="0" w:oddVBand="0" w:evenVBand="0" w:oddHBand="0" w:evenHBand="0" w:firstRowFirstColumn="0" w:firstRowLastColumn="0" w:lastRowFirstColumn="0" w:lastRowLastColumn="0"/>
              <w:rPr>
                <w:b/>
                <w:szCs w:val="22"/>
              </w:rPr>
            </w:pPr>
            <w:r w:rsidRPr="006E59BF">
              <w:rPr>
                <w:rFonts w:asciiTheme="minorHAnsi" w:hAnsiTheme="minorHAnsi" w:cstheme="minorHAnsi"/>
                <w:szCs w:val="22"/>
                <w:lang w:val="en"/>
              </w:rPr>
              <w:t>Maintain certification of our Quality Management System (QMS) for business processes to the ISO 9001 standard to ensure we fulfil our role as administrators of the IP system effectively, efficiently and to a high standard.</w:t>
            </w:r>
          </w:p>
        </w:tc>
        <w:tc>
          <w:tcPr>
            <w:tcW w:w="404" w:type="pct"/>
          </w:tcPr>
          <w:p w14:paraId="580B14BC" w14:textId="69D824C1" w:rsidR="00A55AFB" w:rsidRPr="00E96BFC" w:rsidRDefault="007719DF" w:rsidP="00B41938">
            <w:pPr>
              <w:cnfStyle w:val="000000000000" w:firstRow="0" w:lastRow="0" w:firstColumn="0" w:lastColumn="0" w:oddVBand="0" w:evenVBand="0" w:oddHBand="0" w:evenHBand="0" w:firstRowFirstColumn="0" w:firstRowLastColumn="0" w:lastRowFirstColumn="0" w:lastRowLastColumn="0"/>
              <w:rPr>
                <w:sz w:val="20"/>
              </w:rPr>
            </w:pPr>
            <w:r w:rsidRPr="00E96BFC">
              <w:rPr>
                <w:rFonts w:asciiTheme="minorHAnsi" w:hAnsiTheme="minorHAnsi" w:cstheme="minorHAnsi"/>
                <w:sz w:val="20"/>
                <w:lang w:val="en"/>
              </w:rPr>
              <w:t>FBSG</w:t>
            </w:r>
          </w:p>
        </w:tc>
        <w:tc>
          <w:tcPr>
            <w:tcW w:w="352" w:type="pct"/>
          </w:tcPr>
          <w:p w14:paraId="3C27560D" w14:textId="54A154BD" w:rsidR="00A55AFB" w:rsidRPr="00E96BFC" w:rsidRDefault="00C64DD1" w:rsidP="009E45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001BD687" w14:textId="1057EDCB" w:rsidR="007719DF" w:rsidRPr="009C45AC" w:rsidRDefault="007719DF" w:rsidP="007719DF">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 xml:space="preserve">IP Australia has successfully transitioned from our quality management system certification from ISO 9001:2008 to ISO 9001:2015. This certification was also expanded to cover our ICT functions. IP Australia’s approach to examination under ISO 9001, standards are publically available </w:t>
            </w:r>
            <w:hyperlink r:id="rId22" w:history="1">
              <w:r w:rsidRPr="009C45AC">
                <w:rPr>
                  <w:rStyle w:val="Hyperlink"/>
                  <w:rFonts w:asciiTheme="minorHAnsi" w:hAnsiTheme="minorHAnsi" w:cstheme="minorHAnsi"/>
                  <w:sz w:val="22"/>
                  <w:szCs w:val="22"/>
                  <w:lang w:val="en"/>
                </w:rPr>
                <w:t>https://www.ipaustralia.gov.au/about-us/doing-business-us/quality-management</w:t>
              </w:r>
            </w:hyperlink>
          </w:p>
        </w:tc>
      </w:tr>
      <w:tr w:rsidR="00A55AFB" w:rsidRPr="001955A3" w14:paraId="51F81C9C" w14:textId="77777777" w:rsidTr="008B3D8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267AD989" w14:textId="77777777" w:rsidR="00A55AFB" w:rsidRPr="00AE3C2A" w:rsidRDefault="00A55AFB" w:rsidP="00F14436">
            <w:pPr>
              <w:spacing w:before="0" w:after="0"/>
              <w:rPr>
                <w:color w:val="FF0000"/>
                <w:sz w:val="16"/>
                <w:szCs w:val="16"/>
              </w:rPr>
            </w:pPr>
          </w:p>
        </w:tc>
      </w:tr>
      <w:tr w:rsidR="00A55AFB" w:rsidRPr="001955A3" w14:paraId="2666C9F2"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val="restart"/>
            <w:textDirection w:val="btLr"/>
          </w:tcPr>
          <w:p w14:paraId="366E5D38" w14:textId="77777777" w:rsidR="00A55AFB" w:rsidRPr="001955A3" w:rsidRDefault="00A55AFB" w:rsidP="00DB4D4B">
            <w:pPr>
              <w:autoSpaceDE w:val="0"/>
              <w:autoSpaceDN w:val="0"/>
              <w:adjustRightInd w:val="0"/>
              <w:spacing w:after="0"/>
              <w:ind w:left="113" w:right="113"/>
              <w:jc w:val="right"/>
              <w:rPr>
                <w:rFonts w:asciiTheme="minorHAnsi" w:hAnsiTheme="minorHAnsi" w:cstheme="minorHAnsi"/>
                <w:sz w:val="24"/>
                <w:szCs w:val="24"/>
                <w:lang w:val="en"/>
              </w:rPr>
            </w:pPr>
            <w:r w:rsidRPr="001955A3">
              <w:rPr>
                <w:rFonts w:asciiTheme="minorHAnsi" w:hAnsiTheme="minorHAnsi" w:cstheme="minorHAnsi"/>
                <w:sz w:val="24"/>
                <w:szCs w:val="24"/>
              </w:rPr>
              <w:t>KPI 2 - Communication is clear, targeted and effective</w:t>
            </w:r>
          </w:p>
        </w:tc>
        <w:tc>
          <w:tcPr>
            <w:tcW w:w="1058" w:type="pct"/>
          </w:tcPr>
          <w:p w14:paraId="42FB114C" w14:textId="77777777" w:rsidR="00A55AFB" w:rsidRPr="006E59BF" w:rsidRDefault="00A55AF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4:</w:t>
            </w:r>
            <w:r w:rsidRPr="006E59BF">
              <w:rPr>
                <w:rFonts w:asciiTheme="minorHAnsi" w:hAnsiTheme="minorHAnsi" w:cstheme="minorHAnsi"/>
                <w:szCs w:val="22"/>
                <w:lang w:val="en"/>
              </w:rPr>
              <w:t xml:space="preserve"> Regulators provide guidance and information that is up to date, clear, accessible and concise through media appropriate to the target audience</w:t>
            </w:r>
          </w:p>
        </w:tc>
        <w:tc>
          <w:tcPr>
            <w:tcW w:w="998" w:type="pct"/>
            <w:shd w:val="clear" w:color="auto" w:fill="auto"/>
          </w:tcPr>
          <w:p w14:paraId="34D3764A" w14:textId="4C5101F9" w:rsidR="009C1A74" w:rsidRPr="006E59BF" w:rsidRDefault="009C1A74" w:rsidP="009C1A74">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2"/>
                <w:lang w:val="en"/>
              </w:rPr>
            </w:pPr>
            <w:r w:rsidRPr="006E59BF">
              <w:rPr>
                <w:rFonts w:asciiTheme="minorHAnsi" w:hAnsiTheme="minorHAnsi" w:cstheme="minorHAnsi"/>
                <w:bCs/>
                <w:szCs w:val="22"/>
                <w:lang w:val="en"/>
              </w:rPr>
              <w:t>Qualitative evidence provided against strategies under IP Australia’s strategic objective ‘</w:t>
            </w:r>
            <w:r w:rsidR="005C6BB1" w:rsidRPr="006E59BF">
              <w:rPr>
                <w:rFonts w:asciiTheme="minorHAnsi" w:hAnsiTheme="minorHAnsi" w:cstheme="minorHAnsi"/>
                <w:bCs/>
                <w:szCs w:val="22"/>
                <w:lang w:val="en"/>
              </w:rPr>
              <w:t>Service Excellence</w:t>
            </w:r>
            <w:r w:rsidRPr="006E59BF">
              <w:rPr>
                <w:rFonts w:asciiTheme="minorHAnsi" w:hAnsiTheme="minorHAnsi" w:cstheme="minorHAnsi"/>
                <w:bCs/>
                <w:szCs w:val="22"/>
                <w:lang w:val="en"/>
              </w:rPr>
              <w:t>’:</w:t>
            </w:r>
          </w:p>
          <w:p w14:paraId="2F6DBB04" w14:textId="2AB8FF6D" w:rsidR="005C6BB1" w:rsidRPr="006E59BF" w:rsidRDefault="00305D24" w:rsidP="009C1A74">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2"/>
                <w:lang w:val="en"/>
              </w:rPr>
            </w:pPr>
            <w:r w:rsidRPr="006E59BF">
              <w:rPr>
                <w:rFonts w:asciiTheme="minorHAnsi" w:hAnsiTheme="minorHAnsi" w:cstheme="minorHAnsi"/>
                <w:bCs/>
                <w:szCs w:val="22"/>
                <w:lang w:val="en"/>
              </w:rPr>
              <w:t>E</w:t>
            </w:r>
            <w:r w:rsidR="005C6BB1" w:rsidRPr="006E59BF">
              <w:rPr>
                <w:rFonts w:asciiTheme="minorHAnsi" w:hAnsiTheme="minorHAnsi" w:cstheme="minorHAnsi"/>
                <w:bCs/>
                <w:szCs w:val="22"/>
                <w:lang w:val="en"/>
              </w:rPr>
              <w:t xml:space="preserve">ngage effectively with customers and stakeholders, domestically and internationally. </w:t>
            </w:r>
            <w:r w:rsidRPr="006E59BF">
              <w:rPr>
                <w:rFonts w:asciiTheme="minorHAnsi" w:hAnsiTheme="minorHAnsi" w:cstheme="minorHAnsi"/>
                <w:bCs/>
                <w:szCs w:val="22"/>
                <w:lang w:val="en"/>
              </w:rPr>
              <w:t>P</w:t>
            </w:r>
            <w:r w:rsidR="005C6BB1" w:rsidRPr="006E59BF">
              <w:rPr>
                <w:rFonts w:asciiTheme="minorHAnsi" w:hAnsiTheme="minorHAnsi" w:cstheme="minorHAnsi"/>
                <w:bCs/>
                <w:szCs w:val="22"/>
                <w:lang w:val="en"/>
              </w:rPr>
              <w:t xml:space="preserve">rovide appropriate advice and systems to support effective engagement. Progress can be seen in: </w:t>
            </w:r>
          </w:p>
          <w:p w14:paraId="1FAC62E5" w14:textId="77777777" w:rsidR="005C6BB1" w:rsidRPr="006E59BF" w:rsidRDefault="005C6BB1" w:rsidP="009C1A74">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szCs w:val="22"/>
                <w:lang w:val="en"/>
              </w:rPr>
              <w:t>Improved public education and awareness of the IP rights system and the support our organisation provides</w:t>
            </w:r>
          </w:p>
          <w:p w14:paraId="335AA7E2" w14:textId="77777777" w:rsidR="005C6BB1" w:rsidRPr="006E59BF" w:rsidRDefault="005C6BB1" w:rsidP="009C1A74">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szCs w:val="22"/>
                <w:lang w:val="en"/>
              </w:rPr>
              <w:t>Better tools to support user engagement</w:t>
            </w:r>
          </w:p>
          <w:p w14:paraId="37E767E3" w14:textId="77777777" w:rsidR="005C6BB1" w:rsidRPr="006E59BF" w:rsidRDefault="005C6BB1" w:rsidP="009C1A74">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szCs w:val="22"/>
                <w:lang w:val="en"/>
              </w:rPr>
              <w:t>High customer satisfaction with our externally facing services (e-services, website, payment pathways etc.)</w:t>
            </w:r>
          </w:p>
          <w:p w14:paraId="438940B0" w14:textId="77777777" w:rsidR="00A55AFB" w:rsidRPr="006E59BF" w:rsidRDefault="005C6BB1" w:rsidP="005C6BB1">
            <w:pPr>
              <w:pStyle w:val="ListParagraph"/>
              <w:numPr>
                <w:ilvl w:val="0"/>
                <w:numId w:val="11"/>
              </w:num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szCs w:val="22"/>
                <w:lang w:val="en"/>
              </w:rPr>
              <w:t>Adherence to service commitments relating to external support services.</w:t>
            </w:r>
          </w:p>
        </w:tc>
        <w:tc>
          <w:tcPr>
            <w:tcW w:w="404" w:type="pct"/>
          </w:tcPr>
          <w:p w14:paraId="1B83A1F2" w14:textId="77777777" w:rsidR="00A55AFB" w:rsidRPr="00E96BFC" w:rsidRDefault="00DC16FC"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P&amp;CG</w:t>
            </w:r>
          </w:p>
          <w:p w14:paraId="038375E2" w14:textId="23E8852D" w:rsidR="003A7DF2" w:rsidRPr="00E96BFC" w:rsidRDefault="003A7DF2"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INNOVATION AND TECHNOLOGY GROUP (ITG)</w:t>
            </w:r>
          </w:p>
        </w:tc>
        <w:tc>
          <w:tcPr>
            <w:tcW w:w="352" w:type="pct"/>
          </w:tcPr>
          <w:p w14:paraId="654E1FB0" w14:textId="2F15BE95" w:rsidR="00A55AFB" w:rsidRPr="00E96BFC" w:rsidRDefault="00C64DD1" w:rsidP="00E96BF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7B896227" w14:textId="363E0F15" w:rsidR="00FB6985" w:rsidRPr="009C45AC" w:rsidRDefault="003A7DF2" w:rsidP="003A7DF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9C45AC">
              <w:rPr>
                <w:szCs w:val="22"/>
              </w:rPr>
              <w:t>IP Australia</w:t>
            </w:r>
            <w:r w:rsidRPr="009C45AC">
              <w:rPr>
                <w:rFonts w:asciiTheme="minorHAnsi" w:hAnsiTheme="minorHAnsi" w:cstheme="minorHAnsi"/>
                <w:color w:val="FF0000"/>
                <w:szCs w:val="22"/>
                <w:lang w:val="en"/>
              </w:rPr>
              <w:t xml:space="preserve"> </w:t>
            </w:r>
            <w:r w:rsidRPr="009C45AC">
              <w:rPr>
                <w:rFonts w:asciiTheme="minorHAnsi" w:hAnsiTheme="minorHAnsi" w:cstheme="minorHAnsi"/>
                <w:szCs w:val="22"/>
                <w:lang w:val="en"/>
              </w:rPr>
              <w:t>provided up to date, clear, accessible and concise guidance and information to customers and stakeholders</w:t>
            </w:r>
            <w:r w:rsidR="00C115F0" w:rsidRPr="009C45AC">
              <w:rPr>
                <w:rFonts w:asciiTheme="minorHAnsi" w:hAnsiTheme="minorHAnsi" w:cstheme="minorHAnsi"/>
                <w:szCs w:val="22"/>
                <w:lang w:val="en"/>
              </w:rPr>
              <w:t>.</w:t>
            </w:r>
          </w:p>
          <w:p w14:paraId="5DE9D16E" w14:textId="77777777" w:rsidR="00FB6985" w:rsidRPr="009C45AC" w:rsidRDefault="00FB6985" w:rsidP="00FB698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2"/>
              </w:rPr>
            </w:pPr>
            <w:r w:rsidRPr="009C45AC">
              <w:rPr>
                <w:szCs w:val="22"/>
              </w:rPr>
              <w:t>Evaluations of the workshop/webinar series for small and medium businesses showed that 87.5% of attendees surveyed were satisfied with the event. Participants noted high levels of engagement and relevant content and said they would recommend workshops to others.</w:t>
            </w:r>
          </w:p>
          <w:p w14:paraId="762491E5" w14:textId="1F586A57" w:rsidR="003A7DF2" w:rsidRPr="009C45AC" w:rsidRDefault="00FB6985" w:rsidP="003A7DF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2"/>
              </w:rPr>
            </w:pPr>
            <w:r w:rsidRPr="009C45AC">
              <w:rPr>
                <w:szCs w:val="22"/>
              </w:rPr>
              <w:t>T</w:t>
            </w:r>
            <w:r w:rsidR="003A7DF2" w:rsidRPr="009C45AC">
              <w:rPr>
                <w:szCs w:val="22"/>
              </w:rPr>
              <w:t xml:space="preserve">he 2017-18 Customer Satisfaction Survey </w:t>
            </w:r>
            <w:r w:rsidRPr="009C45AC">
              <w:rPr>
                <w:szCs w:val="22"/>
              </w:rPr>
              <w:t>recorded the following results for user engagement and satisfaction</w:t>
            </w:r>
            <w:r w:rsidR="003A7DF2" w:rsidRPr="009C45AC">
              <w:rPr>
                <w:szCs w:val="22"/>
              </w:rPr>
              <w:t xml:space="preserve">: </w:t>
            </w:r>
          </w:p>
          <w:p w14:paraId="2B1D8F8A" w14:textId="06357E9D" w:rsidR="00FB6985" w:rsidRPr="009C45AC" w:rsidRDefault="00FB6985" w:rsidP="00C115F0">
            <w:pPr>
              <w:pStyle w:val="ListParagraph"/>
              <w:numPr>
                <w:ilvl w:val="0"/>
                <w:numId w:val="24"/>
              </w:numPr>
              <w:autoSpaceDE w:val="0"/>
              <w:autoSpaceDN w:val="0"/>
              <w:adjustRightInd w:val="0"/>
              <w:spacing w:after="0"/>
              <w:ind w:left="342"/>
              <w:cnfStyle w:val="000000000000" w:firstRow="0" w:lastRow="0" w:firstColumn="0" w:lastColumn="0" w:oddVBand="0" w:evenVBand="0" w:oddHBand="0" w:evenHBand="0" w:firstRowFirstColumn="0" w:firstRowLastColumn="0" w:lastRowFirstColumn="0" w:lastRowLastColumn="0"/>
              <w:rPr>
                <w:szCs w:val="22"/>
              </w:rPr>
            </w:pPr>
            <w:r w:rsidRPr="009C45AC">
              <w:rPr>
                <w:szCs w:val="22"/>
              </w:rPr>
              <w:t>87% of customers were satisfied with the quality of tools to support user accessibility</w:t>
            </w:r>
          </w:p>
          <w:p w14:paraId="520201A9" w14:textId="7C928798" w:rsidR="00FB6985" w:rsidRPr="009C45AC" w:rsidRDefault="00FB6985" w:rsidP="00C115F0">
            <w:pPr>
              <w:pStyle w:val="ListParagraph"/>
              <w:numPr>
                <w:ilvl w:val="0"/>
                <w:numId w:val="24"/>
              </w:numPr>
              <w:autoSpaceDE w:val="0"/>
              <w:autoSpaceDN w:val="0"/>
              <w:adjustRightInd w:val="0"/>
              <w:spacing w:after="0"/>
              <w:ind w:left="342"/>
              <w:cnfStyle w:val="000000000000" w:firstRow="0" w:lastRow="0" w:firstColumn="0" w:lastColumn="0" w:oddVBand="0" w:evenVBand="0" w:oddHBand="0" w:evenHBand="0" w:firstRowFirstColumn="0" w:firstRowLastColumn="0" w:lastRowFirstColumn="0" w:lastRowLastColumn="0"/>
              <w:rPr>
                <w:szCs w:val="22"/>
              </w:rPr>
            </w:pPr>
            <w:r w:rsidRPr="009C45AC">
              <w:rPr>
                <w:szCs w:val="22"/>
              </w:rPr>
              <w:t>87% of customers were satisfied with the reliability of externally facing ICT systems</w:t>
            </w:r>
          </w:p>
          <w:p w14:paraId="1C68C862" w14:textId="7BF6266D" w:rsidR="00FB6985" w:rsidRPr="009C45AC" w:rsidRDefault="00FB6985" w:rsidP="00C115F0">
            <w:pPr>
              <w:pStyle w:val="ListParagraph"/>
              <w:numPr>
                <w:ilvl w:val="0"/>
                <w:numId w:val="24"/>
              </w:numPr>
              <w:autoSpaceDE w:val="0"/>
              <w:autoSpaceDN w:val="0"/>
              <w:adjustRightInd w:val="0"/>
              <w:spacing w:after="0"/>
              <w:ind w:left="342"/>
              <w:cnfStyle w:val="000000000000" w:firstRow="0" w:lastRow="0" w:firstColumn="0" w:lastColumn="0" w:oddVBand="0" w:evenVBand="0" w:oddHBand="0" w:evenHBand="0" w:firstRowFirstColumn="0" w:firstRowLastColumn="0" w:lastRowFirstColumn="0" w:lastRowLastColumn="0"/>
              <w:rPr>
                <w:szCs w:val="22"/>
              </w:rPr>
            </w:pPr>
            <w:r w:rsidRPr="009C45AC">
              <w:rPr>
                <w:szCs w:val="22"/>
              </w:rPr>
              <w:t>88% of customers surveyed in the annual customer satisfaction survey indicated that they were satisfied with IP Australia staff.</w:t>
            </w:r>
          </w:p>
          <w:p w14:paraId="6281AF65" w14:textId="3778C476" w:rsidR="00FB6985" w:rsidRPr="009C45AC" w:rsidRDefault="00FB6985" w:rsidP="00FB6985">
            <w:pPr>
              <w:pStyle w:val="TableText"/>
              <w:keepNext/>
              <w:keepLines/>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en-AU" w:eastAsia="en-AU"/>
              </w:rPr>
            </w:pPr>
            <w:r w:rsidRPr="009C45AC">
              <w:rPr>
                <w:rFonts w:ascii="Calibri" w:hAnsi="Calibri"/>
                <w:sz w:val="22"/>
                <w:szCs w:val="22"/>
                <w:lang w:val="en-AU" w:eastAsia="en-AU"/>
              </w:rPr>
              <w:t>IP Australia’s commitments for external support services are included in our Customer Service Charter. 2017</w:t>
            </w:r>
            <w:r w:rsidR="00E96BFC" w:rsidRPr="009C45AC">
              <w:rPr>
                <w:rFonts w:ascii="Calibri" w:hAnsi="Calibri"/>
                <w:sz w:val="22"/>
                <w:szCs w:val="22"/>
                <w:lang w:val="en-AU" w:eastAsia="en-AU"/>
              </w:rPr>
              <w:noBreakHyphen/>
              <w:t>18 results show</w:t>
            </w:r>
            <w:r w:rsidRPr="009C45AC">
              <w:rPr>
                <w:rFonts w:ascii="Calibri" w:hAnsi="Calibri"/>
                <w:sz w:val="22"/>
                <w:szCs w:val="22"/>
                <w:lang w:val="en-AU" w:eastAsia="en-AU"/>
              </w:rPr>
              <w:t>:</w:t>
            </w:r>
          </w:p>
          <w:p w14:paraId="03504006" w14:textId="0B6CA850" w:rsidR="00FB6985" w:rsidRPr="009C45AC" w:rsidRDefault="00FB6985" w:rsidP="00C115F0">
            <w:pPr>
              <w:pStyle w:val="ListParagraph"/>
              <w:numPr>
                <w:ilvl w:val="0"/>
                <w:numId w:val="24"/>
              </w:numPr>
              <w:autoSpaceDE w:val="0"/>
              <w:autoSpaceDN w:val="0"/>
              <w:adjustRightInd w:val="0"/>
              <w:spacing w:after="0"/>
              <w:ind w:left="342"/>
              <w:cnfStyle w:val="000000000000" w:firstRow="0" w:lastRow="0" w:firstColumn="0" w:lastColumn="0" w:oddVBand="0" w:evenVBand="0" w:oddHBand="0" w:evenHBand="0" w:firstRowFirstColumn="0" w:firstRowLastColumn="0" w:lastRowFirstColumn="0" w:lastRowLastColumn="0"/>
              <w:rPr>
                <w:szCs w:val="22"/>
              </w:rPr>
            </w:pPr>
            <w:r w:rsidRPr="009C45AC">
              <w:rPr>
                <w:szCs w:val="22"/>
              </w:rPr>
              <w:t>Our commitment to notifying customers of planned outages within four days was met 100% of the time.</w:t>
            </w:r>
          </w:p>
          <w:p w14:paraId="012292CF" w14:textId="23AE3E80" w:rsidR="003A7DF2" w:rsidRPr="009C45AC" w:rsidRDefault="00C115F0" w:rsidP="00C115F0">
            <w:pPr>
              <w:pStyle w:val="ListParagraph"/>
              <w:numPr>
                <w:ilvl w:val="0"/>
                <w:numId w:val="24"/>
              </w:numPr>
              <w:autoSpaceDE w:val="0"/>
              <w:autoSpaceDN w:val="0"/>
              <w:adjustRightInd w:val="0"/>
              <w:spacing w:after="0"/>
              <w:ind w:left="3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9C45AC">
              <w:rPr>
                <w:szCs w:val="22"/>
              </w:rPr>
              <w:t>Our online lodg</w:t>
            </w:r>
            <w:r w:rsidR="00816564">
              <w:rPr>
                <w:szCs w:val="22"/>
              </w:rPr>
              <w:t>e</w:t>
            </w:r>
            <w:r w:rsidRPr="009C45AC">
              <w:rPr>
                <w:szCs w:val="22"/>
              </w:rPr>
              <w:t>ment services were available 99.9% of the time during business hours and 99.9% of the time after hours</w:t>
            </w:r>
            <w:r w:rsidR="00FB6985" w:rsidRPr="009C45AC">
              <w:rPr>
                <w:szCs w:val="22"/>
              </w:rPr>
              <w:t>.</w:t>
            </w:r>
          </w:p>
        </w:tc>
      </w:tr>
      <w:tr w:rsidR="00A55AFB" w:rsidRPr="001955A3" w14:paraId="18E2C098"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505E0BFA" w14:textId="2432A796"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tcPr>
          <w:p w14:paraId="42FE4A9A" w14:textId="77777777" w:rsidR="00A55AFB" w:rsidRPr="006E59BF" w:rsidRDefault="00A55AF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5:</w:t>
            </w:r>
            <w:r w:rsidRPr="006E59BF">
              <w:rPr>
                <w:rFonts w:asciiTheme="minorHAnsi" w:hAnsiTheme="minorHAnsi" w:cstheme="minorHAnsi"/>
                <w:szCs w:val="22"/>
                <w:lang w:val="en"/>
              </w:rPr>
              <w:t xml:space="preserve"> Regulators consider the impact on regulated entities and engage with industry groups and representatives for the affected stakeholders before changing policies, practices or service standards </w:t>
            </w:r>
          </w:p>
        </w:tc>
        <w:tc>
          <w:tcPr>
            <w:tcW w:w="998" w:type="pct"/>
            <w:shd w:val="clear" w:color="auto" w:fill="auto"/>
          </w:tcPr>
          <w:p w14:paraId="3080D0C2" w14:textId="480AAF90" w:rsidR="00A55AFB" w:rsidRPr="006E59BF" w:rsidRDefault="00B76BD1" w:rsidP="00B76BD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Cs w:val="22"/>
                <w:lang w:val="en"/>
              </w:rPr>
            </w:pPr>
            <w:r w:rsidRPr="006E59BF">
              <w:rPr>
                <w:rFonts w:asciiTheme="minorHAnsi" w:hAnsiTheme="minorHAnsi" w:cstheme="minorHAnsi"/>
                <w:szCs w:val="22"/>
                <w:lang w:val="en"/>
              </w:rPr>
              <w:t>Qualitative evidence provided against IP Australia’s engagement calendar. This includes IP Rights consultative groups, the IPSF and broader industry engagement.</w:t>
            </w:r>
          </w:p>
        </w:tc>
        <w:tc>
          <w:tcPr>
            <w:tcW w:w="404" w:type="pct"/>
          </w:tcPr>
          <w:p w14:paraId="58D58202" w14:textId="77777777" w:rsidR="00A55AFB" w:rsidRPr="00E96BFC" w:rsidRDefault="00DC16FC" w:rsidP="003A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P&amp;CG</w:t>
            </w:r>
          </w:p>
        </w:tc>
        <w:tc>
          <w:tcPr>
            <w:tcW w:w="352" w:type="pct"/>
          </w:tcPr>
          <w:p w14:paraId="11E97746" w14:textId="5CA3C2BE" w:rsidR="00A55AFB" w:rsidRPr="00E96BFC" w:rsidRDefault="00C64DD1" w:rsidP="00DE0C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lang w:val="en"/>
              </w:rPr>
            </w:pPr>
            <w:r w:rsidRPr="00E96BFC">
              <w:rPr>
                <w:rFonts w:asciiTheme="minorHAnsi" w:hAnsiTheme="minorHAnsi" w:cstheme="minorHAnsi"/>
                <w:sz w:val="20"/>
              </w:rPr>
              <w:t>Target met</w:t>
            </w:r>
          </w:p>
        </w:tc>
        <w:tc>
          <w:tcPr>
            <w:tcW w:w="2010" w:type="pct"/>
          </w:tcPr>
          <w:p w14:paraId="44916529" w14:textId="5ED539C4" w:rsidR="00A55AFB" w:rsidRPr="009C45AC" w:rsidRDefault="00DE0CFF" w:rsidP="003A5801">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See </w:t>
            </w:r>
            <w:r w:rsidR="00E96BFC" w:rsidRPr="009C45AC">
              <w:rPr>
                <w:rFonts w:asciiTheme="minorHAnsi" w:hAnsiTheme="minorHAnsi" w:cstheme="minorHAnsi"/>
                <w:color w:val="auto"/>
                <w:sz w:val="22"/>
                <w:szCs w:val="22"/>
              </w:rPr>
              <w:t xml:space="preserve">commentary against </w:t>
            </w:r>
            <w:r w:rsidRPr="009C45AC">
              <w:rPr>
                <w:rFonts w:asciiTheme="minorHAnsi" w:hAnsiTheme="minorHAnsi" w:cstheme="minorHAnsi"/>
                <w:color w:val="auto"/>
                <w:sz w:val="22"/>
                <w:szCs w:val="22"/>
              </w:rPr>
              <w:t>RPF 18</w:t>
            </w:r>
          </w:p>
        </w:tc>
      </w:tr>
      <w:tr w:rsidR="00A55AFB" w:rsidRPr="001955A3" w14:paraId="3D20317E"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4E0353DF" w14:textId="77777777"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vMerge w:val="restart"/>
          </w:tcPr>
          <w:p w14:paraId="70B564E1" w14:textId="77777777" w:rsidR="00A55AFB" w:rsidRPr="006E59BF" w:rsidRDefault="00A55AF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6:</w:t>
            </w:r>
            <w:r w:rsidRPr="006E59BF">
              <w:rPr>
                <w:rFonts w:asciiTheme="minorHAnsi" w:hAnsiTheme="minorHAnsi" w:cstheme="minorHAnsi"/>
                <w:szCs w:val="22"/>
                <w:lang w:val="en"/>
              </w:rPr>
              <w:t xml:space="preserve"> Regulators’ decisions and advice are provided in a timely manner, clearly articulating expectations and the underlying reasons for decisions. </w:t>
            </w:r>
          </w:p>
        </w:tc>
        <w:tc>
          <w:tcPr>
            <w:tcW w:w="998" w:type="pct"/>
          </w:tcPr>
          <w:p w14:paraId="79EC07E4" w14:textId="77777777" w:rsidR="00A55AFB" w:rsidRPr="006E59BF" w:rsidRDefault="00A55AFB" w:rsidP="00B4193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Ensure our online lodgement services are available 99.5% of the time during business hours and 90% of the time after hours.</w:t>
            </w:r>
          </w:p>
        </w:tc>
        <w:tc>
          <w:tcPr>
            <w:tcW w:w="404" w:type="pct"/>
          </w:tcPr>
          <w:p w14:paraId="6EF7B547" w14:textId="6D7E6AE5" w:rsidR="00A55AFB" w:rsidRPr="00E96BFC" w:rsidRDefault="00DC16FC" w:rsidP="003A7DF2">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ITG</w:t>
            </w:r>
          </w:p>
        </w:tc>
        <w:tc>
          <w:tcPr>
            <w:tcW w:w="352" w:type="pct"/>
          </w:tcPr>
          <w:p w14:paraId="2FF263F3" w14:textId="25748C17" w:rsidR="00A55AFB" w:rsidRPr="006C47B3" w:rsidRDefault="00C64DD1" w:rsidP="007719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6C47B3">
              <w:rPr>
                <w:rFonts w:asciiTheme="minorHAnsi" w:hAnsiTheme="minorHAnsi" w:cstheme="minorHAnsi"/>
                <w:sz w:val="20"/>
              </w:rPr>
              <w:t>Target met</w:t>
            </w:r>
          </w:p>
        </w:tc>
        <w:tc>
          <w:tcPr>
            <w:tcW w:w="2010" w:type="pct"/>
          </w:tcPr>
          <w:p w14:paraId="00F11E33" w14:textId="66B0F166" w:rsidR="00A55AFB" w:rsidRPr="009C45AC" w:rsidRDefault="00F754F9" w:rsidP="006C47B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9C45AC">
              <w:rPr>
                <w:rFonts w:asciiTheme="minorHAnsi" w:hAnsiTheme="minorHAnsi" w:cstheme="minorHAnsi"/>
                <w:szCs w:val="22"/>
                <w:lang w:val="en"/>
              </w:rPr>
              <w:t>Online lodg</w:t>
            </w:r>
            <w:r w:rsidR="007719DF" w:rsidRPr="009C45AC">
              <w:rPr>
                <w:rFonts w:asciiTheme="minorHAnsi" w:hAnsiTheme="minorHAnsi" w:cstheme="minorHAnsi"/>
                <w:szCs w:val="22"/>
                <w:lang w:val="en"/>
              </w:rPr>
              <w:t>ment services were available</w:t>
            </w:r>
            <w:r w:rsidRPr="009C45AC">
              <w:rPr>
                <w:rFonts w:asciiTheme="minorHAnsi" w:hAnsiTheme="minorHAnsi" w:cstheme="minorHAnsi"/>
                <w:szCs w:val="22"/>
                <w:lang w:val="en"/>
              </w:rPr>
              <w:t xml:space="preserve"> </w:t>
            </w:r>
            <w:r w:rsidR="006C47B3" w:rsidRPr="009C45AC">
              <w:rPr>
                <w:rFonts w:asciiTheme="minorHAnsi" w:hAnsiTheme="minorHAnsi" w:cstheme="minorHAnsi"/>
                <w:szCs w:val="22"/>
                <w:lang w:val="en"/>
              </w:rPr>
              <w:t>99.9</w:t>
            </w:r>
            <w:r w:rsidRPr="009C45AC">
              <w:rPr>
                <w:rFonts w:asciiTheme="minorHAnsi" w:hAnsiTheme="minorHAnsi" w:cstheme="minorHAnsi"/>
                <w:szCs w:val="22"/>
                <w:lang w:val="en"/>
              </w:rPr>
              <w:t>%</w:t>
            </w:r>
            <w:r w:rsidR="007719DF" w:rsidRPr="009C45AC">
              <w:rPr>
                <w:rFonts w:asciiTheme="minorHAnsi" w:hAnsiTheme="minorHAnsi" w:cstheme="minorHAnsi"/>
                <w:szCs w:val="22"/>
                <w:lang w:val="en"/>
              </w:rPr>
              <w:t xml:space="preserve"> of the time</w:t>
            </w:r>
            <w:r w:rsidRPr="009C45AC">
              <w:rPr>
                <w:rFonts w:asciiTheme="minorHAnsi" w:hAnsiTheme="minorHAnsi" w:cstheme="minorHAnsi"/>
                <w:szCs w:val="22"/>
                <w:lang w:val="en"/>
              </w:rPr>
              <w:t xml:space="preserve"> during business hours and </w:t>
            </w:r>
            <w:r w:rsidR="006C47B3" w:rsidRPr="009C45AC">
              <w:rPr>
                <w:rFonts w:asciiTheme="minorHAnsi" w:hAnsiTheme="minorHAnsi" w:cstheme="minorHAnsi"/>
                <w:szCs w:val="22"/>
                <w:lang w:val="en"/>
              </w:rPr>
              <w:t>99.9</w:t>
            </w:r>
            <w:r w:rsidRPr="009C45AC">
              <w:rPr>
                <w:rFonts w:asciiTheme="minorHAnsi" w:hAnsiTheme="minorHAnsi" w:cstheme="minorHAnsi"/>
                <w:szCs w:val="22"/>
                <w:lang w:val="en"/>
              </w:rPr>
              <w:t xml:space="preserve">% </w:t>
            </w:r>
            <w:r w:rsidR="00A33E3E" w:rsidRPr="009C45AC">
              <w:rPr>
                <w:rFonts w:asciiTheme="minorHAnsi" w:hAnsiTheme="minorHAnsi" w:cstheme="minorHAnsi"/>
                <w:szCs w:val="22"/>
                <w:lang w:val="en"/>
              </w:rPr>
              <w:t>of the time</w:t>
            </w:r>
            <w:r w:rsidRPr="009C45AC">
              <w:rPr>
                <w:rFonts w:asciiTheme="minorHAnsi" w:hAnsiTheme="minorHAnsi" w:cstheme="minorHAnsi"/>
                <w:szCs w:val="22"/>
                <w:lang w:val="en"/>
              </w:rPr>
              <w:t xml:space="preserve"> after hours.</w:t>
            </w:r>
          </w:p>
        </w:tc>
      </w:tr>
      <w:tr w:rsidR="00A55AFB" w:rsidRPr="001955A3" w14:paraId="1ED94F3A"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171773A3" w14:textId="77777777"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vMerge/>
          </w:tcPr>
          <w:p w14:paraId="79BBF061" w14:textId="77777777" w:rsidR="00A55AFB" w:rsidRPr="006E59BF" w:rsidRDefault="00A55AF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p>
        </w:tc>
        <w:tc>
          <w:tcPr>
            <w:tcW w:w="998" w:type="pct"/>
          </w:tcPr>
          <w:p w14:paraId="3A01B3F9" w14:textId="77777777" w:rsidR="00A55AFB" w:rsidRPr="006E59BF" w:rsidRDefault="00A55AFB" w:rsidP="00B4193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Complete final registration within 15 working days of receipt of applications for either individual or incorporated attorney registration, that are compliant with legislative requirements.</w:t>
            </w:r>
          </w:p>
        </w:tc>
        <w:tc>
          <w:tcPr>
            <w:tcW w:w="404" w:type="pct"/>
          </w:tcPr>
          <w:p w14:paraId="6E621F50" w14:textId="77777777" w:rsidR="00A55AFB" w:rsidRPr="00E96BFC" w:rsidRDefault="00A55AFB" w:rsidP="00B419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TRANS-TASMAN IP ATTORNEYS BOARD (TTIPAB)</w:t>
            </w:r>
          </w:p>
        </w:tc>
        <w:tc>
          <w:tcPr>
            <w:tcW w:w="352" w:type="pct"/>
          </w:tcPr>
          <w:p w14:paraId="45582152" w14:textId="57772988" w:rsidR="00A55AFB" w:rsidRPr="00E96BFC" w:rsidRDefault="00C64DD1" w:rsidP="007719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55970CF7" w14:textId="031F0107" w:rsidR="00A55AFB" w:rsidRPr="009C45AC" w:rsidRDefault="007719DF" w:rsidP="003A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9C45AC">
              <w:rPr>
                <w:rFonts w:asciiTheme="minorHAnsi" w:hAnsiTheme="minorHAnsi" w:cstheme="minorHAnsi"/>
                <w:szCs w:val="22"/>
                <w:lang w:val="en"/>
              </w:rPr>
              <w:t>100% of applications for trans-Tasman attorney registration were processed within the internal measure of 15 working days of being assessed as ready to proceed to registration.</w:t>
            </w:r>
          </w:p>
        </w:tc>
      </w:tr>
      <w:tr w:rsidR="00A55AFB" w:rsidRPr="001955A3" w14:paraId="5C45F65B"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11C12257" w14:textId="77777777" w:rsidR="00A55AFB" w:rsidRPr="001955A3" w:rsidRDefault="00A55AFB" w:rsidP="003A5801">
            <w:pPr>
              <w:autoSpaceDE w:val="0"/>
              <w:autoSpaceDN w:val="0"/>
              <w:adjustRightInd w:val="0"/>
              <w:spacing w:after="0"/>
              <w:rPr>
                <w:rFonts w:asciiTheme="minorHAnsi" w:hAnsiTheme="minorHAnsi" w:cstheme="minorHAnsi"/>
                <w:sz w:val="24"/>
                <w:szCs w:val="24"/>
                <w:lang w:val="en"/>
              </w:rPr>
            </w:pPr>
          </w:p>
        </w:tc>
        <w:tc>
          <w:tcPr>
            <w:tcW w:w="1058" w:type="pct"/>
            <w:vMerge/>
          </w:tcPr>
          <w:p w14:paraId="394F14E9" w14:textId="77777777" w:rsidR="00A55AFB" w:rsidRPr="006E59BF" w:rsidRDefault="00A55AF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p>
        </w:tc>
        <w:tc>
          <w:tcPr>
            <w:tcW w:w="998" w:type="pct"/>
          </w:tcPr>
          <w:p w14:paraId="29E1F60E" w14:textId="77777777" w:rsidR="00A55AFB" w:rsidRPr="006E59BF" w:rsidRDefault="00A55AFB" w:rsidP="00B4193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 xml:space="preserve">Provide notification to our customers of any planned disruption to online lodgement </w:t>
            </w:r>
            <w:r w:rsidRPr="006E59BF">
              <w:rPr>
                <w:rFonts w:asciiTheme="minorHAnsi" w:hAnsiTheme="minorHAnsi" w:cstheme="minorHAnsi"/>
                <w:szCs w:val="22"/>
                <w:lang w:val="en"/>
              </w:rPr>
              <w:lastRenderedPageBreak/>
              <w:t>service 4 working days in advance through a variety of communication channels.</w:t>
            </w:r>
          </w:p>
        </w:tc>
        <w:tc>
          <w:tcPr>
            <w:tcW w:w="404" w:type="pct"/>
          </w:tcPr>
          <w:p w14:paraId="5CA92E88" w14:textId="77777777" w:rsidR="00A55AFB" w:rsidRPr="00E96BFC" w:rsidRDefault="00F24AE8" w:rsidP="00B4193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lastRenderedPageBreak/>
              <w:t>ITG</w:t>
            </w:r>
          </w:p>
        </w:tc>
        <w:tc>
          <w:tcPr>
            <w:tcW w:w="352" w:type="pct"/>
          </w:tcPr>
          <w:p w14:paraId="616B0121" w14:textId="2D4ED7C1" w:rsidR="00A55AFB" w:rsidRPr="00E96BFC" w:rsidRDefault="00C64DD1" w:rsidP="007719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4FDC94D1" w14:textId="52C956F3" w:rsidR="00A55AFB" w:rsidRPr="009C45AC" w:rsidRDefault="007719DF" w:rsidP="003A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Cs w:val="22"/>
                <w:lang w:val="en"/>
              </w:rPr>
            </w:pPr>
            <w:r w:rsidRPr="009C45AC">
              <w:rPr>
                <w:rFonts w:asciiTheme="minorHAnsi" w:hAnsiTheme="minorHAnsi" w:cstheme="minorHAnsi"/>
                <w:szCs w:val="22"/>
                <w:lang w:val="en"/>
              </w:rPr>
              <w:t>Our commitment to notifying customers of planned outages within four days was met 100% of the time</w:t>
            </w:r>
            <w:r w:rsidR="00DE0CFF" w:rsidRPr="009C45AC">
              <w:rPr>
                <w:rFonts w:asciiTheme="minorHAnsi" w:hAnsiTheme="minorHAnsi" w:cstheme="minorHAnsi"/>
                <w:szCs w:val="22"/>
                <w:lang w:val="en"/>
              </w:rPr>
              <w:t>.</w:t>
            </w:r>
          </w:p>
        </w:tc>
      </w:tr>
      <w:tr w:rsidR="00DF530B" w:rsidRPr="001955A3" w14:paraId="7E1A5C50" w14:textId="77777777" w:rsidTr="008B3D8C">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177" w:type="pct"/>
            <w:vMerge/>
          </w:tcPr>
          <w:p w14:paraId="0308F880" w14:textId="77777777" w:rsidR="00DF530B" w:rsidRPr="001955A3" w:rsidRDefault="00DF530B" w:rsidP="003A5801">
            <w:pPr>
              <w:autoSpaceDE w:val="0"/>
              <w:autoSpaceDN w:val="0"/>
              <w:adjustRightInd w:val="0"/>
              <w:spacing w:after="0"/>
              <w:rPr>
                <w:rFonts w:asciiTheme="minorHAnsi" w:hAnsiTheme="minorHAnsi" w:cstheme="minorHAnsi"/>
                <w:sz w:val="24"/>
                <w:szCs w:val="24"/>
                <w:lang w:val="en"/>
              </w:rPr>
            </w:pPr>
          </w:p>
        </w:tc>
        <w:tc>
          <w:tcPr>
            <w:tcW w:w="1058" w:type="pct"/>
          </w:tcPr>
          <w:p w14:paraId="0A31E825" w14:textId="77777777" w:rsidR="00DF530B" w:rsidRPr="006E59BF"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7:</w:t>
            </w:r>
            <w:r w:rsidRPr="006E59BF">
              <w:rPr>
                <w:rFonts w:asciiTheme="minorHAnsi" w:hAnsiTheme="minorHAnsi" w:cstheme="minorHAnsi"/>
                <w:szCs w:val="22"/>
                <w:lang w:val="en"/>
              </w:rPr>
              <w:t xml:space="preserve"> Regulators’ advice is consistent and supports predictable outcomes</w:t>
            </w:r>
          </w:p>
        </w:tc>
        <w:tc>
          <w:tcPr>
            <w:tcW w:w="998" w:type="pct"/>
            <w:shd w:val="clear" w:color="auto" w:fill="auto"/>
          </w:tcPr>
          <w:p w14:paraId="47FFF982" w14:textId="4BD84655" w:rsidR="00DF530B" w:rsidRPr="006E59BF" w:rsidRDefault="00DF530B" w:rsidP="00C115F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Cs w:val="22"/>
                <w:lang w:val="en"/>
              </w:rPr>
            </w:pPr>
            <w:r w:rsidRPr="006E59BF">
              <w:rPr>
                <w:rFonts w:asciiTheme="minorHAnsi" w:hAnsiTheme="minorHAnsi" w:cstheme="minorHAnsi"/>
                <w:szCs w:val="22"/>
                <w:lang w:val="en"/>
              </w:rPr>
              <w:t>Maintain certification of our QMS for business processes to the ISO 9001 standard to ensure we fulfil our role as administrators of the IP system effectively, efficiently and to a high standard.</w:t>
            </w:r>
          </w:p>
        </w:tc>
        <w:tc>
          <w:tcPr>
            <w:tcW w:w="404" w:type="pct"/>
          </w:tcPr>
          <w:p w14:paraId="4213DB39" w14:textId="1DB8C033" w:rsidR="00DF530B" w:rsidRPr="00E96BFC" w:rsidRDefault="007719DF" w:rsidP="00B4193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FBSG</w:t>
            </w:r>
          </w:p>
        </w:tc>
        <w:tc>
          <w:tcPr>
            <w:tcW w:w="352" w:type="pct"/>
          </w:tcPr>
          <w:p w14:paraId="0ECE023C" w14:textId="5EE8733C" w:rsidR="00DF530B" w:rsidRPr="00E96BFC" w:rsidRDefault="00DF530B" w:rsidP="00623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5949C513" w14:textId="7CC2BAB1" w:rsidR="00DF530B" w:rsidRPr="009C45AC" w:rsidRDefault="000B3A8F" w:rsidP="009405DB">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9C45AC">
              <w:rPr>
                <w:szCs w:val="22"/>
              </w:rPr>
              <w:t>See comments against RPF3.</w:t>
            </w:r>
          </w:p>
        </w:tc>
      </w:tr>
      <w:tr w:rsidR="00DF530B" w:rsidRPr="001955A3" w14:paraId="4770AF57" w14:textId="77777777" w:rsidTr="008B3D8C">
        <w:trPr>
          <w:trHeight w:val="54"/>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54547747" w14:textId="77777777" w:rsidR="00DF530B" w:rsidRPr="00AE3C2A" w:rsidRDefault="00DF530B" w:rsidP="00F14436">
            <w:pPr>
              <w:autoSpaceDE w:val="0"/>
              <w:autoSpaceDN w:val="0"/>
              <w:adjustRightInd w:val="0"/>
              <w:spacing w:before="0" w:after="0"/>
              <w:rPr>
                <w:rFonts w:asciiTheme="minorHAnsi" w:hAnsiTheme="minorHAnsi" w:cstheme="minorHAnsi"/>
                <w:sz w:val="16"/>
                <w:szCs w:val="16"/>
                <w:lang w:val="en"/>
              </w:rPr>
            </w:pPr>
          </w:p>
        </w:tc>
      </w:tr>
      <w:tr w:rsidR="00DF530B" w:rsidRPr="001955A3" w14:paraId="2CFBE734"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val="restart"/>
            <w:textDirection w:val="btLr"/>
          </w:tcPr>
          <w:p w14:paraId="4903808F" w14:textId="77777777" w:rsidR="00DF530B" w:rsidRPr="001955A3" w:rsidRDefault="00DF530B" w:rsidP="00DB4D4B">
            <w:pPr>
              <w:autoSpaceDE w:val="0"/>
              <w:autoSpaceDN w:val="0"/>
              <w:adjustRightInd w:val="0"/>
              <w:spacing w:after="0"/>
              <w:ind w:left="113" w:right="113"/>
              <w:jc w:val="right"/>
              <w:rPr>
                <w:rFonts w:asciiTheme="minorHAnsi" w:hAnsiTheme="minorHAnsi" w:cstheme="minorHAnsi"/>
                <w:sz w:val="24"/>
                <w:szCs w:val="24"/>
                <w:lang w:val="en"/>
              </w:rPr>
            </w:pPr>
            <w:r w:rsidRPr="001955A3">
              <w:rPr>
                <w:rFonts w:asciiTheme="minorHAnsi" w:hAnsiTheme="minorHAnsi" w:cstheme="minorHAnsi"/>
                <w:sz w:val="24"/>
                <w:szCs w:val="24"/>
              </w:rPr>
              <w:t>KPI 3 - Actions  are proportionate to the risk being managed</w:t>
            </w:r>
          </w:p>
        </w:tc>
        <w:tc>
          <w:tcPr>
            <w:tcW w:w="1058" w:type="pct"/>
          </w:tcPr>
          <w:p w14:paraId="2667D3A1" w14:textId="77777777" w:rsidR="00DF530B" w:rsidRPr="006E59BF"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8:</w:t>
            </w:r>
            <w:r w:rsidRPr="006E59BF">
              <w:rPr>
                <w:rFonts w:asciiTheme="minorHAnsi" w:hAnsiTheme="minorHAnsi" w:cstheme="minorHAnsi"/>
                <w:szCs w:val="22"/>
                <w:lang w:val="en"/>
              </w:rPr>
              <w:t xml:space="preserve"> Regulators apply a risk-based, proportionate approach to compliance obligations, engagement and regulatory enforcement actions.</w:t>
            </w:r>
          </w:p>
        </w:tc>
        <w:tc>
          <w:tcPr>
            <w:tcW w:w="3765" w:type="pct"/>
            <w:gridSpan w:val="4"/>
            <w:vMerge w:val="restart"/>
            <w:shd w:val="clear" w:color="auto" w:fill="D9D9D9" w:themeFill="background1" w:themeFillShade="D9"/>
          </w:tcPr>
          <w:p w14:paraId="782E8D9E" w14:textId="77777777" w:rsidR="00DF530B" w:rsidRPr="009C45AC" w:rsidRDefault="00DF530B" w:rsidP="00F1443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9C45AC">
              <w:rPr>
                <w:rFonts w:asciiTheme="minorHAnsi" w:hAnsiTheme="minorHAnsi" w:cstheme="minorHAnsi"/>
                <w:szCs w:val="22"/>
                <w:lang w:val="en"/>
              </w:rPr>
              <w:t>IP Australia does not have a compliance or enforcement role in regard to IP rights once they are granted. Accordingly, this KPI is not relevant to IP Australia.</w:t>
            </w:r>
          </w:p>
        </w:tc>
      </w:tr>
      <w:tr w:rsidR="00DF530B" w:rsidRPr="001955A3" w14:paraId="7C569393"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56E172A8" w14:textId="77777777" w:rsidR="00DF530B" w:rsidRPr="001955A3" w:rsidRDefault="00DF530B" w:rsidP="003A5801">
            <w:pPr>
              <w:autoSpaceDE w:val="0"/>
              <w:autoSpaceDN w:val="0"/>
              <w:adjustRightInd w:val="0"/>
              <w:spacing w:after="0"/>
              <w:rPr>
                <w:rFonts w:asciiTheme="minorHAnsi" w:hAnsiTheme="minorHAnsi" w:cstheme="minorHAnsi"/>
                <w:sz w:val="24"/>
                <w:szCs w:val="24"/>
              </w:rPr>
            </w:pPr>
          </w:p>
        </w:tc>
        <w:tc>
          <w:tcPr>
            <w:tcW w:w="1058" w:type="pct"/>
          </w:tcPr>
          <w:p w14:paraId="21F87CC9" w14:textId="77777777" w:rsidR="00DF530B" w:rsidRPr="006E59BF"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RPG 9:</w:t>
            </w:r>
            <w:r w:rsidRPr="006E59BF">
              <w:rPr>
                <w:rFonts w:asciiTheme="minorHAnsi" w:hAnsiTheme="minorHAnsi" w:cstheme="minorHAnsi"/>
                <w:szCs w:val="22"/>
                <w:lang w:val="en"/>
              </w:rPr>
              <w:t xml:space="preserve"> Regulators’ preferred approach to regulatory risk is regularly assessed. Strategies, activities and enforcement actions are amended to reflect changing priorities that result from new and evolving regulatory threats, without diminishing regulatory certainty or impact</w:t>
            </w:r>
          </w:p>
        </w:tc>
        <w:tc>
          <w:tcPr>
            <w:tcW w:w="3765" w:type="pct"/>
            <w:gridSpan w:val="4"/>
            <w:vMerge/>
            <w:shd w:val="clear" w:color="auto" w:fill="D9D9D9" w:themeFill="background1" w:themeFillShade="D9"/>
          </w:tcPr>
          <w:p w14:paraId="54D7F81F" w14:textId="77777777" w:rsidR="00DF530B" w:rsidRPr="001955A3" w:rsidRDefault="00DF530B" w:rsidP="003A580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
              </w:rPr>
            </w:pPr>
          </w:p>
        </w:tc>
      </w:tr>
      <w:tr w:rsidR="00DF530B" w:rsidRPr="001955A3" w14:paraId="10D0007A"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20687833" w14:textId="77777777" w:rsidR="00DF530B" w:rsidRPr="001955A3" w:rsidRDefault="00DF530B" w:rsidP="003A5801">
            <w:pPr>
              <w:autoSpaceDE w:val="0"/>
              <w:autoSpaceDN w:val="0"/>
              <w:adjustRightInd w:val="0"/>
              <w:spacing w:after="0"/>
              <w:rPr>
                <w:rFonts w:asciiTheme="minorHAnsi" w:hAnsiTheme="minorHAnsi" w:cstheme="minorHAnsi"/>
                <w:sz w:val="24"/>
                <w:szCs w:val="24"/>
              </w:rPr>
            </w:pPr>
          </w:p>
        </w:tc>
        <w:tc>
          <w:tcPr>
            <w:tcW w:w="1058" w:type="pct"/>
          </w:tcPr>
          <w:p w14:paraId="62D7F180" w14:textId="77777777" w:rsidR="00DF530B" w:rsidRPr="006E59BF" w:rsidRDefault="00DF530B" w:rsidP="007F1A73">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10:</w:t>
            </w:r>
            <w:r w:rsidRPr="006E59BF">
              <w:rPr>
                <w:rFonts w:asciiTheme="minorHAnsi" w:hAnsiTheme="minorHAnsi" w:cstheme="minorHAnsi"/>
                <w:szCs w:val="22"/>
                <w:lang w:val="en"/>
              </w:rPr>
              <w:t xml:space="preserve"> Regulators recognise the compliance record or regulated entities, including using earned autonomy where this is appropriate. All available and relevant data on compliance, including evidence ore relevant external verification is considered. </w:t>
            </w:r>
          </w:p>
        </w:tc>
        <w:tc>
          <w:tcPr>
            <w:tcW w:w="3765" w:type="pct"/>
            <w:gridSpan w:val="4"/>
            <w:vMerge/>
            <w:shd w:val="clear" w:color="auto" w:fill="D9D9D9" w:themeFill="background1" w:themeFillShade="D9"/>
          </w:tcPr>
          <w:p w14:paraId="1158A574" w14:textId="77777777" w:rsidR="00DF530B" w:rsidRPr="001955A3" w:rsidRDefault="00DF530B" w:rsidP="003A580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
              </w:rPr>
            </w:pPr>
          </w:p>
        </w:tc>
      </w:tr>
      <w:tr w:rsidR="00DF530B" w:rsidRPr="001955A3" w14:paraId="516079E5" w14:textId="77777777" w:rsidTr="008B3D8C">
        <w:trPr>
          <w:trHeight w:val="99"/>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16AEF7AE" w14:textId="77777777" w:rsidR="00DF530B" w:rsidRPr="00AE3C2A" w:rsidRDefault="00DF530B" w:rsidP="007F1A73">
            <w:pPr>
              <w:pStyle w:val="Default"/>
              <w:rPr>
                <w:rFonts w:asciiTheme="minorHAnsi" w:hAnsiTheme="minorHAnsi" w:cstheme="minorHAnsi"/>
                <w:color w:val="auto"/>
                <w:sz w:val="16"/>
                <w:szCs w:val="16"/>
              </w:rPr>
            </w:pPr>
          </w:p>
        </w:tc>
      </w:tr>
      <w:tr w:rsidR="00DF530B" w:rsidRPr="001955A3" w14:paraId="0424AA1C"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val="restart"/>
            <w:textDirection w:val="btLr"/>
          </w:tcPr>
          <w:p w14:paraId="7D311C0E" w14:textId="77777777" w:rsidR="00DF530B" w:rsidRPr="001955A3" w:rsidRDefault="00DF530B" w:rsidP="00DB4D4B">
            <w:pPr>
              <w:autoSpaceDE w:val="0"/>
              <w:autoSpaceDN w:val="0"/>
              <w:adjustRightInd w:val="0"/>
              <w:spacing w:after="0"/>
              <w:ind w:left="113" w:right="113"/>
              <w:jc w:val="right"/>
              <w:rPr>
                <w:rFonts w:asciiTheme="minorHAnsi" w:hAnsiTheme="minorHAnsi" w:cstheme="minorHAnsi"/>
                <w:sz w:val="24"/>
                <w:szCs w:val="24"/>
                <w:lang w:val="en"/>
              </w:rPr>
            </w:pPr>
            <w:r w:rsidRPr="001955A3">
              <w:rPr>
                <w:rFonts w:asciiTheme="minorHAnsi" w:hAnsiTheme="minorHAnsi" w:cstheme="minorHAnsi"/>
                <w:sz w:val="24"/>
                <w:szCs w:val="24"/>
              </w:rPr>
              <w:t>KPI 4 - Streamlined and coordinated compliance monitoring</w:t>
            </w:r>
          </w:p>
        </w:tc>
        <w:tc>
          <w:tcPr>
            <w:tcW w:w="1058" w:type="pct"/>
          </w:tcPr>
          <w:p w14:paraId="600E4B6E" w14:textId="77777777" w:rsidR="00DF530B" w:rsidRPr="006E59BF"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11:</w:t>
            </w:r>
            <w:r w:rsidRPr="006E59BF">
              <w:rPr>
                <w:rFonts w:asciiTheme="minorHAnsi" w:hAnsiTheme="minorHAnsi" w:cstheme="minorHAnsi"/>
                <w:szCs w:val="22"/>
                <w:lang w:val="en"/>
              </w:rPr>
              <w:t xml:space="preserve"> Regulators’ information requests are tailored and only made when necessary to secure regulatory objectives, and only then in a way that </w:t>
            </w:r>
            <w:proofErr w:type="spellStart"/>
            <w:r w:rsidRPr="006E59BF">
              <w:rPr>
                <w:rFonts w:asciiTheme="minorHAnsi" w:hAnsiTheme="minorHAnsi" w:cstheme="minorHAnsi"/>
                <w:szCs w:val="22"/>
                <w:lang w:val="en"/>
              </w:rPr>
              <w:t>minimises</w:t>
            </w:r>
            <w:proofErr w:type="spellEnd"/>
            <w:r w:rsidRPr="006E59BF">
              <w:rPr>
                <w:rFonts w:asciiTheme="minorHAnsi" w:hAnsiTheme="minorHAnsi" w:cstheme="minorHAnsi"/>
                <w:szCs w:val="22"/>
                <w:lang w:val="en"/>
              </w:rPr>
              <w:t xml:space="preserve"> impact.</w:t>
            </w:r>
          </w:p>
        </w:tc>
        <w:tc>
          <w:tcPr>
            <w:tcW w:w="998" w:type="pct"/>
            <w:vMerge w:val="restart"/>
            <w:shd w:val="clear" w:color="auto" w:fill="auto"/>
          </w:tcPr>
          <w:p w14:paraId="6D4C808F" w14:textId="77777777" w:rsidR="00DF530B" w:rsidRPr="006E59BF" w:rsidRDefault="00DF530B" w:rsidP="00B4193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Undertake an annual audit of compliance with continuing professional education (CPE) requirements for Patent and Trade Marks Attorneys by 30 November each year to ensure continued competence in the profession.</w:t>
            </w:r>
          </w:p>
        </w:tc>
        <w:tc>
          <w:tcPr>
            <w:tcW w:w="404" w:type="pct"/>
            <w:vMerge w:val="restart"/>
          </w:tcPr>
          <w:p w14:paraId="2AECF293" w14:textId="77777777" w:rsidR="00DF530B" w:rsidRPr="00851284" w:rsidRDefault="00DF530B" w:rsidP="00B4193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851284">
              <w:rPr>
                <w:rFonts w:asciiTheme="minorHAnsi" w:hAnsiTheme="minorHAnsi" w:cstheme="minorHAnsi"/>
                <w:sz w:val="20"/>
                <w:lang w:val="en"/>
              </w:rPr>
              <w:t>POLICY AND GOVERNANCE GROUP (PGG)</w:t>
            </w:r>
          </w:p>
        </w:tc>
        <w:tc>
          <w:tcPr>
            <w:tcW w:w="352" w:type="pct"/>
            <w:vMerge w:val="restart"/>
          </w:tcPr>
          <w:p w14:paraId="5F22B85C" w14:textId="35B301EF" w:rsidR="00DF530B" w:rsidRPr="00851284" w:rsidRDefault="00DF530B" w:rsidP="00DE0CFF">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851284">
              <w:rPr>
                <w:rFonts w:asciiTheme="minorHAnsi" w:hAnsiTheme="minorHAnsi" w:cstheme="minorHAnsi"/>
                <w:sz w:val="20"/>
              </w:rPr>
              <w:t>Target met</w:t>
            </w:r>
          </w:p>
        </w:tc>
        <w:tc>
          <w:tcPr>
            <w:tcW w:w="2010" w:type="pct"/>
            <w:vMerge w:val="restart"/>
          </w:tcPr>
          <w:p w14:paraId="52077BC9" w14:textId="7CC2C0E5" w:rsidR="00DF530B" w:rsidRPr="009C45AC" w:rsidRDefault="00CE6A83" w:rsidP="00CE6A83">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Calibri" w:hAnsi="Calibri" w:cs="Times New Roman"/>
                <w:color w:val="auto"/>
                <w:sz w:val="22"/>
                <w:szCs w:val="22"/>
                <w:lang w:val="en-AU" w:eastAsia="en-AU"/>
              </w:rPr>
              <w:t>The annual audit of compliance with 2017</w:t>
            </w:r>
            <w:r w:rsidRPr="009C45AC">
              <w:rPr>
                <w:rFonts w:ascii="Calibri" w:hAnsi="Calibri" w:cs="Times New Roman"/>
                <w:color w:val="auto"/>
                <w:sz w:val="22"/>
                <w:szCs w:val="22"/>
                <w:lang w:val="en-AU" w:eastAsia="en-AU"/>
              </w:rPr>
              <w:noBreakHyphen/>
              <w:t>18 CPE requirements for Patent and Trade Mark Attorneys was conducted in September 2018. Analysis will be completed by 30 November 2018 as per the performance criteria.</w:t>
            </w:r>
          </w:p>
        </w:tc>
      </w:tr>
      <w:tr w:rsidR="00DF530B" w:rsidRPr="001955A3" w14:paraId="76951A25"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0D9EB0B8" w14:textId="77777777" w:rsidR="00DF530B" w:rsidRPr="001955A3" w:rsidRDefault="00DF530B" w:rsidP="003A5801">
            <w:pPr>
              <w:autoSpaceDE w:val="0"/>
              <w:autoSpaceDN w:val="0"/>
              <w:adjustRightInd w:val="0"/>
              <w:spacing w:after="0"/>
              <w:rPr>
                <w:rFonts w:asciiTheme="minorHAnsi" w:hAnsiTheme="minorHAnsi" w:cstheme="minorHAnsi"/>
                <w:sz w:val="24"/>
                <w:szCs w:val="24"/>
              </w:rPr>
            </w:pPr>
          </w:p>
        </w:tc>
        <w:tc>
          <w:tcPr>
            <w:tcW w:w="1058" w:type="pct"/>
          </w:tcPr>
          <w:p w14:paraId="1BEE2D55" w14:textId="77777777" w:rsidR="00DF530B" w:rsidRPr="006E59BF"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12:</w:t>
            </w:r>
            <w:r w:rsidRPr="006E59BF">
              <w:rPr>
                <w:rFonts w:asciiTheme="minorHAnsi" w:hAnsiTheme="minorHAnsi" w:cstheme="minorHAnsi"/>
                <w:szCs w:val="22"/>
                <w:lang w:val="en"/>
              </w:rPr>
              <w:t xml:space="preserve"> Regulators’ frequency of information is minimised and coordinated with similar processes including those of other regulators so that, as far as possible, information is only requested once. </w:t>
            </w:r>
          </w:p>
        </w:tc>
        <w:tc>
          <w:tcPr>
            <w:tcW w:w="998" w:type="pct"/>
            <w:vMerge/>
            <w:shd w:val="clear" w:color="auto" w:fill="auto"/>
          </w:tcPr>
          <w:p w14:paraId="1B4DC8FC" w14:textId="77777777" w:rsidR="00DF530B" w:rsidRPr="001955A3" w:rsidRDefault="00DF530B" w:rsidP="00B4193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lang w:val="en"/>
              </w:rPr>
            </w:pPr>
          </w:p>
        </w:tc>
        <w:tc>
          <w:tcPr>
            <w:tcW w:w="404" w:type="pct"/>
            <w:vMerge/>
          </w:tcPr>
          <w:p w14:paraId="12241A61" w14:textId="77777777" w:rsidR="00DF530B" w:rsidRPr="001955A3" w:rsidRDefault="00DF530B" w:rsidP="00B4193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
              </w:rPr>
            </w:pPr>
          </w:p>
        </w:tc>
        <w:tc>
          <w:tcPr>
            <w:tcW w:w="352" w:type="pct"/>
            <w:vMerge/>
          </w:tcPr>
          <w:p w14:paraId="0E14C2E0" w14:textId="77777777" w:rsidR="00DF530B" w:rsidRPr="001955A3"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
              </w:rPr>
            </w:pPr>
          </w:p>
        </w:tc>
        <w:tc>
          <w:tcPr>
            <w:tcW w:w="2010" w:type="pct"/>
            <w:vMerge/>
          </w:tcPr>
          <w:p w14:paraId="4D84B15D" w14:textId="77777777" w:rsidR="00DF530B" w:rsidRPr="009C45AC" w:rsidRDefault="00DF530B" w:rsidP="003A5801">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tc>
      </w:tr>
      <w:tr w:rsidR="00DF530B" w:rsidRPr="001955A3" w14:paraId="7856F3A1"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17282541" w14:textId="77777777" w:rsidR="00DF530B" w:rsidRPr="001955A3" w:rsidRDefault="00DF530B" w:rsidP="003A5801">
            <w:pPr>
              <w:autoSpaceDE w:val="0"/>
              <w:autoSpaceDN w:val="0"/>
              <w:adjustRightInd w:val="0"/>
              <w:spacing w:after="0"/>
              <w:rPr>
                <w:rFonts w:asciiTheme="minorHAnsi" w:hAnsiTheme="minorHAnsi" w:cstheme="minorHAnsi"/>
                <w:sz w:val="24"/>
                <w:szCs w:val="24"/>
              </w:rPr>
            </w:pPr>
          </w:p>
        </w:tc>
        <w:tc>
          <w:tcPr>
            <w:tcW w:w="1058" w:type="pct"/>
          </w:tcPr>
          <w:p w14:paraId="7A29EAA1" w14:textId="51F7D00D" w:rsidR="00DF530B" w:rsidRPr="006E59BF"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u w:val="single"/>
                <w:lang w:val="en"/>
              </w:rPr>
            </w:pPr>
            <w:r w:rsidRPr="006E59BF">
              <w:rPr>
                <w:rFonts w:asciiTheme="minorHAnsi" w:hAnsiTheme="minorHAnsi" w:cstheme="minorHAnsi"/>
                <w:b/>
                <w:szCs w:val="22"/>
                <w:u w:val="single"/>
                <w:lang w:val="en"/>
              </w:rPr>
              <w:t>RPF 14:</w:t>
            </w:r>
            <w:r w:rsidRPr="006E59BF">
              <w:rPr>
                <w:rFonts w:asciiTheme="minorHAnsi" w:hAnsiTheme="minorHAnsi" w:cstheme="minorHAnsi"/>
                <w:szCs w:val="22"/>
                <w:lang w:val="en"/>
              </w:rPr>
              <w:t xml:space="preserve"> Regulators base monitoring and inspection approaches on risk, and, where possible, take into account the circumstances and operational needs of the regulated entity.</w:t>
            </w:r>
          </w:p>
        </w:tc>
        <w:tc>
          <w:tcPr>
            <w:tcW w:w="998" w:type="pct"/>
            <w:vMerge/>
            <w:shd w:val="clear" w:color="auto" w:fill="auto"/>
          </w:tcPr>
          <w:p w14:paraId="351B0F49" w14:textId="77777777" w:rsidR="00DF530B" w:rsidRPr="001955A3" w:rsidRDefault="00DF530B" w:rsidP="00B4193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lang w:val="en"/>
              </w:rPr>
            </w:pPr>
          </w:p>
        </w:tc>
        <w:tc>
          <w:tcPr>
            <w:tcW w:w="404" w:type="pct"/>
            <w:vMerge/>
          </w:tcPr>
          <w:p w14:paraId="6A263377" w14:textId="77777777" w:rsidR="00DF530B" w:rsidRPr="001955A3" w:rsidRDefault="00DF530B" w:rsidP="00B4193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
              </w:rPr>
            </w:pPr>
          </w:p>
        </w:tc>
        <w:tc>
          <w:tcPr>
            <w:tcW w:w="352" w:type="pct"/>
            <w:vMerge/>
          </w:tcPr>
          <w:p w14:paraId="5691552A" w14:textId="77777777" w:rsidR="00DF530B" w:rsidRPr="001955A3"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
              </w:rPr>
            </w:pPr>
          </w:p>
        </w:tc>
        <w:tc>
          <w:tcPr>
            <w:tcW w:w="2010" w:type="pct"/>
            <w:vMerge/>
          </w:tcPr>
          <w:p w14:paraId="207D0C8B" w14:textId="77777777" w:rsidR="00DF530B" w:rsidRPr="009C45AC" w:rsidRDefault="00DF530B" w:rsidP="003A5801">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tc>
      </w:tr>
      <w:tr w:rsidR="00DF530B" w:rsidRPr="001955A3" w14:paraId="7EAACF92"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5118E3B8" w14:textId="77777777" w:rsidR="00DF530B" w:rsidRPr="001955A3" w:rsidRDefault="00DF530B" w:rsidP="003A5801">
            <w:pPr>
              <w:autoSpaceDE w:val="0"/>
              <w:autoSpaceDN w:val="0"/>
              <w:adjustRightInd w:val="0"/>
              <w:spacing w:after="0"/>
              <w:rPr>
                <w:rFonts w:asciiTheme="minorHAnsi" w:hAnsiTheme="minorHAnsi" w:cstheme="minorHAnsi"/>
                <w:sz w:val="24"/>
                <w:szCs w:val="24"/>
              </w:rPr>
            </w:pPr>
          </w:p>
        </w:tc>
        <w:tc>
          <w:tcPr>
            <w:tcW w:w="1058" w:type="pct"/>
          </w:tcPr>
          <w:p w14:paraId="42E4E16F" w14:textId="77777777" w:rsidR="00DF530B" w:rsidRPr="006E59BF"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13:</w:t>
            </w:r>
            <w:r w:rsidRPr="006E59BF">
              <w:rPr>
                <w:rFonts w:asciiTheme="minorHAnsi" w:hAnsiTheme="minorHAnsi" w:cstheme="minorHAnsi"/>
                <w:szCs w:val="22"/>
                <w:lang w:val="en"/>
              </w:rPr>
              <w:t xml:space="preserve"> Regulators utilise existing information to limit the reliance on requests from regulated entities and share the information among other regulators, where possible.</w:t>
            </w:r>
          </w:p>
        </w:tc>
        <w:tc>
          <w:tcPr>
            <w:tcW w:w="3765" w:type="pct"/>
            <w:gridSpan w:val="4"/>
            <w:shd w:val="clear" w:color="auto" w:fill="D9D9D9" w:themeFill="background1" w:themeFillShade="D9"/>
          </w:tcPr>
          <w:p w14:paraId="166D6AE7" w14:textId="2B855581" w:rsidR="00DF530B" w:rsidRPr="009C45AC" w:rsidRDefault="00DF530B" w:rsidP="003A5801">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sz w:val="22"/>
                <w:szCs w:val="22"/>
                <w:lang w:val="en"/>
              </w:rPr>
              <w:t xml:space="preserve">Not relevant for IP Australia - Information requested by IP Australia for examination applications is not open for public inspection in line with other IP Offices. </w:t>
            </w:r>
          </w:p>
        </w:tc>
      </w:tr>
      <w:tr w:rsidR="00DF530B" w:rsidRPr="001955A3" w14:paraId="4C73DD3E" w14:textId="77777777" w:rsidTr="008B3D8C">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260FEFEB" w14:textId="77777777" w:rsidR="00DF530B" w:rsidRPr="009C45AC" w:rsidRDefault="00DF530B" w:rsidP="007F1A73">
            <w:pPr>
              <w:pStyle w:val="Default"/>
              <w:rPr>
                <w:rFonts w:asciiTheme="minorHAnsi" w:hAnsiTheme="minorHAnsi" w:cstheme="minorHAnsi"/>
                <w:color w:val="FF0000"/>
                <w:sz w:val="22"/>
                <w:szCs w:val="22"/>
                <w:lang w:val="en"/>
              </w:rPr>
            </w:pPr>
          </w:p>
        </w:tc>
      </w:tr>
      <w:tr w:rsidR="00DF530B" w:rsidRPr="001955A3" w14:paraId="40C7C914"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val="restart"/>
            <w:textDirection w:val="btLr"/>
          </w:tcPr>
          <w:p w14:paraId="13FB6952" w14:textId="77777777" w:rsidR="00DF530B" w:rsidRPr="001955A3" w:rsidRDefault="00DF530B" w:rsidP="001F20E3">
            <w:pPr>
              <w:autoSpaceDE w:val="0"/>
              <w:autoSpaceDN w:val="0"/>
              <w:adjustRightInd w:val="0"/>
              <w:spacing w:after="0"/>
              <w:ind w:left="113" w:right="113"/>
              <w:jc w:val="right"/>
              <w:rPr>
                <w:rFonts w:asciiTheme="minorHAnsi" w:hAnsiTheme="minorHAnsi" w:cstheme="minorHAnsi"/>
                <w:sz w:val="24"/>
                <w:szCs w:val="24"/>
                <w:lang w:val="en"/>
              </w:rPr>
            </w:pPr>
            <w:r w:rsidRPr="001955A3">
              <w:rPr>
                <w:rFonts w:asciiTheme="minorHAnsi" w:hAnsiTheme="minorHAnsi" w:cstheme="minorHAnsi"/>
                <w:sz w:val="24"/>
                <w:szCs w:val="24"/>
              </w:rPr>
              <w:lastRenderedPageBreak/>
              <w:t>KPI 5 - Open and transparent in dealings</w:t>
            </w:r>
          </w:p>
        </w:tc>
        <w:tc>
          <w:tcPr>
            <w:tcW w:w="1058" w:type="pct"/>
          </w:tcPr>
          <w:p w14:paraId="2F042171" w14:textId="77777777" w:rsidR="00DF530B" w:rsidRPr="006E59BF" w:rsidRDefault="00DF530B" w:rsidP="001F20E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15:</w:t>
            </w:r>
            <w:r w:rsidRPr="006E59BF">
              <w:rPr>
                <w:rFonts w:asciiTheme="minorHAnsi" w:hAnsiTheme="minorHAnsi" w:cstheme="minorHAnsi"/>
                <w:szCs w:val="22"/>
                <w:lang w:val="en"/>
              </w:rPr>
              <w:t xml:space="preserve"> Regulators’ risk-based frameworks are publically available in a format which is clear, understandable and accessible</w:t>
            </w:r>
          </w:p>
        </w:tc>
        <w:tc>
          <w:tcPr>
            <w:tcW w:w="998" w:type="pct"/>
            <w:shd w:val="clear" w:color="auto" w:fill="auto"/>
          </w:tcPr>
          <w:p w14:paraId="75151B77" w14:textId="042840A1" w:rsidR="00DF530B" w:rsidRPr="006E59BF" w:rsidRDefault="00DF530B" w:rsidP="00C115F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Cs w:val="22"/>
                <w:lang w:val="en"/>
              </w:rPr>
            </w:pPr>
            <w:r w:rsidRPr="006E59BF">
              <w:rPr>
                <w:rFonts w:asciiTheme="minorHAnsi" w:hAnsiTheme="minorHAnsi" w:cstheme="minorHAnsi"/>
                <w:szCs w:val="22"/>
                <w:lang w:val="en"/>
              </w:rPr>
              <w:t>Maintain certification of our QMS for business processes to the ISO 9001 standard to ensure we fulfil our role as administrators of the IP system effectively, efficiently and to a high standard.</w:t>
            </w:r>
          </w:p>
        </w:tc>
        <w:tc>
          <w:tcPr>
            <w:tcW w:w="404" w:type="pct"/>
          </w:tcPr>
          <w:p w14:paraId="45CB94B3" w14:textId="4E96B702" w:rsidR="00DF530B" w:rsidRPr="00E96BFC" w:rsidRDefault="000B3A8F" w:rsidP="001F20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FBSG</w:t>
            </w:r>
          </w:p>
        </w:tc>
        <w:tc>
          <w:tcPr>
            <w:tcW w:w="352" w:type="pct"/>
          </w:tcPr>
          <w:p w14:paraId="2E14633B" w14:textId="1D4E5048" w:rsidR="00DF530B" w:rsidRPr="00E96BFC" w:rsidRDefault="00DF530B" w:rsidP="003B62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Target met</w:t>
            </w:r>
          </w:p>
        </w:tc>
        <w:tc>
          <w:tcPr>
            <w:tcW w:w="2010" w:type="pct"/>
          </w:tcPr>
          <w:p w14:paraId="5F2F9DDB" w14:textId="200DAF78" w:rsidR="00DF530B" w:rsidRPr="009C45AC" w:rsidRDefault="000B3A8F" w:rsidP="001F20E3">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See comments against RPF3.</w:t>
            </w:r>
          </w:p>
        </w:tc>
      </w:tr>
      <w:tr w:rsidR="00DF530B" w:rsidRPr="001955A3" w14:paraId="40E3E28D"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4B79DB08" w14:textId="77777777" w:rsidR="00DF530B" w:rsidRPr="001955A3" w:rsidRDefault="00DF530B" w:rsidP="003A5801">
            <w:pPr>
              <w:autoSpaceDE w:val="0"/>
              <w:autoSpaceDN w:val="0"/>
              <w:adjustRightInd w:val="0"/>
              <w:spacing w:after="0"/>
              <w:rPr>
                <w:rFonts w:asciiTheme="minorHAnsi" w:hAnsiTheme="minorHAnsi" w:cstheme="minorHAnsi"/>
                <w:sz w:val="24"/>
                <w:szCs w:val="24"/>
              </w:rPr>
            </w:pPr>
          </w:p>
        </w:tc>
        <w:tc>
          <w:tcPr>
            <w:tcW w:w="1058" w:type="pct"/>
            <w:vMerge w:val="restart"/>
          </w:tcPr>
          <w:p w14:paraId="1CD4A8C9" w14:textId="77777777" w:rsidR="00DF530B" w:rsidRPr="006E59BF"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16:</w:t>
            </w:r>
            <w:r w:rsidRPr="006E59BF">
              <w:rPr>
                <w:rFonts w:asciiTheme="minorHAnsi" w:hAnsiTheme="minorHAnsi" w:cstheme="minorHAnsi"/>
                <w:szCs w:val="22"/>
                <w:lang w:val="en"/>
              </w:rPr>
              <w:t xml:space="preserve"> Regulators are open and responsive to requests from regulated entities regarding the operation of the regulatory framework, and approaches implemented by regulators.</w:t>
            </w:r>
          </w:p>
        </w:tc>
        <w:tc>
          <w:tcPr>
            <w:tcW w:w="998" w:type="pct"/>
          </w:tcPr>
          <w:p w14:paraId="255BE98F" w14:textId="77777777" w:rsidR="00DF530B" w:rsidRPr="006E59BF" w:rsidRDefault="00DF530B" w:rsidP="00B4193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85% of correspondence relating to the examination of your application will be issued within 20 working days of receiving the correspondence</w:t>
            </w:r>
          </w:p>
        </w:tc>
        <w:tc>
          <w:tcPr>
            <w:tcW w:w="404" w:type="pct"/>
          </w:tcPr>
          <w:p w14:paraId="521BD1D0" w14:textId="77777777" w:rsidR="00DF530B" w:rsidRPr="00E96BFC" w:rsidRDefault="00DF530B" w:rsidP="00B419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IP RIGHTS</w:t>
            </w:r>
          </w:p>
        </w:tc>
        <w:tc>
          <w:tcPr>
            <w:tcW w:w="352" w:type="pct"/>
          </w:tcPr>
          <w:p w14:paraId="104D019D" w14:textId="6A13840E" w:rsidR="00DF530B" w:rsidRPr="00E96BFC" w:rsidRDefault="00DF530B" w:rsidP="000B3A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 xml:space="preserve">Target </w:t>
            </w:r>
            <w:r w:rsidR="00500885">
              <w:rPr>
                <w:rFonts w:asciiTheme="minorHAnsi" w:hAnsiTheme="minorHAnsi" w:cstheme="minorHAnsi"/>
                <w:sz w:val="20"/>
              </w:rPr>
              <w:t xml:space="preserve">partially </w:t>
            </w:r>
            <w:r w:rsidRPr="00E96BFC">
              <w:rPr>
                <w:rFonts w:asciiTheme="minorHAnsi" w:hAnsiTheme="minorHAnsi" w:cstheme="minorHAnsi"/>
                <w:sz w:val="20"/>
              </w:rPr>
              <w:t>met</w:t>
            </w:r>
          </w:p>
        </w:tc>
        <w:tc>
          <w:tcPr>
            <w:tcW w:w="2010" w:type="pct"/>
          </w:tcPr>
          <w:p w14:paraId="30C3B230" w14:textId="43CA5AB8" w:rsidR="00DF530B" w:rsidRPr="009C45AC" w:rsidRDefault="00DF530B" w:rsidP="00B96CCD">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 xml:space="preserve">Compliance across all IP Rights for FY 2017-18 was recorded as follows: </w:t>
            </w:r>
          </w:p>
          <w:p w14:paraId="0403F412" w14:textId="263F8060" w:rsidR="000B3A8F" w:rsidRPr="009C45AC" w:rsidRDefault="00DF530B" w:rsidP="000B3A8F">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Patents – </w:t>
            </w:r>
            <w:r w:rsidR="000B3A8F" w:rsidRPr="009C45AC">
              <w:rPr>
                <w:rFonts w:asciiTheme="minorHAnsi" w:hAnsiTheme="minorHAnsi" w:cstheme="minorHAnsi"/>
                <w:color w:val="auto"/>
                <w:sz w:val="22"/>
                <w:szCs w:val="22"/>
              </w:rPr>
              <w:t>83</w:t>
            </w:r>
            <w:r w:rsidRPr="009C45AC">
              <w:rPr>
                <w:rFonts w:asciiTheme="minorHAnsi" w:hAnsiTheme="minorHAnsi" w:cstheme="minorHAnsi"/>
                <w:color w:val="auto"/>
                <w:sz w:val="22"/>
                <w:szCs w:val="22"/>
              </w:rPr>
              <w:t xml:space="preserve">% of </w:t>
            </w:r>
            <w:r w:rsidR="000B3A8F" w:rsidRPr="009C45AC">
              <w:rPr>
                <w:rFonts w:asciiTheme="minorHAnsi" w:hAnsiTheme="minorHAnsi" w:cstheme="minorHAnsi"/>
                <w:color w:val="auto"/>
                <w:sz w:val="22"/>
                <w:szCs w:val="22"/>
              </w:rPr>
              <w:t xml:space="preserve">patents </w:t>
            </w:r>
            <w:r w:rsidRPr="009C45AC">
              <w:rPr>
                <w:rFonts w:asciiTheme="minorHAnsi" w:hAnsiTheme="minorHAnsi" w:cstheme="minorHAnsi"/>
                <w:color w:val="auto"/>
                <w:sz w:val="22"/>
                <w:szCs w:val="22"/>
              </w:rPr>
              <w:t xml:space="preserve">correspondence responded to within 20 </w:t>
            </w:r>
            <w:r w:rsidR="000B3A8F" w:rsidRPr="009C45AC">
              <w:rPr>
                <w:rFonts w:asciiTheme="minorHAnsi" w:hAnsiTheme="minorHAnsi" w:cstheme="minorHAnsi"/>
                <w:color w:val="auto"/>
                <w:sz w:val="22"/>
                <w:szCs w:val="22"/>
              </w:rPr>
              <w:t>working days</w:t>
            </w:r>
            <w:r w:rsidRPr="009C45AC">
              <w:rPr>
                <w:rFonts w:asciiTheme="minorHAnsi" w:hAnsiTheme="minorHAnsi" w:cstheme="minorHAnsi"/>
                <w:color w:val="auto"/>
                <w:sz w:val="22"/>
                <w:szCs w:val="22"/>
              </w:rPr>
              <w:t>.</w:t>
            </w:r>
            <w:r w:rsidR="000B3A8F" w:rsidRPr="009C45AC">
              <w:rPr>
                <w:rFonts w:asciiTheme="minorHAnsi" w:hAnsiTheme="minorHAnsi" w:cstheme="minorHAnsi"/>
                <w:color w:val="auto"/>
                <w:sz w:val="22"/>
                <w:szCs w:val="22"/>
              </w:rPr>
              <w:t xml:space="preserve"> In the interest of good service IP Australia has improved timeliness metrics to a new, more customer-centric metric (compliance rate vs average time). Reporting has been updated to catch up with that change. Compliance against this new customer-centric metric requires a higher standard of work for examination staff, which has resulted in non-compliance at this time. Management is closely monitoring the performance against the new metrics and processes are being adapted to suit the new metrics. </w:t>
            </w:r>
          </w:p>
          <w:p w14:paraId="785AECC7" w14:textId="52BD65AE" w:rsidR="00DF530B" w:rsidRPr="009C45AC" w:rsidRDefault="00DF530B" w:rsidP="00B96CCD">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PBR – </w:t>
            </w:r>
            <w:r w:rsidR="000B3A8F" w:rsidRPr="009C45AC">
              <w:rPr>
                <w:rFonts w:asciiTheme="minorHAnsi" w:hAnsiTheme="minorHAnsi" w:cstheme="minorHAnsi"/>
                <w:color w:val="auto"/>
                <w:sz w:val="22"/>
                <w:szCs w:val="22"/>
              </w:rPr>
              <w:t>100</w:t>
            </w:r>
            <w:r w:rsidRPr="009C45AC">
              <w:rPr>
                <w:rFonts w:asciiTheme="minorHAnsi" w:hAnsiTheme="minorHAnsi" w:cstheme="minorHAnsi"/>
                <w:color w:val="auto"/>
                <w:sz w:val="22"/>
                <w:szCs w:val="22"/>
              </w:rPr>
              <w:t xml:space="preserve">% of </w:t>
            </w:r>
            <w:r w:rsidR="000B3A8F" w:rsidRPr="009C45AC">
              <w:rPr>
                <w:rFonts w:asciiTheme="minorHAnsi" w:hAnsiTheme="minorHAnsi" w:cstheme="minorHAnsi"/>
                <w:color w:val="auto"/>
                <w:sz w:val="22"/>
                <w:szCs w:val="22"/>
              </w:rPr>
              <w:t xml:space="preserve">PBR </w:t>
            </w:r>
            <w:r w:rsidRPr="009C45AC">
              <w:rPr>
                <w:rFonts w:asciiTheme="minorHAnsi" w:hAnsiTheme="minorHAnsi" w:cstheme="minorHAnsi"/>
                <w:color w:val="auto"/>
                <w:sz w:val="22"/>
                <w:szCs w:val="22"/>
              </w:rPr>
              <w:t xml:space="preserve">correspondence responded to within 20 </w:t>
            </w:r>
            <w:r w:rsidR="000B3A8F" w:rsidRPr="009C45AC">
              <w:rPr>
                <w:rFonts w:asciiTheme="minorHAnsi" w:hAnsiTheme="minorHAnsi" w:cstheme="minorHAnsi"/>
                <w:color w:val="auto"/>
                <w:sz w:val="22"/>
                <w:szCs w:val="22"/>
              </w:rPr>
              <w:t xml:space="preserve">working </w:t>
            </w:r>
            <w:r w:rsidRPr="009C45AC">
              <w:rPr>
                <w:rFonts w:asciiTheme="minorHAnsi" w:hAnsiTheme="minorHAnsi" w:cstheme="minorHAnsi"/>
                <w:color w:val="auto"/>
                <w:sz w:val="22"/>
                <w:szCs w:val="22"/>
              </w:rPr>
              <w:t>days</w:t>
            </w:r>
          </w:p>
          <w:p w14:paraId="519BCB23" w14:textId="30D411D8" w:rsidR="00DF530B" w:rsidRPr="009C45AC" w:rsidRDefault="00DF530B" w:rsidP="00B96CCD">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TM – </w:t>
            </w:r>
            <w:r w:rsidR="000B3A8F" w:rsidRPr="009C45AC">
              <w:rPr>
                <w:rFonts w:asciiTheme="minorHAnsi" w:hAnsiTheme="minorHAnsi" w:cstheme="minorHAnsi"/>
                <w:color w:val="auto"/>
                <w:sz w:val="22"/>
                <w:szCs w:val="22"/>
              </w:rPr>
              <w:t>89</w:t>
            </w:r>
            <w:r w:rsidRPr="009C45AC">
              <w:rPr>
                <w:rFonts w:asciiTheme="minorHAnsi" w:hAnsiTheme="minorHAnsi" w:cstheme="minorHAnsi"/>
                <w:color w:val="auto"/>
                <w:sz w:val="22"/>
                <w:szCs w:val="22"/>
              </w:rPr>
              <w:t xml:space="preserve">% of </w:t>
            </w:r>
            <w:r w:rsidR="000B3A8F" w:rsidRPr="009C45AC">
              <w:rPr>
                <w:rFonts w:asciiTheme="minorHAnsi" w:hAnsiTheme="minorHAnsi" w:cstheme="minorHAnsi"/>
                <w:color w:val="auto"/>
                <w:sz w:val="22"/>
                <w:szCs w:val="22"/>
              </w:rPr>
              <w:t xml:space="preserve">TM </w:t>
            </w:r>
            <w:r w:rsidRPr="009C45AC">
              <w:rPr>
                <w:rFonts w:asciiTheme="minorHAnsi" w:hAnsiTheme="minorHAnsi" w:cstheme="minorHAnsi"/>
                <w:color w:val="auto"/>
                <w:sz w:val="22"/>
                <w:szCs w:val="22"/>
              </w:rPr>
              <w:t xml:space="preserve">correspondence responded to within 20 </w:t>
            </w:r>
            <w:r w:rsidR="000B3A8F" w:rsidRPr="009C45AC">
              <w:rPr>
                <w:rFonts w:asciiTheme="minorHAnsi" w:hAnsiTheme="minorHAnsi" w:cstheme="minorHAnsi"/>
                <w:color w:val="auto"/>
                <w:sz w:val="22"/>
                <w:szCs w:val="22"/>
              </w:rPr>
              <w:t xml:space="preserve">working </w:t>
            </w:r>
            <w:r w:rsidRPr="009C45AC">
              <w:rPr>
                <w:rFonts w:asciiTheme="minorHAnsi" w:hAnsiTheme="minorHAnsi" w:cstheme="minorHAnsi"/>
                <w:color w:val="auto"/>
                <w:sz w:val="22"/>
                <w:szCs w:val="22"/>
              </w:rPr>
              <w:t>days</w:t>
            </w:r>
          </w:p>
          <w:p w14:paraId="7543B0D5" w14:textId="3D7688C3" w:rsidR="00DF530B" w:rsidRPr="009C45AC" w:rsidRDefault="00DF530B" w:rsidP="000B3A8F">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Designs – </w:t>
            </w:r>
            <w:r w:rsidR="000B3A8F" w:rsidRPr="009C45AC">
              <w:rPr>
                <w:rFonts w:asciiTheme="minorHAnsi" w:hAnsiTheme="minorHAnsi" w:cstheme="minorHAnsi"/>
                <w:color w:val="auto"/>
                <w:sz w:val="22"/>
                <w:szCs w:val="22"/>
              </w:rPr>
              <w:t>98</w:t>
            </w:r>
            <w:r w:rsidRPr="009C45AC">
              <w:rPr>
                <w:rFonts w:asciiTheme="minorHAnsi" w:hAnsiTheme="minorHAnsi" w:cstheme="minorHAnsi"/>
                <w:color w:val="auto"/>
                <w:sz w:val="22"/>
                <w:szCs w:val="22"/>
              </w:rPr>
              <w:t>% of</w:t>
            </w:r>
            <w:r w:rsidR="000B3A8F" w:rsidRPr="009C45AC">
              <w:rPr>
                <w:rFonts w:asciiTheme="minorHAnsi" w:hAnsiTheme="minorHAnsi" w:cstheme="minorHAnsi"/>
                <w:color w:val="auto"/>
                <w:sz w:val="22"/>
                <w:szCs w:val="22"/>
              </w:rPr>
              <w:t xml:space="preserve"> Designs</w:t>
            </w:r>
            <w:r w:rsidRPr="009C45AC">
              <w:rPr>
                <w:rFonts w:asciiTheme="minorHAnsi" w:hAnsiTheme="minorHAnsi" w:cstheme="minorHAnsi"/>
                <w:color w:val="auto"/>
                <w:sz w:val="22"/>
                <w:szCs w:val="22"/>
              </w:rPr>
              <w:t xml:space="preserve"> correspondence responded to within 20 </w:t>
            </w:r>
            <w:r w:rsidR="000B3A8F" w:rsidRPr="009C45AC">
              <w:rPr>
                <w:rFonts w:asciiTheme="minorHAnsi" w:hAnsiTheme="minorHAnsi" w:cstheme="minorHAnsi"/>
                <w:color w:val="auto"/>
                <w:sz w:val="22"/>
                <w:szCs w:val="22"/>
              </w:rPr>
              <w:t xml:space="preserve">working </w:t>
            </w:r>
            <w:r w:rsidRPr="009C45AC">
              <w:rPr>
                <w:rFonts w:asciiTheme="minorHAnsi" w:hAnsiTheme="minorHAnsi" w:cstheme="minorHAnsi"/>
                <w:color w:val="auto"/>
                <w:sz w:val="22"/>
                <w:szCs w:val="22"/>
              </w:rPr>
              <w:t>days</w:t>
            </w:r>
          </w:p>
        </w:tc>
      </w:tr>
      <w:tr w:rsidR="00DF530B" w:rsidRPr="001955A3" w14:paraId="6231EC80" w14:textId="77777777" w:rsidTr="008B3D8C">
        <w:trPr>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017708C7" w14:textId="77777777" w:rsidR="00DF530B" w:rsidRPr="001955A3" w:rsidRDefault="00DF530B" w:rsidP="003A5801">
            <w:pPr>
              <w:autoSpaceDE w:val="0"/>
              <w:autoSpaceDN w:val="0"/>
              <w:adjustRightInd w:val="0"/>
              <w:spacing w:after="0"/>
              <w:rPr>
                <w:rFonts w:asciiTheme="minorHAnsi" w:hAnsiTheme="minorHAnsi" w:cstheme="minorHAnsi"/>
                <w:sz w:val="24"/>
                <w:szCs w:val="24"/>
                <w:lang w:val="en"/>
              </w:rPr>
            </w:pPr>
          </w:p>
        </w:tc>
        <w:tc>
          <w:tcPr>
            <w:tcW w:w="1058" w:type="pct"/>
            <w:vMerge/>
          </w:tcPr>
          <w:p w14:paraId="4E986DB1" w14:textId="77777777" w:rsidR="00DF530B" w:rsidRPr="006E59BF"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p>
        </w:tc>
        <w:tc>
          <w:tcPr>
            <w:tcW w:w="998" w:type="pct"/>
          </w:tcPr>
          <w:p w14:paraId="48B5105E" w14:textId="77777777" w:rsidR="00DF530B" w:rsidRPr="006E59BF"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85% of decisions will be issued within 13 weeks of being heard, unless we receive further submissions or evidence.</w:t>
            </w:r>
          </w:p>
        </w:tc>
        <w:tc>
          <w:tcPr>
            <w:tcW w:w="404" w:type="pct"/>
          </w:tcPr>
          <w:p w14:paraId="6541CF1F" w14:textId="77777777" w:rsidR="00DF530B" w:rsidRPr="00E96BFC" w:rsidRDefault="00DF530B" w:rsidP="003A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IP RIGHTS</w:t>
            </w:r>
          </w:p>
        </w:tc>
        <w:tc>
          <w:tcPr>
            <w:tcW w:w="352" w:type="pct"/>
          </w:tcPr>
          <w:p w14:paraId="28B3C476" w14:textId="5166A44B" w:rsidR="00DF530B" w:rsidRPr="00E96BFC" w:rsidRDefault="00DF530B" w:rsidP="000B3A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partially met</w:t>
            </w:r>
          </w:p>
        </w:tc>
        <w:tc>
          <w:tcPr>
            <w:tcW w:w="2010" w:type="pct"/>
          </w:tcPr>
          <w:p w14:paraId="71662ED8" w14:textId="2E565AFE" w:rsidR="00DF530B" w:rsidRPr="009C45AC" w:rsidRDefault="00DF530B" w:rsidP="00B96CCD">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 xml:space="preserve">Compliance across all IP Rights for FY 2017-18 was recorded as follows: </w:t>
            </w:r>
          </w:p>
          <w:p w14:paraId="1488369D" w14:textId="77777777" w:rsidR="000B3A8F" w:rsidRPr="009C45AC" w:rsidRDefault="00DF530B" w:rsidP="000B3A8F">
            <w:pPr>
              <w:pStyle w:val="Default"/>
              <w:numPr>
                <w:ilvl w:val="0"/>
                <w:numId w:val="16"/>
              </w:numPr>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 xml:space="preserve">Patents – </w:t>
            </w:r>
            <w:r w:rsidR="000B3A8F" w:rsidRPr="009C45AC">
              <w:rPr>
                <w:rFonts w:asciiTheme="minorHAnsi" w:hAnsiTheme="minorHAnsi" w:cstheme="minorHAnsi"/>
                <w:color w:val="auto"/>
                <w:sz w:val="22"/>
                <w:szCs w:val="22"/>
                <w:lang w:val="en" w:eastAsia="en-AU"/>
              </w:rPr>
              <w:t>60% of patents hearings decisions were issued within 13 weeks. Low compliance was caused by case complexity and the high workload of individual hearing officers. To mitigate this, additional hearing officers are being trained and several retired employees have been brought back on contracts.</w:t>
            </w:r>
          </w:p>
          <w:p w14:paraId="7DBB8D25" w14:textId="77777777" w:rsidR="000B3A8F" w:rsidRPr="009C45AC" w:rsidRDefault="000B3A8F" w:rsidP="000B3A8F">
            <w:pPr>
              <w:pStyle w:val="Default"/>
              <w:numPr>
                <w:ilvl w:val="0"/>
                <w:numId w:val="16"/>
              </w:numPr>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TM - 81% of trade marks hearing decisions were issued within 13 weeks. The target was not met due to delays arising from unplanned staff leave early in the financial year.</w:t>
            </w:r>
          </w:p>
          <w:p w14:paraId="5EF5EC98" w14:textId="1F22C518" w:rsidR="000B3A8F" w:rsidRPr="009C45AC" w:rsidRDefault="000B3A8F" w:rsidP="000B3A8F">
            <w:pPr>
              <w:pStyle w:val="Default"/>
              <w:numPr>
                <w:ilvl w:val="0"/>
                <w:numId w:val="16"/>
              </w:numPr>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Designs - 100% of designs hearing decisions were issued within 13 weeks.</w:t>
            </w:r>
          </w:p>
          <w:p w14:paraId="1384A16F" w14:textId="366E30E2" w:rsidR="00DF530B" w:rsidRPr="009C45AC" w:rsidRDefault="000B3A8F" w:rsidP="000B3A8F">
            <w:pPr>
              <w:pStyle w:val="Default"/>
              <w:numPr>
                <w:ilvl w:val="0"/>
                <w:numId w:val="16"/>
              </w:numPr>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PBR – no decisions recorded</w:t>
            </w:r>
          </w:p>
        </w:tc>
      </w:tr>
      <w:tr w:rsidR="00DF530B" w:rsidRPr="001955A3" w14:paraId="72213FA0"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304AC7C9" w14:textId="77777777" w:rsidR="00DF530B" w:rsidRPr="001955A3" w:rsidRDefault="00DF530B" w:rsidP="003A5801">
            <w:pPr>
              <w:autoSpaceDE w:val="0"/>
              <w:autoSpaceDN w:val="0"/>
              <w:adjustRightInd w:val="0"/>
              <w:spacing w:after="0"/>
              <w:rPr>
                <w:rFonts w:asciiTheme="minorHAnsi" w:hAnsiTheme="minorHAnsi" w:cstheme="minorHAnsi"/>
                <w:sz w:val="24"/>
                <w:szCs w:val="24"/>
                <w:lang w:val="en"/>
              </w:rPr>
            </w:pPr>
          </w:p>
        </w:tc>
        <w:tc>
          <w:tcPr>
            <w:tcW w:w="1058" w:type="pct"/>
          </w:tcPr>
          <w:p w14:paraId="3FDF4954" w14:textId="77777777" w:rsidR="00DF530B" w:rsidRPr="006E59BF"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17:</w:t>
            </w:r>
            <w:r w:rsidRPr="006E59BF">
              <w:rPr>
                <w:rFonts w:asciiTheme="minorHAnsi" w:hAnsiTheme="minorHAnsi" w:cstheme="minorHAnsi"/>
                <w:szCs w:val="22"/>
                <w:lang w:val="en"/>
              </w:rPr>
              <w:t xml:space="preserve"> Regulators’ performance measurement results are published in a timely manner to ensure accountability to the public.</w:t>
            </w:r>
          </w:p>
        </w:tc>
        <w:tc>
          <w:tcPr>
            <w:tcW w:w="998" w:type="pct"/>
            <w:shd w:val="clear" w:color="auto" w:fill="auto"/>
          </w:tcPr>
          <w:p w14:paraId="740CF726" w14:textId="77777777" w:rsidR="00DF530B" w:rsidRPr="006E59BF" w:rsidRDefault="00DF530B" w:rsidP="00305CBA">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2"/>
                <w:lang w:val="en"/>
              </w:rPr>
            </w:pPr>
            <w:r w:rsidRPr="006E59BF">
              <w:rPr>
                <w:rFonts w:asciiTheme="minorHAnsi" w:hAnsiTheme="minorHAnsi" w:cstheme="minorHAnsi"/>
                <w:bCs/>
                <w:szCs w:val="22"/>
                <w:lang w:val="en"/>
              </w:rPr>
              <w:t>External customer service charter performance results published on a quarterly basis</w:t>
            </w:r>
          </w:p>
        </w:tc>
        <w:tc>
          <w:tcPr>
            <w:tcW w:w="404" w:type="pct"/>
          </w:tcPr>
          <w:p w14:paraId="307272A1" w14:textId="668B1C00" w:rsidR="00DF530B" w:rsidRPr="00E96BFC" w:rsidRDefault="000B3A8F" w:rsidP="003A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FBSG</w:t>
            </w:r>
          </w:p>
        </w:tc>
        <w:tc>
          <w:tcPr>
            <w:tcW w:w="352" w:type="pct"/>
          </w:tcPr>
          <w:p w14:paraId="31A44DDA" w14:textId="78692296" w:rsidR="00DF530B" w:rsidRPr="00E96BFC" w:rsidRDefault="00DF530B" w:rsidP="00793C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rPr>
              <w:t>Target met</w:t>
            </w:r>
          </w:p>
        </w:tc>
        <w:tc>
          <w:tcPr>
            <w:tcW w:w="2010" w:type="pct"/>
          </w:tcPr>
          <w:p w14:paraId="074B62FD" w14:textId="3B51786D" w:rsidR="00DF530B" w:rsidRPr="009C45AC" w:rsidRDefault="00DF530B" w:rsidP="003A580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IP Australia’s </w:t>
            </w:r>
            <w:r w:rsidRPr="009C45AC">
              <w:rPr>
                <w:rFonts w:asciiTheme="minorHAnsi" w:hAnsiTheme="minorHAnsi" w:cstheme="minorHAnsi"/>
                <w:bCs/>
                <w:sz w:val="22"/>
                <w:szCs w:val="22"/>
                <w:lang w:val="en"/>
              </w:rPr>
              <w:t xml:space="preserve">customer service charter performance results are externally published on the agency’s website on a quarterly basis </w:t>
            </w:r>
            <w:hyperlink r:id="rId23" w:history="1">
              <w:r w:rsidRPr="009C45AC">
                <w:rPr>
                  <w:rStyle w:val="Hyperlink"/>
                  <w:rFonts w:asciiTheme="minorHAnsi" w:hAnsiTheme="minorHAnsi" w:cstheme="minorHAnsi"/>
                  <w:bCs/>
                  <w:sz w:val="22"/>
                  <w:szCs w:val="22"/>
                  <w:lang w:val="en"/>
                </w:rPr>
                <w:t>https://www.ipaustralia.gov.au/tools-resources/publications-reports</w:t>
              </w:r>
            </w:hyperlink>
            <w:r w:rsidRPr="009C45AC">
              <w:rPr>
                <w:rFonts w:asciiTheme="minorHAnsi" w:hAnsiTheme="minorHAnsi" w:cstheme="minorHAnsi"/>
                <w:bCs/>
                <w:sz w:val="22"/>
                <w:szCs w:val="22"/>
                <w:lang w:val="en"/>
              </w:rPr>
              <w:t xml:space="preserve"> </w:t>
            </w:r>
          </w:p>
        </w:tc>
      </w:tr>
      <w:tr w:rsidR="00DF530B" w:rsidRPr="001955A3" w14:paraId="1BEBA094" w14:textId="77777777" w:rsidTr="008B3D8C">
        <w:trPr>
          <w:trHeight w:val="24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tcPr>
          <w:p w14:paraId="0092D46A" w14:textId="77777777" w:rsidR="00DF530B" w:rsidRPr="009C45AC" w:rsidRDefault="00DF530B" w:rsidP="007F1A73">
            <w:pPr>
              <w:pStyle w:val="Default"/>
              <w:rPr>
                <w:rFonts w:asciiTheme="minorHAnsi" w:hAnsiTheme="minorHAnsi" w:cstheme="minorHAnsi"/>
                <w:color w:val="FF0000"/>
                <w:sz w:val="22"/>
                <w:szCs w:val="22"/>
              </w:rPr>
            </w:pPr>
          </w:p>
        </w:tc>
      </w:tr>
      <w:tr w:rsidR="00DF530B" w:rsidRPr="001955A3" w14:paraId="6CD34DDF" w14:textId="77777777" w:rsidTr="008B3D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val="restart"/>
            <w:textDirection w:val="btLr"/>
          </w:tcPr>
          <w:p w14:paraId="397C1ED7" w14:textId="77777777" w:rsidR="00DF530B" w:rsidRPr="001955A3" w:rsidRDefault="00DF530B" w:rsidP="00DB4D4B">
            <w:pPr>
              <w:autoSpaceDE w:val="0"/>
              <w:autoSpaceDN w:val="0"/>
              <w:adjustRightInd w:val="0"/>
              <w:spacing w:after="0"/>
              <w:ind w:left="113" w:right="113"/>
              <w:jc w:val="right"/>
              <w:rPr>
                <w:rFonts w:asciiTheme="minorHAnsi" w:hAnsiTheme="minorHAnsi" w:cstheme="minorHAnsi"/>
                <w:sz w:val="24"/>
                <w:szCs w:val="24"/>
                <w:lang w:val="en"/>
              </w:rPr>
            </w:pPr>
            <w:r w:rsidRPr="001955A3">
              <w:rPr>
                <w:rFonts w:asciiTheme="minorHAnsi" w:hAnsiTheme="minorHAnsi" w:cstheme="minorHAnsi"/>
                <w:sz w:val="24"/>
                <w:szCs w:val="24"/>
              </w:rPr>
              <w:t>KPI 6 - Actively contribute to the continuous improvement of regulatory frameworks</w:t>
            </w:r>
          </w:p>
        </w:tc>
        <w:tc>
          <w:tcPr>
            <w:tcW w:w="1058" w:type="pct"/>
          </w:tcPr>
          <w:p w14:paraId="69B7F19C" w14:textId="77777777" w:rsidR="00DF530B" w:rsidRPr="006E59BF"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18:</w:t>
            </w:r>
            <w:r w:rsidRPr="006E59BF">
              <w:rPr>
                <w:rFonts w:asciiTheme="minorHAnsi" w:hAnsiTheme="minorHAnsi" w:cstheme="minorHAnsi"/>
                <w:szCs w:val="22"/>
                <w:lang w:val="en"/>
              </w:rPr>
              <w:t xml:space="preserve"> Regulators establish cooperative and collaborate relationships with stakeholders to promote trust and improve the efficiency and effectiveness of the regulatory framework.</w:t>
            </w:r>
          </w:p>
        </w:tc>
        <w:tc>
          <w:tcPr>
            <w:tcW w:w="998" w:type="pct"/>
          </w:tcPr>
          <w:p w14:paraId="50BCEB8D" w14:textId="77777777" w:rsidR="00DF530B" w:rsidRPr="00AE3C2A" w:rsidRDefault="00DF530B" w:rsidP="003A5801">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en"/>
              </w:rPr>
            </w:pPr>
            <w:r w:rsidRPr="00AE3C2A">
              <w:rPr>
                <w:rFonts w:asciiTheme="minorHAnsi" w:hAnsiTheme="minorHAnsi" w:cstheme="minorHAnsi"/>
                <w:szCs w:val="22"/>
                <w:lang w:val="en"/>
              </w:rPr>
              <w:t>Consult with a representative stakeholder body on regulation reform opportunities at least twice a year, including updating stakeholders on regulation reform measures that IP Australia is progressing and inviting stakeholders to suggest their own regulation reform ideas.</w:t>
            </w:r>
          </w:p>
        </w:tc>
        <w:tc>
          <w:tcPr>
            <w:tcW w:w="404" w:type="pct"/>
          </w:tcPr>
          <w:p w14:paraId="7AA5600D" w14:textId="77777777" w:rsidR="00DF530B" w:rsidRPr="00AE3C2A" w:rsidRDefault="00DF530B" w:rsidP="005E481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AE3C2A">
              <w:rPr>
                <w:rFonts w:asciiTheme="minorHAnsi" w:hAnsiTheme="minorHAnsi" w:cstheme="minorHAnsi"/>
                <w:sz w:val="20"/>
                <w:lang w:val="en"/>
              </w:rPr>
              <w:t>P&amp;CG</w:t>
            </w:r>
          </w:p>
        </w:tc>
        <w:tc>
          <w:tcPr>
            <w:tcW w:w="352" w:type="pct"/>
          </w:tcPr>
          <w:p w14:paraId="3562DF24" w14:textId="188F8300" w:rsidR="00DF530B" w:rsidRPr="00AE3C2A" w:rsidRDefault="00DF530B" w:rsidP="009E45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val="en"/>
              </w:rPr>
            </w:pPr>
            <w:r w:rsidRPr="00AE3C2A">
              <w:rPr>
                <w:rFonts w:asciiTheme="minorHAnsi" w:hAnsiTheme="minorHAnsi" w:cstheme="minorHAnsi"/>
                <w:sz w:val="20"/>
              </w:rPr>
              <w:t>Target met</w:t>
            </w:r>
          </w:p>
        </w:tc>
        <w:tc>
          <w:tcPr>
            <w:tcW w:w="2010" w:type="pct"/>
          </w:tcPr>
          <w:p w14:paraId="3DD2CDE6" w14:textId="32A06A40" w:rsidR="00DF530B" w:rsidRPr="009C45AC" w:rsidRDefault="00DF530B" w:rsidP="00B96CCD">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In 201</w:t>
            </w:r>
            <w:r w:rsidR="00B41016" w:rsidRPr="009C45AC">
              <w:rPr>
                <w:rFonts w:asciiTheme="minorHAnsi" w:hAnsiTheme="minorHAnsi" w:cstheme="minorHAnsi"/>
                <w:color w:val="auto"/>
                <w:sz w:val="22"/>
                <w:szCs w:val="22"/>
                <w:lang w:val="en" w:eastAsia="en-AU"/>
              </w:rPr>
              <w:t>7-18</w:t>
            </w:r>
            <w:r w:rsidRPr="009C45AC">
              <w:rPr>
                <w:rFonts w:asciiTheme="minorHAnsi" w:hAnsiTheme="minorHAnsi" w:cstheme="minorHAnsi"/>
                <w:color w:val="auto"/>
                <w:sz w:val="22"/>
                <w:szCs w:val="22"/>
                <w:lang w:val="en" w:eastAsia="en-AU"/>
              </w:rPr>
              <w:t>, IP Australia regularly consulted with representative stakeholder bodies including the Patents Consultation Group, the Trade Marks and Designs Consultation Group, the Plant Breeder’s Rights Consultation Group and the IP Stakeholders Forum on:</w:t>
            </w:r>
          </w:p>
          <w:p w14:paraId="5B31D21C" w14:textId="70398C06" w:rsidR="00DF530B" w:rsidRPr="009C45AC" w:rsidRDefault="00B41016" w:rsidP="00AE3C2A">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Compliance with</w:t>
            </w:r>
            <w:r w:rsidR="00DF530B" w:rsidRPr="009C45AC">
              <w:rPr>
                <w:rFonts w:asciiTheme="minorHAnsi" w:hAnsiTheme="minorHAnsi" w:cstheme="minorHAnsi"/>
                <w:color w:val="auto"/>
                <w:sz w:val="22"/>
                <w:szCs w:val="22"/>
                <w:lang w:val="en" w:eastAsia="en-AU"/>
              </w:rPr>
              <w:t xml:space="preserve"> customer service charter commitments</w:t>
            </w:r>
          </w:p>
          <w:p w14:paraId="0802C3AF" w14:textId="0EE50B05" w:rsidR="00105803" w:rsidRPr="009C45AC" w:rsidRDefault="00105803" w:rsidP="00AE3C2A">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The Productivity Commission’s inquiry into Australia’s IP arrangements</w:t>
            </w:r>
          </w:p>
          <w:p w14:paraId="2156690B" w14:textId="075AA6E0" w:rsidR="00DF530B" w:rsidRPr="009C45AC" w:rsidRDefault="00DF530B" w:rsidP="00AE3C2A">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Regulator Performance Framework (RPF) 201</w:t>
            </w:r>
            <w:r w:rsidR="00B41016" w:rsidRPr="009C45AC">
              <w:rPr>
                <w:rFonts w:asciiTheme="minorHAnsi" w:hAnsiTheme="minorHAnsi" w:cstheme="minorHAnsi"/>
                <w:color w:val="auto"/>
                <w:sz w:val="22"/>
                <w:szCs w:val="22"/>
                <w:lang w:val="en" w:eastAsia="en-AU"/>
              </w:rPr>
              <w:t>6</w:t>
            </w:r>
            <w:r w:rsidR="00B41016" w:rsidRPr="009C45AC">
              <w:rPr>
                <w:rFonts w:asciiTheme="minorHAnsi" w:hAnsiTheme="minorHAnsi" w:cstheme="minorHAnsi"/>
                <w:color w:val="auto"/>
                <w:sz w:val="22"/>
                <w:szCs w:val="22"/>
                <w:lang w:val="en" w:eastAsia="en-AU"/>
              </w:rPr>
              <w:noBreakHyphen/>
              <w:t>17 &amp; 2017</w:t>
            </w:r>
            <w:r w:rsidR="00B41016" w:rsidRPr="009C45AC">
              <w:rPr>
                <w:rFonts w:asciiTheme="minorHAnsi" w:hAnsiTheme="minorHAnsi" w:cstheme="minorHAnsi"/>
                <w:color w:val="auto"/>
                <w:sz w:val="22"/>
                <w:szCs w:val="22"/>
                <w:lang w:val="en" w:eastAsia="en-AU"/>
              </w:rPr>
              <w:noBreakHyphen/>
              <w:t>18</w:t>
            </w:r>
            <w:r w:rsidRPr="009C45AC">
              <w:rPr>
                <w:rFonts w:asciiTheme="minorHAnsi" w:hAnsiTheme="minorHAnsi" w:cstheme="minorHAnsi"/>
                <w:color w:val="auto"/>
                <w:sz w:val="22"/>
                <w:szCs w:val="22"/>
                <w:lang w:val="en" w:eastAsia="en-AU"/>
              </w:rPr>
              <w:t xml:space="preserve"> self-assessments</w:t>
            </w:r>
          </w:p>
          <w:p w14:paraId="0B08A1EB" w14:textId="2C2F1DA5" w:rsidR="00DF530B" w:rsidRPr="009C45AC" w:rsidRDefault="00DF530B" w:rsidP="00AE3C2A">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Legislative updates, including IP regulations</w:t>
            </w:r>
            <w:r w:rsidR="00105803" w:rsidRPr="009C45AC">
              <w:rPr>
                <w:rFonts w:asciiTheme="minorHAnsi" w:hAnsiTheme="minorHAnsi" w:cstheme="minorHAnsi"/>
                <w:color w:val="auto"/>
                <w:sz w:val="22"/>
                <w:szCs w:val="22"/>
                <w:lang w:val="en" w:eastAsia="en-AU"/>
              </w:rPr>
              <w:t xml:space="preserve"> and the</w:t>
            </w:r>
            <w:r w:rsidRPr="009C45AC">
              <w:rPr>
                <w:rFonts w:asciiTheme="minorHAnsi" w:hAnsiTheme="minorHAnsi" w:cstheme="minorHAnsi"/>
                <w:color w:val="auto"/>
                <w:sz w:val="22"/>
                <w:szCs w:val="22"/>
                <w:lang w:val="en" w:eastAsia="en-AU"/>
              </w:rPr>
              <w:t xml:space="preserve"> IP Laws Amendment Bill</w:t>
            </w:r>
          </w:p>
          <w:p w14:paraId="65385C75" w14:textId="322CA75D" w:rsidR="00DF530B" w:rsidRPr="009C45AC" w:rsidRDefault="00DF530B" w:rsidP="00AE3C2A">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 xml:space="preserve">Our value added services, e.g. </w:t>
            </w:r>
            <w:r w:rsidR="000015AA" w:rsidRPr="009C45AC">
              <w:rPr>
                <w:rFonts w:asciiTheme="minorHAnsi" w:hAnsiTheme="minorHAnsi" w:cstheme="minorHAnsi"/>
                <w:color w:val="auto"/>
                <w:sz w:val="22"/>
                <w:szCs w:val="22"/>
                <w:lang w:val="en" w:eastAsia="en-AU"/>
              </w:rPr>
              <w:t>Source IP, IP Toolkit, IP Mediation Referral Service and Trade Mark Assist.</w:t>
            </w:r>
          </w:p>
          <w:p w14:paraId="12F705F7" w14:textId="77777777" w:rsidR="00AE3C2A" w:rsidRPr="009C45AC" w:rsidRDefault="00AE3C2A" w:rsidP="00AE3C2A">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Under the Regulatory Reform Agenda, IP Australia identified over $3.8 million of estimated savings in 2017 and may identify further savings in 2018, dependent on the implementation of the government response to the Productivity Commission’s inquiry into Australia’s IP arrangements. In addition, IP Australia:</w:t>
            </w:r>
          </w:p>
          <w:p w14:paraId="29AC8C8E" w14:textId="7AE4FBEE" w:rsidR="00AE3C2A" w:rsidRPr="009C45AC" w:rsidRDefault="00AE3C2A" w:rsidP="00AE3C2A">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Conducted several engagement events with attorney firms. These activities provided useful feedback from stakeholders, informing ongoing improvement.</w:t>
            </w:r>
          </w:p>
          <w:p w14:paraId="5B98E36C" w14:textId="77777777" w:rsidR="00AE3C2A" w:rsidRPr="009C45AC" w:rsidRDefault="00AE3C2A" w:rsidP="00AE3C2A">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lastRenderedPageBreak/>
              <w:t xml:space="preserve">Introduced the Intellectual Property Laws Amendment (Productivity Commission Response Part 1 and Other Measures) Bill 2018 which implements legislative proposals to streamline IP processes and support the Rights In One (RIO) program. The majority of key stakeholders supported the revised proposals and the Bill has passed both houses of parliament and received royal assent. </w:t>
            </w:r>
          </w:p>
          <w:p w14:paraId="2D172AD7" w14:textId="043E863D" w:rsidR="00DF530B" w:rsidRPr="009C45AC" w:rsidRDefault="00AE3C2A" w:rsidP="00AE3C2A">
            <w:pPr>
              <w:pStyle w:val="Default"/>
              <w:numPr>
                <w:ilvl w:val="0"/>
                <w:numId w:val="16"/>
              </w:numPr>
              <w:spacing w:before="60" w:after="60"/>
              <w:ind w:left="311" w:hanging="311"/>
              <w:cnfStyle w:val="000000100000" w:firstRow="0" w:lastRow="0" w:firstColumn="0" w:lastColumn="0" w:oddVBand="0" w:evenVBand="0" w:oddHBand="1" w:evenHBand="0" w:firstRowFirstColumn="0" w:firstRowLastColumn="0" w:lastRowFirstColumn="0" w:lastRowLastColumn="0"/>
              <w:rPr>
                <w:i/>
                <w:iCs/>
                <w:color w:val="FF0000"/>
                <w:sz w:val="22"/>
                <w:szCs w:val="22"/>
                <w:lang w:val="en"/>
              </w:rPr>
            </w:pPr>
            <w:r w:rsidRPr="009C45AC">
              <w:rPr>
                <w:rFonts w:asciiTheme="minorHAnsi" w:hAnsiTheme="minorHAnsi" w:cstheme="minorHAnsi"/>
                <w:color w:val="auto"/>
                <w:sz w:val="22"/>
                <w:szCs w:val="22"/>
                <w:lang w:val="en" w:eastAsia="en-AU"/>
              </w:rPr>
              <w:t xml:space="preserve">Consulted the public on exposure drafts of the Intellectual Property Laws Amendment (Productivity Commission Response Part 2 and Other Measures) Bill 2018, with consultation closing on 31 August. The bill includes measures to phase out the innovation patent system which will bring estimated savings of approximately $11 million annually. </w:t>
            </w:r>
          </w:p>
        </w:tc>
      </w:tr>
      <w:tr w:rsidR="00DF530B" w:rsidRPr="001955A3" w14:paraId="3A3D195D" w14:textId="77777777" w:rsidTr="008B3D8C">
        <w:trPr>
          <w:trHeight w:val="1964"/>
        </w:trPr>
        <w:tc>
          <w:tcPr>
            <w:cnfStyle w:val="001000000000" w:firstRow="0" w:lastRow="0" w:firstColumn="1" w:lastColumn="0" w:oddVBand="0" w:evenVBand="0" w:oddHBand="0" w:evenHBand="0" w:firstRowFirstColumn="0" w:firstRowLastColumn="0" w:lastRowFirstColumn="0" w:lastRowLastColumn="0"/>
            <w:tcW w:w="177" w:type="pct"/>
            <w:vMerge/>
          </w:tcPr>
          <w:p w14:paraId="015F6711" w14:textId="77777777" w:rsidR="00DF530B" w:rsidRPr="001955A3" w:rsidRDefault="00DF530B" w:rsidP="003A5801">
            <w:pPr>
              <w:autoSpaceDE w:val="0"/>
              <w:autoSpaceDN w:val="0"/>
              <w:adjustRightInd w:val="0"/>
              <w:spacing w:after="0"/>
              <w:rPr>
                <w:rFonts w:asciiTheme="minorHAnsi" w:hAnsiTheme="minorHAnsi" w:cstheme="minorHAnsi"/>
                <w:sz w:val="24"/>
                <w:szCs w:val="24"/>
                <w:lang w:val="en"/>
              </w:rPr>
            </w:pPr>
          </w:p>
        </w:tc>
        <w:tc>
          <w:tcPr>
            <w:tcW w:w="1058" w:type="pct"/>
          </w:tcPr>
          <w:p w14:paraId="44019ED0" w14:textId="77777777" w:rsidR="00DF530B" w:rsidRPr="006E59BF"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szCs w:val="22"/>
                <w:u w:val="single"/>
                <w:lang w:val="en"/>
              </w:rPr>
              <w:t>RPF 19:</w:t>
            </w:r>
            <w:r w:rsidRPr="006E59BF">
              <w:rPr>
                <w:rFonts w:asciiTheme="minorHAnsi" w:hAnsiTheme="minorHAnsi" w:cstheme="minorHAnsi"/>
                <w:szCs w:val="22"/>
                <w:lang w:val="en"/>
              </w:rPr>
              <w:t xml:space="preserve"> Regulators engage stakeholders in the development of options to reduce compliance costs. This could include industry self-regulation, changes to the overarching framework, or other strategies to streamline monitoring and compliance approaches. </w:t>
            </w:r>
          </w:p>
        </w:tc>
        <w:tc>
          <w:tcPr>
            <w:tcW w:w="998" w:type="pct"/>
          </w:tcPr>
          <w:p w14:paraId="0D366EC7" w14:textId="77777777" w:rsidR="00DF530B" w:rsidRPr="006E59BF"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en"/>
              </w:rPr>
            </w:pPr>
            <w:r w:rsidRPr="006E59BF">
              <w:rPr>
                <w:rFonts w:asciiTheme="minorHAnsi" w:hAnsiTheme="minorHAnsi" w:cstheme="minorHAnsi"/>
                <w:szCs w:val="22"/>
                <w:lang w:val="en"/>
              </w:rPr>
              <w:t>Hold outreach activities to engage with customers. Examples include holding workshops/forums, conducting stakeholder visits, improving IP Australia’s online presence, and conducting other public education and awareness activities.</w:t>
            </w:r>
          </w:p>
        </w:tc>
        <w:tc>
          <w:tcPr>
            <w:tcW w:w="404" w:type="pct"/>
          </w:tcPr>
          <w:p w14:paraId="7C4485BB" w14:textId="77777777" w:rsidR="00DF530B" w:rsidRPr="00E96BFC" w:rsidRDefault="00DF530B" w:rsidP="003A580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val="en"/>
              </w:rPr>
            </w:pPr>
            <w:r w:rsidRPr="00E96BFC">
              <w:rPr>
                <w:rFonts w:asciiTheme="minorHAnsi" w:hAnsiTheme="minorHAnsi" w:cstheme="minorHAnsi"/>
                <w:sz w:val="20"/>
                <w:lang w:val="en"/>
              </w:rPr>
              <w:t>P&amp;CG</w:t>
            </w:r>
          </w:p>
        </w:tc>
        <w:tc>
          <w:tcPr>
            <w:tcW w:w="352" w:type="pct"/>
          </w:tcPr>
          <w:p w14:paraId="6BCB5509" w14:textId="1A1CF200" w:rsidR="00DF530B" w:rsidRPr="00E96BFC" w:rsidRDefault="00DF530B" w:rsidP="00B4101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lang w:val="en"/>
              </w:rPr>
            </w:pPr>
            <w:r w:rsidRPr="00E96BFC">
              <w:rPr>
                <w:rFonts w:asciiTheme="minorHAnsi" w:hAnsiTheme="minorHAnsi" w:cstheme="minorHAnsi"/>
                <w:sz w:val="20"/>
              </w:rPr>
              <w:t>Target met</w:t>
            </w:r>
          </w:p>
        </w:tc>
        <w:tc>
          <w:tcPr>
            <w:tcW w:w="2010" w:type="pct"/>
          </w:tcPr>
          <w:p w14:paraId="45AD6C96" w14:textId="77777777" w:rsidR="00DF530B" w:rsidRPr="009C45AC" w:rsidRDefault="00DF530B" w:rsidP="00B96CCD">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 xml:space="preserve">IP Australia conducted a range of outreach activities to facilitate access to the IP system, promote understanding of its value and facilitate stakeholder feedback, including: </w:t>
            </w:r>
          </w:p>
          <w:p w14:paraId="6A2E4BAF" w14:textId="3DB98725" w:rsidR="00DF530B" w:rsidRPr="009C45AC" w:rsidRDefault="00DF530B" w:rsidP="00105803">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lang w:val="en" w:eastAsia="en-AU"/>
              </w:rPr>
              <w:t xml:space="preserve">A range of start-up workshops across Australia to educate and </w:t>
            </w:r>
            <w:r w:rsidRPr="009C45AC">
              <w:rPr>
                <w:rFonts w:asciiTheme="minorHAnsi" w:hAnsiTheme="minorHAnsi" w:cstheme="minorHAnsi"/>
                <w:color w:val="auto"/>
                <w:sz w:val="22"/>
                <w:szCs w:val="22"/>
              </w:rPr>
              <w:t>promote the value of IP protection among the start-up community</w:t>
            </w:r>
          </w:p>
          <w:p w14:paraId="0D1A746F" w14:textId="41841F8C" w:rsidR="00DF530B" w:rsidRPr="009C45AC" w:rsidRDefault="00DF530B" w:rsidP="00B96CCD">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IP Australia’s social media presence continued to increase to over </w:t>
            </w:r>
            <w:r w:rsidR="000015AA" w:rsidRPr="009C45AC">
              <w:rPr>
                <w:rFonts w:asciiTheme="minorHAnsi" w:hAnsiTheme="minorHAnsi" w:cstheme="minorHAnsi"/>
                <w:color w:val="auto"/>
                <w:sz w:val="22"/>
                <w:szCs w:val="22"/>
              </w:rPr>
              <w:t>16,470</w:t>
            </w:r>
            <w:r w:rsidRPr="009C45AC">
              <w:rPr>
                <w:rFonts w:asciiTheme="minorHAnsi" w:hAnsiTheme="minorHAnsi" w:cstheme="minorHAnsi"/>
                <w:color w:val="auto"/>
                <w:sz w:val="22"/>
                <w:szCs w:val="22"/>
              </w:rPr>
              <w:t xml:space="preserve"> followers across its social media accounts, an increase of </w:t>
            </w:r>
            <w:r w:rsidR="000015AA" w:rsidRPr="009C45AC">
              <w:rPr>
                <w:rFonts w:asciiTheme="minorHAnsi" w:hAnsiTheme="minorHAnsi" w:cstheme="minorHAnsi"/>
                <w:color w:val="auto"/>
                <w:sz w:val="22"/>
                <w:szCs w:val="22"/>
              </w:rPr>
              <w:t>2,770</w:t>
            </w:r>
            <w:r w:rsidRPr="009C45AC">
              <w:rPr>
                <w:rFonts w:asciiTheme="minorHAnsi" w:hAnsiTheme="minorHAnsi" w:cstheme="minorHAnsi"/>
                <w:color w:val="auto"/>
                <w:sz w:val="22"/>
                <w:szCs w:val="22"/>
              </w:rPr>
              <w:t xml:space="preserve"> from 201</w:t>
            </w:r>
            <w:r w:rsidR="00DE0CFF" w:rsidRPr="009C45AC">
              <w:rPr>
                <w:rFonts w:asciiTheme="minorHAnsi" w:hAnsiTheme="minorHAnsi" w:cstheme="minorHAnsi"/>
                <w:color w:val="auto"/>
                <w:sz w:val="22"/>
                <w:szCs w:val="22"/>
              </w:rPr>
              <w:t>6</w:t>
            </w:r>
            <w:r w:rsidR="00DE0CFF" w:rsidRPr="009C45AC">
              <w:rPr>
                <w:rFonts w:asciiTheme="minorHAnsi" w:hAnsiTheme="minorHAnsi" w:cstheme="minorHAnsi"/>
                <w:color w:val="auto"/>
                <w:sz w:val="22"/>
                <w:szCs w:val="22"/>
              </w:rPr>
              <w:noBreakHyphen/>
              <w:t>17</w:t>
            </w:r>
            <w:r w:rsidRPr="009C45AC">
              <w:rPr>
                <w:rFonts w:asciiTheme="minorHAnsi" w:hAnsiTheme="minorHAnsi" w:cstheme="minorHAnsi"/>
                <w:color w:val="auto"/>
                <w:sz w:val="22"/>
                <w:szCs w:val="22"/>
              </w:rPr>
              <w:t>.</w:t>
            </w:r>
          </w:p>
          <w:p w14:paraId="4AF18377" w14:textId="5604258B" w:rsidR="00DF530B" w:rsidRPr="009C45AC" w:rsidRDefault="00DF530B" w:rsidP="00B96CCD">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IP Australia ran a number of external communication </w:t>
            </w:r>
            <w:r w:rsidR="000015AA" w:rsidRPr="009C45AC">
              <w:rPr>
                <w:rFonts w:asciiTheme="minorHAnsi" w:hAnsiTheme="minorHAnsi" w:cstheme="minorHAnsi"/>
                <w:color w:val="auto"/>
                <w:sz w:val="22"/>
                <w:szCs w:val="22"/>
              </w:rPr>
              <w:t>activities</w:t>
            </w:r>
            <w:r w:rsidRPr="009C45AC">
              <w:rPr>
                <w:rFonts w:asciiTheme="minorHAnsi" w:hAnsiTheme="minorHAnsi" w:cstheme="minorHAnsi"/>
                <w:color w:val="auto"/>
                <w:sz w:val="22"/>
                <w:szCs w:val="22"/>
              </w:rPr>
              <w:t xml:space="preserve"> to communicate research report releases, legislative changes, consultations, events and general IP awareness to </w:t>
            </w:r>
            <w:r w:rsidR="004B4642" w:rsidRPr="009C45AC">
              <w:rPr>
                <w:rFonts w:asciiTheme="minorHAnsi" w:hAnsiTheme="minorHAnsi" w:cstheme="minorHAnsi"/>
                <w:color w:val="auto"/>
                <w:sz w:val="22"/>
                <w:szCs w:val="22"/>
              </w:rPr>
              <w:t>our stakeholders and customers.</w:t>
            </w:r>
          </w:p>
          <w:p w14:paraId="2E4D4E76" w14:textId="08535C0A" w:rsidR="00DF530B" w:rsidRPr="009C45AC" w:rsidRDefault="00DF530B" w:rsidP="00B96CCD">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C45AC">
              <w:rPr>
                <w:rFonts w:asciiTheme="minorHAnsi" w:hAnsiTheme="minorHAnsi" w:cstheme="minorHAnsi"/>
                <w:color w:val="auto"/>
                <w:sz w:val="22"/>
                <w:szCs w:val="22"/>
              </w:rPr>
              <w:t xml:space="preserve">IP Australia sent out a fortnightly e-newsletter to </w:t>
            </w:r>
            <w:r w:rsidR="004B4642" w:rsidRPr="009C45AC">
              <w:rPr>
                <w:rFonts w:asciiTheme="minorHAnsi" w:hAnsiTheme="minorHAnsi" w:cstheme="minorHAnsi"/>
                <w:color w:val="auto"/>
                <w:sz w:val="22"/>
                <w:szCs w:val="22"/>
              </w:rPr>
              <w:t>3,696</w:t>
            </w:r>
            <w:r w:rsidRPr="009C45AC">
              <w:rPr>
                <w:rFonts w:asciiTheme="minorHAnsi" w:hAnsiTheme="minorHAnsi" w:cstheme="minorHAnsi"/>
                <w:color w:val="auto"/>
                <w:sz w:val="22"/>
                <w:szCs w:val="22"/>
              </w:rPr>
              <w:t xml:space="preserve"> subscribers (</w:t>
            </w:r>
            <w:r w:rsidR="004B4642" w:rsidRPr="009C45AC">
              <w:rPr>
                <w:rFonts w:asciiTheme="minorHAnsi" w:hAnsiTheme="minorHAnsi" w:cstheme="minorHAnsi"/>
                <w:color w:val="auto"/>
                <w:sz w:val="22"/>
                <w:szCs w:val="22"/>
              </w:rPr>
              <w:t>up</w:t>
            </w:r>
            <w:r w:rsidRPr="009C45AC">
              <w:rPr>
                <w:rFonts w:asciiTheme="minorHAnsi" w:hAnsiTheme="minorHAnsi" w:cstheme="minorHAnsi"/>
                <w:color w:val="auto"/>
                <w:sz w:val="22"/>
                <w:szCs w:val="22"/>
              </w:rPr>
              <w:t xml:space="preserve"> from </w:t>
            </w:r>
            <w:r w:rsidR="00B41016" w:rsidRPr="009C45AC">
              <w:rPr>
                <w:rFonts w:asciiTheme="minorHAnsi" w:hAnsiTheme="minorHAnsi" w:cstheme="minorHAnsi"/>
                <w:color w:val="auto"/>
                <w:sz w:val="22"/>
                <w:szCs w:val="22"/>
              </w:rPr>
              <w:t>2</w:t>
            </w:r>
            <w:r w:rsidR="004B4642" w:rsidRPr="009C45AC">
              <w:rPr>
                <w:rFonts w:asciiTheme="minorHAnsi" w:hAnsiTheme="minorHAnsi" w:cstheme="minorHAnsi"/>
                <w:color w:val="auto"/>
                <w:sz w:val="22"/>
                <w:szCs w:val="22"/>
              </w:rPr>
              <w:t>,</w:t>
            </w:r>
            <w:r w:rsidR="00B41016" w:rsidRPr="009C45AC">
              <w:rPr>
                <w:rFonts w:asciiTheme="minorHAnsi" w:hAnsiTheme="minorHAnsi" w:cstheme="minorHAnsi"/>
                <w:color w:val="auto"/>
                <w:sz w:val="22"/>
                <w:szCs w:val="22"/>
              </w:rPr>
              <w:t>745</w:t>
            </w:r>
            <w:r w:rsidRPr="009C45AC">
              <w:rPr>
                <w:rFonts w:asciiTheme="minorHAnsi" w:hAnsiTheme="minorHAnsi" w:cstheme="minorHAnsi"/>
                <w:color w:val="auto"/>
                <w:sz w:val="22"/>
                <w:szCs w:val="22"/>
              </w:rPr>
              <w:t xml:space="preserve"> </w:t>
            </w:r>
            <w:r w:rsidR="00B41016" w:rsidRPr="009C45AC">
              <w:rPr>
                <w:rFonts w:asciiTheme="minorHAnsi" w:hAnsiTheme="minorHAnsi" w:cstheme="minorHAnsi"/>
                <w:color w:val="auto"/>
                <w:sz w:val="22"/>
                <w:szCs w:val="22"/>
              </w:rPr>
              <w:t>in 2016–17</w:t>
            </w:r>
            <w:r w:rsidRPr="009C45AC">
              <w:rPr>
                <w:rFonts w:asciiTheme="minorHAnsi" w:hAnsiTheme="minorHAnsi" w:cstheme="minorHAnsi"/>
                <w:color w:val="auto"/>
                <w:sz w:val="22"/>
                <w:szCs w:val="22"/>
              </w:rPr>
              <w:t>) with</w:t>
            </w:r>
            <w:r w:rsidR="00B41016" w:rsidRPr="009C45AC">
              <w:rPr>
                <w:rFonts w:asciiTheme="minorHAnsi" w:hAnsiTheme="minorHAnsi" w:cstheme="minorHAnsi"/>
                <w:color w:val="auto"/>
                <w:sz w:val="22"/>
                <w:szCs w:val="22"/>
              </w:rPr>
              <w:t xml:space="preserve"> an open rate of </w:t>
            </w:r>
            <w:r w:rsidR="004B4642" w:rsidRPr="009C45AC">
              <w:rPr>
                <w:rFonts w:asciiTheme="minorHAnsi" w:hAnsiTheme="minorHAnsi" w:cstheme="minorHAnsi"/>
                <w:color w:val="auto"/>
                <w:sz w:val="22"/>
                <w:szCs w:val="22"/>
              </w:rPr>
              <w:t>33.67</w:t>
            </w:r>
            <w:r w:rsidR="00B41016" w:rsidRPr="009C45AC">
              <w:rPr>
                <w:rFonts w:asciiTheme="minorHAnsi" w:hAnsiTheme="minorHAnsi" w:cstheme="minorHAnsi"/>
                <w:color w:val="auto"/>
                <w:sz w:val="22"/>
                <w:szCs w:val="22"/>
              </w:rPr>
              <w:t>%</w:t>
            </w:r>
            <w:r w:rsidR="004B4642" w:rsidRPr="009C45AC">
              <w:rPr>
                <w:rFonts w:asciiTheme="minorHAnsi" w:hAnsiTheme="minorHAnsi" w:cstheme="minorHAnsi"/>
                <w:color w:val="auto"/>
                <w:sz w:val="22"/>
                <w:szCs w:val="22"/>
              </w:rPr>
              <w:t>.</w:t>
            </w:r>
          </w:p>
          <w:p w14:paraId="3517C740" w14:textId="55939D18" w:rsidR="00FB6985" w:rsidRPr="009C45AC" w:rsidRDefault="00FB6985" w:rsidP="00FB6985">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IP Australia provided value by delivering the inaugural IP Summit, which supported small and medium enterprises by helping them to understand more about the importance of IP in growing a business. The event was well received, with 90% of attendees surveyed satisfied with the event.</w:t>
            </w:r>
          </w:p>
          <w:p w14:paraId="728A2F14" w14:textId="442DF124" w:rsidR="00664D3E" w:rsidRPr="009C45AC" w:rsidRDefault="00664D3E" w:rsidP="00FB6985">
            <w:pPr>
              <w:pStyle w:val="Default"/>
              <w:numPr>
                <w:ilvl w:val="0"/>
                <w:numId w:val="16"/>
              </w:numPr>
              <w:spacing w:before="60" w:after="60"/>
              <w:ind w:left="311" w:hanging="3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 w:eastAsia="en-AU"/>
              </w:rPr>
            </w:pPr>
            <w:r w:rsidRPr="009C45AC">
              <w:rPr>
                <w:rFonts w:asciiTheme="minorHAnsi" w:hAnsiTheme="minorHAnsi" w:cstheme="minorHAnsi"/>
                <w:color w:val="auto"/>
                <w:sz w:val="22"/>
                <w:szCs w:val="22"/>
                <w:lang w:val="en" w:eastAsia="en-AU"/>
              </w:rPr>
              <w:t>IP Australia held the Understanding Certification Trade Marks for Food forum in Sydney in June 2018. The forum brought together key government agencies and industry peak bodies to discuss the benefits of certification trade marks to business and consumers. Speakers from government and industry discussed how certification trade marks have helped consumers to readily identify the quality and origin of their products. The forum is being complemented with an ongoing digital education and awareness campaign.</w:t>
            </w:r>
          </w:p>
        </w:tc>
      </w:tr>
      <w:tr w:rsidR="00DF530B" w:rsidRPr="001955A3" w14:paraId="1096A982" w14:textId="77777777" w:rsidTr="008B3D8C">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7" w:type="pct"/>
            <w:vMerge/>
          </w:tcPr>
          <w:p w14:paraId="5502CB71" w14:textId="77777777" w:rsidR="00DF530B" w:rsidRPr="001955A3" w:rsidDel="000201D4" w:rsidRDefault="00DF530B" w:rsidP="003A5801">
            <w:pPr>
              <w:autoSpaceDE w:val="0"/>
              <w:autoSpaceDN w:val="0"/>
              <w:adjustRightInd w:val="0"/>
              <w:spacing w:after="0"/>
              <w:rPr>
                <w:rFonts w:asciiTheme="minorHAnsi" w:hAnsiTheme="minorHAnsi" w:cstheme="minorHAnsi"/>
                <w:sz w:val="24"/>
                <w:szCs w:val="24"/>
                <w:lang w:val="en"/>
              </w:rPr>
            </w:pPr>
          </w:p>
        </w:tc>
        <w:tc>
          <w:tcPr>
            <w:tcW w:w="1058" w:type="pct"/>
            <w:tcBorders>
              <w:top w:val="single" w:sz="8" w:space="0" w:color="8064A2" w:themeColor="accent4"/>
            </w:tcBorders>
          </w:tcPr>
          <w:p w14:paraId="674392E7" w14:textId="77777777" w:rsidR="00DF530B" w:rsidRPr="006E59BF" w:rsidDel="000201D4" w:rsidRDefault="00DF530B" w:rsidP="003A5801">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Cs w:val="22"/>
                <w:lang w:val="en"/>
              </w:rPr>
            </w:pPr>
            <w:r w:rsidRPr="006E59BF">
              <w:rPr>
                <w:rFonts w:asciiTheme="minorHAnsi" w:hAnsiTheme="minorHAnsi" w:cstheme="minorHAnsi"/>
                <w:szCs w:val="22"/>
                <w:u w:val="single"/>
                <w:lang w:val="en"/>
              </w:rPr>
              <w:t>RPF 20:</w:t>
            </w:r>
            <w:r w:rsidRPr="006E59BF">
              <w:rPr>
                <w:rFonts w:asciiTheme="minorHAnsi" w:hAnsiTheme="minorHAnsi" w:cstheme="minorHAnsi"/>
                <w:b w:val="0"/>
                <w:szCs w:val="22"/>
                <w:lang w:val="en"/>
              </w:rPr>
              <w:t xml:space="preserve"> Regulators regularly share feedback from stakeholders and performance information (including from inspections) with policy departments to improve the operation of the regulatory framework and administrative process.</w:t>
            </w:r>
          </w:p>
        </w:tc>
        <w:tc>
          <w:tcPr>
            <w:tcW w:w="998" w:type="pct"/>
            <w:tcBorders>
              <w:top w:val="single" w:sz="8" w:space="0" w:color="8064A2" w:themeColor="accent4"/>
            </w:tcBorders>
            <w:shd w:val="clear" w:color="auto" w:fill="auto"/>
          </w:tcPr>
          <w:p w14:paraId="4EF64384" w14:textId="77777777" w:rsidR="009E4522" w:rsidRPr="006E59BF" w:rsidRDefault="009E4522" w:rsidP="009E4522">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Cs w:val="22"/>
                <w:lang w:val="en"/>
              </w:rPr>
            </w:pPr>
            <w:r w:rsidRPr="006E59BF">
              <w:rPr>
                <w:rFonts w:asciiTheme="minorHAnsi" w:hAnsiTheme="minorHAnsi" w:cstheme="minorHAnsi"/>
                <w:b w:val="0"/>
                <w:bCs w:val="0"/>
                <w:szCs w:val="22"/>
                <w:lang w:val="en"/>
              </w:rPr>
              <w:t>Qualitative evidence provided against strategies under IP Australia’s strategic objective ‘Value Add’:</w:t>
            </w:r>
          </w:p>
          <w:p w14:paraId="6EB860D0" w14:textId="56EDBB74" w:rsidR="00DF530B" w:rsidRPr="006E59BF" w:rsidRDefault="00DF530B" w:rsidP="00F07873">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Cs w:val="22"/>
                <w:lang w:val="en"/>
              </w:rPr>
            </w:pPr>
            <w:r w:rsidRPr="006E59BF">
              <w:rPr>
                <w:rFonts w:asciiTheme="minorHAnsi" w:hAnsiTheme="minorHAnsi" w:cstheme="minorHAnsi"/>
                <w:b w:val="0"/>
                <w:bCs w:val="0"/>
                <w:szCs w:val="22"/>
                <w:lang w:val="en"/>
              </w:rPr>
              <w:t xml:space="preserve">IP Australia made effective use of its skills and knowledge to deliver value to the Australian community, at home and abroad. Our role is to shape the IP system domestically and internationally to serve Australian innovation and business. Progress can be seen in: </w:t>
            </w:r>
          </w:p>
          <w:p w14:paraId="326710DC" w14:textId="77777777" w:rsidR="00DF530B" w:rsidRPr="006E59BF" w:rsidRDefault="00DF530B" w:rsidP="00305CBA">
            <w:pPr>
              <w:pStyle w:val="ListParagraph"/>
              <w:numPr>
                <w:ilvl w:val="0"/>
                <w:numId w:val="11"/>
              </w:num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Cs w:val="22"/>
                <w:lang w:val="en"/>
              </w:rPr>
            </w:pPr>
            <w:r w:rsidRPr="006E59BF">
              <w:rPr>
                <w:rFonts w:asciiTheme="minorHAnsi" w:hAnsiTheme="minorHAnsi" w:cstheme="minorHAnsi"/>
                <w:b w:val="0"/>
                <w:szCs w:val="22"/>
                <w:lang w:val="en"/>
              </w:rPr>
              <w:t>Provision of high quality advice to government</w:t>
            </w:r>
          </w:p>
          <w:p w14:paraId="36FEA728" w14:textId="77777777" w:rsidR="00DF530B" w:rsidRPr="006E59BF" w:rsidRDefault="00DF530B" w:rsidP="00305CBA">
            <w:pPr>
              <w:pStyle w:val="ListParagraph"/>
              <w:numPr>
                <w:ilvl w:val="0"/>
                <w:numId w:val="11"/>
              </w:num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Cs w:val="22"/>
                <w:lang w:val="en"/>
              </w:rPr>
            </w:pPr>
            <w:r w:rsidRPr="006E59BF">
              <w:rPr>
                <w:rFonts w:asciiTheme="minorHAnsi" w:hAnsiTheme="minorHAnsi" w:cstheme="minorHAnsi"/>
                <w:b w:val="0"/>
                <w:szCs w:val="22"/>
                <w:lang w:val="en"/>
              </w:rPr>
              <w:t>Strong domestic and international partnerships</w:t>
            </w:r>
          </w:p>
          <w:p w14:paraId="625F7E33" w14:textId="77777777" w:rsidR="00DF530B" w:rsidRPr="006E59BF" w:rsidRDefault="00DF530B" w:rsidP="00305CBA">
            <w:pPr>
              <w:pStyle w:val="ListParagraph"/>
              <w:numPr>
                <w:ilvl w:val="0"/>
                <w:numId w:val="11"/>
              </w:num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Cs w:val="22"/>
                <w:lang w:val="en"/>
              </w:rPr>
            </w:pPr>
            <w:r w:rsidRPr="006E59BF">
              <w:rPr>
                <w:rFonts w:asciiTheme="minorHAnsi" w:hAnsiTheme="minorHAnsi" w:cstheme="minorHAnsi"/>
                <w:b w:val="0"/>
                <w:szCs w:val="22"/>
                <w:lang w:val="en"/>
              </w:rPr>
              <w:lastRenderedPageBreak/>
              <w:t>High customer satisfaction with services designed to facilitate the use of IP</w:t>
            </w:r>
          </w:p>
          <w:p w14:paraId="04794E1C" w14:textId="77777777" w:rsidR="00DF530B" w:rsidRPr="006E59BF" w:rsidRDefault="00DF530B" w:rsidP="00305CBA">
            <w:pPr>
              <w:pStyle w:val="ListParagraph"/>
              <w:numPr>
                <w:ilvl w:val="0"/>
                <w:numId w:val="11"/>
              </w:num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
              </w:rPr>
            </w:pPr>
            <w:r w:rsidRPr="006E59BF">
              <w:rPr>
                <w:rFonts w:asciiTheme="minorHAnsi" w:hAnsiTheme="minorHAnsi" w:cstheme="minorHAnsi"/>
                <w:b w:val="0"/>
                <w:szCs w:val="22"/>
                <w:lang w:val="en"/>
              </w:rPr>
              <w:t>Maximising access and use of our data.</w:t>
            </w:r>
          </w:p>
        </w:tc>
        <w:tc>
          <w:tcPr>
            <w:tcW w:w="404" w:type="pct"/>
            <w:tcBorders>
              <w:top w:val="single" w:sz="8" w:space="0" w:color="8064A2" w:themeColor="accent4"/>
            </w:tcBorders>
          </w:tcPr>
          <w:p w14:paraId="3CB64B02" w14:textId="77777777" w:rsidR="00DF530B" w:rsidRPr="00E96BFC" w:rsidRDefault="00DF530B" w:rsidP="003A5801">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0"/>
                <w:lang w:val="en"/>
              </w:rPr>
            </w:pPr>
            <w:r w:rsidRPr="00E96BFC">
              <w:rPr>
                <w:rFonts w:asciiTheme="minorHAnsi" w:hAnsiTheme="minorHAnsi" w:cstheme="minorHAnsi"/>
                <w:b w:val="0"/>
                <w:bCs w:val="0"/>
                <w:sz w:val="20"/>
                <w:lang w:val="en"/>
              </w:rPr>
              <w:lastRenderedPageBreak/>
              <w:t>PGG</w:t>
            </w:r>
          </w:p>
          <w:p w14:paraId="38686677" w14:textId="18ADC1E0" w:rsidR="00DF530B" w:rsidRPr="00E96BFC" w:rsidRDefault="00DF530B" w:rsidP="003A5801">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0"/>
                <w:lang w:val="en"/>
              </w:rPr>
            </w:pPr>
            <w:r w:rsidRPr="00E96BFC">
              <w:rPr>
                <w:rFonts w:asciiTheme="minorHAnsi" w:hAnsiTheme="minorHAnsi" w:cstheme="minorHAnsi"/>
                <w:b w:val="0"/>
                <w:bCs w:val="0"/>
                <w:sz w:val="20"/>
                <w:lang w:val="en"/>
              </w:rPr>
              <w:t>P&amp;CG</w:t>
            </w:r>
          </w:p>
          <w:p w14:paraId="182FBBCC" w14:textId="7EF4CBFC" w:rsidR="00DF530B" w:rsidRPr="00E96BFC" w:rsidRDefault="00DF530B" w:rsidP="003A5801">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0"/>
                <w:lang w:val="en"/>
              </w:rPr>
            </w:pPr>
            <w:r w:rsidRPr="00E96BFC">
              <w:rPr>
                <w:rFonts w:asciiTheme="minorHAnsi" w:hAnsiTheme="minorHAnsi" w:cstheme="minorHAnsi"/>
                <w:b w:val="0"/>
                <w:bCs w:val="0"/>
                <w:sz w:val="20"/>
                <w:lang w:val="en"/>
              </w:rPr>
              <w:t>CHIEF DATA OFFICER (CDO)</w:t>
            </w:r>
          </w:p>
        </w:tc>
        <w:tc>
          <w:tcPr>
            <w:tcW w:w="352" w:type="pct"/>
            <w:tcBorders>
              <w:top w:val="single" w:sz="8" w:space="0" w:color="8064A2" w:themeColor="accent4"/>
            </w:tcBorders>
          </w:tcPr>
          <w:p w14:paraId="7A444F68" w14:textId="5888F0EC" w:rsidR="00DF530B" w:rsidRPr="00E96BFC" w:rsidRDefault="00DF530B" w:rsidP="009E4522">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0"/>
                <w:lang w:val="en"/>
              </w:rPr>
            </w:pPr>
            <w:r w:rsidRPr="00E96BFC">
              <w:rPr>
                <w:rFonts w:asciiTheme="minorHAnsi" w:hAnsiTheme="minorHAnsi" w:cstheme="minorHAnsi"/>
                <w:b w:val="0"/>
                <w:sz w:val="20"/>
              </w:rPr>
              <w:t>Target met</w:t>
            </w:r>
          </w:p>
        </w:tc>
        <w:tc>
          <w:tcPr>
            <w:tcW w:w="2010" w:type="pct"/>
            <w:tcBorders>
              <w:top w:val="single" w:sz="8" w:space="0" w:color="8064A2" w:themeColor="accent4"/>
            </w:tcBorders>
          </w:tcPr>
          <w:p w14:paraId="4B23849A" w14:textId="77777777" w:rsidR="00FB6985" w:rsidRPr="009C45AC" w:rsidRDefault="00FB6985" w:rsidP="00FB6985">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i/>
                <w:szCs w:val="22"/>
                <w:u w:val="single"/>
                <w:lang w:val="en"/>
              </w:rPr>
            </w:pPr>
            <w:r w:rsidRPr="009C45AC">
              <w:rPr>
                <w:rFonts w:asciiTheme="minorHAnsi" w:hAnsiTheme="minorHAnsi" w:cstheme="minorHAnsi"/>
                <w:b w:val="0"/>
                <w:i/>
                <w:szCs w:val="22"/>
                <w:u w:val="single"/>
                <w:lang w:val="en"/>
              </w:rPr>
              <w:t>Provision of high quality advice to government</w:t>
            </w:r>
          </w:p>
          <w:p w14:paraId="74C0807B" w14:textId="77777777" w:rsidR="00664D3E" w:rsidRPr="009C45AC" w:rsidRDefault="00664D3E"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 xml:space="preserve">IP Australia provided advice and representation to the interdepartmental IP Policy Group as required. The group was created in August 2017 as a result of the government response to a Productivity Commission inquiry into IP arrangements. </w:t>
            </w:r>
          </w:p>
          <w:p w14:paraId="08DFC3A9" w14:textId="77777777" w:rsidR="00DF530B" w:rsidRPr="009C45AC" w:rsidRDefault="00664D3E" w:rsidP="00664D3E">
            <w:pPr>
              <w:pStyle w:val="Default"/>
              <w:spacing w:before="60" w:after="6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lang w:val="en" w:eastAsia="en-AU"/>
              </w:rPr>
            </w:pPr>
            <w:r w:rsidRPr="009C45AC">
              <w:rPr>
                <w:rFonts w:asciiTheme="minorHAnsi" w:hAnsiTheme="minorHAnsi" w:cstheme="minorHAnsi"/>
                <w:b w:val="0"/>
                <w:bCs w:val="0"/>
                <w:color w:val="auto"/>
                <w:sz w:val="22"/>
                <w:szCs w:val="22"/>
                <w:lang w:val="en" w:eastAsia="en-AU"/>
              </w:rPr>
              <w:t>IP Australia consistently delivered advice on time, including briefings to the Minister and Assistant Minister on policy and legislation issues: 141 ministerial briefs and replies were prepared, along with 306 responses to departmental requests.</w:t>
            </w:r>
          </w:p>
          <w:p w14:paraId="11CA410C" w14:textId="77777777" w:rsidR="00FB6985" w:rsidRPr="009C45AC" w:rsidRDefault="00FB6985" w:rsidP="00FB6985">
            <w:pPr>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i/>
                <w:szCs w:val="22"/>
                <w:u w:val="single"/>
                <w:lang w:val="en"/>
              </w:rPr>
            </w:pPr>
            <w:r w:rsidRPr="009C45AC">
              <w:rPr>
                <w:rFonts w:asciiTheme="minorHAnsi" w:hAnsiTheme="minorHAnsi" w:cstheme="minorHAnsi"/>
                <w:b w:val="0"/>
                <w:i/>
                <w:szCs w:val="22"/>
                <w:u w:val="single"/>
                <w:lang w:val="en"/>
              </w:rPr>
              <w:t>Strong domestic and international partnerships</w:t>
            </w:r>
          </w:p>
          <w:p w14:paraId="6BEC1A8D" w14:textId="77777777" w:rsidR="00664D3E" w:rsidRPr="009C45AC" w:rsidRDefault="00664D3E"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 xml:space="preserve">IP Australia progressed all international engagement activities as planned, including: </w:t>
            </w:r>
          </w:p>
          <w:p w14:paraId="5BC37A19" w14:textId="77777777" w:rsidR="00664D3E" w:rsidRPr="009C45AC" w:rsidRDefault="00664D3E" w:rsidP="00AE3C2A">
            <w:pPr>
              <w:pStyle w:val="TableBullet"/>
              <w:ind w:left="284" w:hanging="28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lastRenderedPageBreak/>
              <w:t>multilateral discussions and collaboration with WIPO under the Australia Funds-in-Trust for Intellectual Property project, including delivery of a side event at the WIPO General Assemblies in 2017</w:t>
            </w:r>
          </w:p>
          <w:p w14:paraId="752FFA0E" w14:textId="77777777" w:rsidR="00664D3E" w:rsidRPr="009C45AC" w:rsidRDefault="00664D3E" w:rsidP="00AE3C2A">
            <w:pPr>
              <w:pStyle w:val="TableBullet"/>
              <w:ind w:left="284" w:hanging="28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the development of online training modules on the Madrid Protocol for registering and managing trade marks in collaboration with WIPO</w:t>
            </w:r>
          </w:p>
          <w:p w14:paraId="261535A0" w14:textId="77777777" w:rsidR="00664D3E" w:rsidRPr="009C45AC" w:rsidRDefault="00664D3E" w:rsidP="00AE3C2A">
            <w:pPr>
              <w:pStyle w:val="TableBullet"/>
              <w:ind w:left="284" w:hanging="28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 xml:space="preserve">capacity building and collaboration with Association of Southeast Asian Nations (ASEAN) countries under the ASEAN – Australia – New Zealand Fair Trade Agreement, and new MOUs and </w:t>
            </w:r>
            <w:proofErr w:type="spellStart"/>
            <w:r w:rsidRPr="009C45AC">
              <w:rPr>
                <w:rFonts w:asciiTheme="minorHAnsi" w:hAnsiTheme="minorHAnsi" w:cstheme="minorHAnsi"/>
                <w:b w:val="0"/>
                <w:bCs w:val="0"/>
                <w:sz w:val="22"/>
                <w:szCs w:val="22"/>
                <w:lang w:val="en" w:eastAsia="en-AU"/>
              </w:rPr>
              <w:t>workplans</w:t>
            </w:r>
            <w:proofErr w:type="spellEnd"/>
            <w:r w:rsidRPr="009C45AC">
              <w:rPr>
                <w:rFonts w:asciiTheme="minorHAnsi" w:hAnsiTheme="minorHAnsi" w:cstheme="minorHAnsi"/>
                <w:b w:val="0"/>
                <w:bCs w:val="0"/>
                <w:sz w:val="22"/>
                <w:szCs w:val="22"/>
                <w:lang w:val="en" w:eastAsia="en-AU"/>
              </w:rPr>
              <w:t xml:space="preserve"> with the European Union Intellectual Property Office, the European Patent Office, the State Intellectual Property Office of China, and the Government of Chile</w:t>
            </w:r>
          </w:p>
          <w:p w14:paraId="5B8115BC" w14:textId="77777777" w:rsidR="00664D3E" w:rsidRPr="009C45AC" w:rsidRDefault="00664D3E" w:rsidP="00AE3C2A">
            <w:pPr>
              <w:pStyle w:val="TableBullet"/>
              <w:ind w:left="284" w:hanging="28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Work to extend IP Australia’s status as an International Search Authority through WIPO for patents. This involved two treaty processes—the minor treaty process was completed and the full treaty process commenced.</w:t>
            </w:r>
          </w:p>
          <w:p w14:paraId="32CBD187" w14:textId="503209AD" w:rsidR="00FB6985" w:rsidRPr="009C45AC" w:rsidRDefault="00FB6985"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b w:val="0"/>
                <w:i/>
                <w:sz w:val="22"/>
                <w:szCs w:val="22"/>
                <w:u w:val="single"/>
              </w:rPr>
            </w:pPr>
            <w:r w:rsidRPr="009C45AC">
              <w:rPr>
                <w:rFonts w:asciiTheme="minorHAnsi" w:hAnsiTheme="minorHAnsi"/>
                <w:b w:val="0"/>
                <w:i/>
                <w:sz w:val="22"/>
                <w:szCs w:val="22"/>
                <w:u w:val="single"/>
              </w:rPr>
              <w:t>High customer satisfaction with services designed to facilitate the use of IP</w:t>
            </w:r>
          </w:p>
          <w:p w14:paraId="6FF56D90" w14:textId="1AFA0072" w:rsidR="00664D3E" w:rsidRPr="009C45AC" w:rsidRDefault="00664D3E"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b w:val="0"/>
                <w:sz w:val="22"/>
                <w:szCs w:val="22"/>
              </w:rPr>
              <w:t>I</w:t>
            </w:r>
            <w:r w:rsidRPr="009C45AC">
              <w:rPr>
                <w:rFonts w:asciiTheme="minorHAnsi" w:hAnsiTheme="minorHAnsi" w:cstheme="minorHAnsi"/>
                <w:b w:val="0"/>
                <w:bCs w:val="0"/>
                <w:sz w:val="22"/>
                <w:szCs w:val="22"/>
                <w:lang w:val="en" w:eastAsia="en-AU"/>
              </w:rPr>
              <w:t>P Australia established an approach for an evaluation program in 2017–18 to assess the utility of key value-added services</w:t>
            </w:r>
            <w:r w:rsidR="00C115F0" w:rsidRPr="009C45AC">
              <w:rPr>
                <w:rFonts w:asciiTheme="minorHAnsi" w:hAnsiTheme="minorHAnsi" w:cstheme="minorHAnsi"/>
                <w:b w:val="0"/>
                <w:bCs w:val="0"/>
                <w:sz w:val="22"/>
                <w:szCs w:val="22"/>
                <w:lang w:val="en" w:eastAsia="en-AU"/>
              </w:rPr>
              <w:t xml:space="preserve">. </w:t>
            </w:r>
            <w:r w:rsidRPr="009C45AC">
              <w:rPr>
                <w:rFonts w:asciiTheme="minorHAnsi" w:hAnsiTheme="minorHAnsi" w:cstheme="minorHAnsi"/>
                <w:b w:val="0"/>
                <w:bCs w:val="0"/>
                <w:sz w:val="22"/>
                <w:szCs w:val="22"/>
                <w:lang w:val="en" w:eastAsia="en-AU"/>
              </w:rPr>
              <w:t xml:space="preserve">In 2017–18, the activities evaluated were: </w:t>
            </w:r>
          </w:p>
          <w:p w14:paraId="35792A5E" w14:textId="77777777" w:rsidR="00664D3E" w:rsidRPr="009C45AC" w:rsidRDefault="00664D3E" w:rsidP="00AE3C2A">
            <w:pPr>
              <w:pStyle w:val="TableBullet"/>
              <w:ind w:left="284" w:hanging="28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IP Counsellor to China</w:t>
            </w:r>
          </w:p>
          <w:p w14:paraId="045B3823" w14:textId="77777777" w:rsidR="00664D3E" w:rsidRPr="009C45AC" w:rsidRDefault="00664D3E" w:rsidP="00AE3C2A">
            <w:pPr>
              <w:pStyle w:val="TableBullet"/>
              <w:ind w:left="284" w:hanging="28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 xml:space="preserve">Patent Analytics Hub, </w:t>
            </w:r>
          </w:p>
          <w:p w14:paraId="3A853DFA" w14:textId="77777777" w:rsidR="00664D3E" w:rsidRPr="009C45AC" w:rsidRDefault="00664D3E" w:rsidP="00AE3C2A">
            <w:pPr>
              <w:pStyle w:val="TableBullet"/>
              <w:ind w:left="284" w:hanging="28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IP Mediation Referral Service</w:t>
            </w:r>
          </w:p>
          <w:p w14:paraId="24A7808E" w14:textId="7B09F0AB" w:rsidR="00664D3E" w:rsidRPr="009C45AC" w:rsidRDefault="00C115F0" w:rsidP="00AE3C2A">
            <w:pPr>
              <w:pStyle w:val="TableBullet"/>
              <w:ind w:left="284" w:hanging="284"/>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IP Summit.</w:t>
            </w:r>
          </w:p>
          <w:p w14:paraId="48FB8E2B" w14:textId="0F4AB183" w:rsidR="00664D3E" w:rsidRPr="009C45AC" w:rsidRDefault="00664D3E"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 xml:space="preserve">The results of the evaluations will form the benchmark for future reporting and assessment. IP Australia will aim to maintain or improve on results from the previous year, benchmark new initiatives, and use feedback </w:t>
            </w:r>
            <w:r w:rsidR="00C115F0" w:rsidRPr="009C45AC">
              <w:rPr>
                <w:rFonts w:asciiTheme="minorHAnsi" w:hAnsiTheme="minorHAnsi" w:cstheme="minorHAnsi"/>
                <w:b w:val="0"/>
                <w:bCs w:val="0"/>
                <w:sz w:val="22"/>
                <w:szCs w:val="22"/>
                <w:lang w:val="en" w:eastAsia="en-AU"/>
              </w:rPr>
              <w:t>for future</w:t>
            </w:r>
            <w:r w:rsidRPr="009C45AC">
              <w:rPr>
                <w:rFonts w:asciiTheme="minorHAnsi" w:hAnsiTheme="minorHAnsi" w:cstheme="minorHAnsi"/>
                <w:b w:val="0"/>
                <w:bCs w:val="0"/>
                <w:sz w:val="22"/>
                <w:szCs w:val="22"/>
                <w:lang w:val="en" w:eastAsia="en-AU"/>
              </w:rPr>
              <w:t xml:space="preserve"> improve</w:t>
            </w:r>
            <w:r w:rsidR="00C115F0" w:rsidRPr="009C45AC">
              <w:rPr>
                <w:rFonts w:asciiTheme="minorHAnsi" w:hAnsiTheme="minorHAnsi" w:cstheme="minorHAnsi"/>
                <w:b w:val="0"/>
                <w:bCs w:val="0"/>
                <w:sz w:val="22"/>
                <w:szCs w:val="22"/>
                <w:lang w:val="en" w:eastAsia="en-AU"/>
              </w:rPr>
              <w:t>ments</w:t>
            </w:r>
            <w:r w:rsidRPr="009C45AC">
              <w:rPr>
                <w:rFonts w:asciiTheme="minorHAnsi" w:hAnsiTheme="minorHAnsi" w:cstheme="minorHAnsi"/>
                <w:b w:val="0"/>
                <w:bCs w:val="0"/>
                <w:sz w:val="22"/>
                <w:szCs w:val="22"/>
                <w:lang w:val="en" w:eastAsia="en-AU"/>
              </w:rPr>
              <w:t xml:space="preserve">. </w:t>
            </w:r>
          </w:p>
          <w:p w14:paraId="7589E581" w14:textId="77777777" w:rsidR="00664D3E" w:rsidRPr="009C45AC" w:rsidRDefault="00664D3E"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The results of the evaluation of the IP Counsellor to China position found it to be a success against its intended goals, representing a significant step in IP Australia’s efforts to support Australian businesses that operate or seek to operate in China to protect and extract value from their IP in overseas markets. The position will be extended to December 2020.</w:t>
            </w:r>
          </w:p>
          <w:p w14:paraId="4636768E" w14:textId="77777777" w:rsidR="00664D3E" w:rsidRPr="009C45AC" w:rsidRDefault="00664D3E"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The evaluation of IP Australia’s Patent Analytics Hub found that the hub’s analytics reports are well received by customers. From 1 July 2018, the hub will become a permanent section in the Policy and Governance Group, staffed by full-time analysts on 12-month rotations from IP Australia’s patent examination groups.</w:t>
            </w:r>
          </w:p>
          <w:p w14:paraId="326F069F" w14:textId="5BA6204A" w:rsidR="00664D3E" w:rsidRPr="009C45AC" w:rsidRDefault="00664D3E"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 xml:space="preserve">The IP Mediation Referral Service, which assists small and medium enterprises to access private sector alternative dispute resolution services, was extended to increase the number of qualified, accredited and specialist mediation providers listed. </w:t>
            </w:r>
          </w:p>
          <w:p w14:paraId="6291018D" w14:textId="685DBDDA" w:rsidR="00664D3E" w:rsidRPr="009C45AC" w:rsidRDefault="00664D3E" w:rsidP="00664D3E">
            <w:pPr>
              <w:pStyle w:val="TableBullet"/>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IP Australia provided value by delivering the inaugural IP Summit, which supported small and medium enterprises by helping them to understand more about the importance of IP in growing a business. The event was well received, with 90% of attendees surveyed satisfied with the event.</w:t>
            </w:r>
          </w:p>
          <w:p w14:paraId="56B4E5F2" w14:textId="74E66A19" w:rsidR="00FB6985" w:rsidRPr="009C45AC" w:rsidRDefault="00FB6985" w:rsidP="00664D3E">
            <w:pPr>
              <w:pStyle w:val="TableBullet"/>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u w:val="single"/>
                <w:lang w:val="en" w:eastAsia="en-AU"/>
              </w:rPr>
            </w:pPr>
            <w:r w:rsidRPr="009C45AC">
              <w:rPr>
                <w:rFonts w:asciiTheme="minorHAnsi" w:hAnsiTheme="minorHAnsi" w:cstheme="minorHAnsi"/>
                <w:b w:val="0"/>
                <w:i/>
                <w:sz w:val="22"/>
                <w:szCs w:val="22"/>
                <w:u w:val="single"/>
                <w:lang w:val="en"/>
              </w:rPr>
              <w:t>Maximising access and use of our data.</w:t>
            </w:r>
          </w:p>
          <w:p w14:paraId="134C6EFC" w14:textId="70007C88" w:rsidR="00664D3E" w:rsidRPr="009C45AC" w:rsidRDefault="00664D3E" w:rsidP="00664D3E">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t xml:space="preserve">IP Australia maintained compliance with the PM&amp;C Open Data Policy in 2017–18. Continued improvement of IP Australia’s open data enabled research, analysis and the development of applications that use IP data. Improved Australian Business Number matching was added to IP Australia’s IP Government Open Data (IPGOD) dataset, greatly improving results for users wishing to track investment and innovation. IP Australia improved the production mechanisms behind IPGOD, adding metadata and information guidance to assist users to understand the data. </w:t>
            </w:r>
          </w:p>
          <w:p w14:paraId="29A741DE" w14:textId="34A5E745" w:rsidR="00664D3E" w:rsidRPr="009C45AC" w:rsidRDefault="00C115F0" w:rsidP="00C115F0">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n" w:eastAsia="en-AU"/>
              </w:rPr>
            </w:pPr>
            <w:r w:rsidRPr="009C45AC">
              <w:rPr>
                <w:rFonts w:asciiTheme="minorHAnsi" w:hAnsiTheme="minorHAnsi" w:cstheme="minorHAnsi"/>
                <w:b w:val="0"/>
                <w:bCs w:val="0"/>
                <w:sz w:val="22"/>
                <w:szCs w:val="22"/>
                <w:lang w:val="en" w:eastAsia="en-AU"/>
              </w:rPr>
              <w:lastRenderedPageBreak/>
              <w:t>T</w:t>
            </w:r>
            <w:r w:rsidR="00664D3E" w:rsidRPr="009C45AC">
              <w:rPr>
                <w:rFonts w:asciiTheme="minorHAnsi" w:hAnsiTheme="minorHAnsi" w:cstheme="minorHAnsi"/>
                <w:b w:val="0"/>
                <w:bCs w:val="0"/>
                <w:sz w:val="22"/>
                <w:szCs w:val="22"/>
                <w:lang w:val="en" w:eastAsia="en-AU"/>
              </w:rPr>
              <w:t>he management and use of data holdings across the data life cycle</w:t>
            </w:r>
            <w:r w:rsidRPr="009C45AC">
              <w:rPr>
                <w:rFonts w:asciiTheme="minorHAnsi" w:hAnsiTheme="minorHAnsi" w:cstheme="minorHAnsi"/>
                <w:b w:val="0"/>
                <w:bCs w:val="0"/>
                <w:sz w:val="22"/>
                <w:szCs w:val="22"/>
                <w:lang w:val="en" w:eastAsia="en-AU"/>
              </w:rPr>
              <w:t xml:space="preserve"> was improved</w:t>
            </w:r>
            <w:r w:rsidR="00664D3E" w:rsidRPr="009C45AC">
              <w:rPr>
                <w:rFonts w:asciiTheme="minorHAnsi" w:hAnsiTheme="minorHAnsi" w:cstheme="minorHAnsi"/>
                <w:b w:val="0"/>
                <w:bCs w:val="0"/>
                <w:sz w:val="22"/>
                <w:szCs w:val="22"/>
                <w:lang w:val="en" w:eastAsia="en-AU"/>
              </w:rPr>
              <w:t xml:space="preserve">. </w:t>
            </w:r>
            <w:r w:rsidRPr="009C45AC">
              <w:rPr>
                <w:rFonts w:asciiTheme="minorHAnsi" w:hAnsiTheme="minorHAnsi" w:cstheme="minorHAnsi"/>
                <w:b w:val="0"/>
                <w:bCs w:val="0"/>
                <w:sz w:val="22"/>
                <w:szCs w:val="22"/>
                <w:lang w:val="en" w:eastAsia="en-AU"/>
              </w:rPr>
              <w:t xml:space="preserve">In 2017-18, this </w:t>
            </w:r>
            <w:r w:rsidR="00664D3E" w:rsidRPr="009C45AC">
              <w:rPr>
                <w:rFonts w:asciiTheme="minorHAnsi" w:hAnsiTheme="minorHAnsi" w:cstheme="minorHAnsi"/>
                <w:b w:val="0"/>
                <w:bCs w:val="0"/>
                <w:sz w:val="22"/>
                <w:szCs w:val="22"/>
                <w:lang w:val="en" w:eastAsia="en-AU"/>
              </w:rPr>
              <w:t>included developing a data quality framework and processes, and agreeing on metadata principles for sourcing data. On the data usage side, IP Australia completed the procurement and started the implementation of a new modern data and analytics platform. The first stage of the platform was released in June 2018.</w:t>
            </w:r>
          </w:p>
        </w:tc>
      </w:tr>
    </w:tbl>
    <w:p w14:paraId="7EF19B1E" w14:textId="77777777" w:rsidR="00360C72" w:rsidRPr="00DC2FF1" w:rsidRDefault="00360C72" w:rsidP="00360C72">
      <w:pPr>
        <w:sectPr w:rsidR="00360C72" w:rsidRPr="00DC2FF1" w:rsidSect="00B2378E">
          <w:pgSz w:w="23814" w:h="16839" w:orient="landscape" w:code="8"/>
          <w:pgMar w:top="1134" w:right="1418" w:bottom="1134" w:left="1134" w:header="567" w:footer="284" w:gutter="0"/>
          <w:cols w:space="720"/>
          <w:noEndnote/>
          <w:docGrid w:linePitch="299"/>
        </w:sectPr>
      </w:pPr>
    </w:p>
    <w:p w14:paraId="4FF3E0A2" w14:textId="41674029" w:rsidR="002620DF" w:rsidRPr="00DC2FF1" w:rsidRDefault="00664285" w:rsidP="00664285">
      <w:r>
        <w:rPr>
          <w:noProof/>
        </w:rPr>
        <w:lastRenderedPageBreak/>
        <w:drawing>
          <wp:inline distT="0" distB="0" distL="0" distR="0" wp14:anchorId="2F0D65B0" wp14:editId="7AE92D43">
            <wp:extent cx="5913294" cy="8571147"/>
            <wp:effectExtent l="0" t="0" r="0" b="1905"/>
            <wp:docPr id="6" name="Picture 6" title="Infographic of 2017-18 RP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18 IP Australia Performance Infographic.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14739" cy="8573241"/>
                    </a:xfrm>
                    <a:prstGeom prst="rect">
                      <a:avLst/>
                    </a:prstGeom>
                  </pic:spPr>
                </pic:pic>
              </a:graphicData>
            </a:graphic>
          </wp:inline>
        </w:drawing>
      </w:r>
    </w:p>
    <w:sectPr w:rsidR="002620DF" w:rsidRPr="00DC2FF1" w:rsidSect="0001142E">
      <w:headerReference w:type="first" r:id="rId25"/>
      <w:footerReference w:type="first" r:id="rId26"/>
      <w:pgSz w:w="11906" w:h="16838"/>
      <w:pgMar w:top="1418" w:right="1134" w:bottom="720" w:left="1134" w:header="720" w:footer="720" w:gutter="0"/>
      <w:cols w:space="720"/>
      <w:noEndnote/>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CE569" w16cid:durableId="1EDB76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A8291" w14:textId="77777777" w:rsidR="00B41016" w:rsidRDefault="00B41016" w:rsidP="00562D3F">
      <w:r>
        <w:separator/>
      </w:r>
    </w:p>
    <w:p w14:paraId="25AFFC4C" w14:textId="77777777" w:rsidR="00B41016" w:rsidRDefault="00B41016"/>
  </w:endnote>
  <w:endnote w:type="continuationSeparator" w:id="0">
    <w:p w14:paraId="12E5A174" w14:textId="77777777" w:rsidR="00B41016" w:rsidRDefault="00B41016" w:rsidP="00562D3F">
      <w:r>
        <w:continuationSeparator/>
      </w:r>
    </w:p>
    <w:p w14:paraId="0E6FA401" w14:textId="77777777" w:rsidR="00B41016" w:rsidRDefault="00B41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A">
    <w:altName w:val="Arial"/>
    <w:panose1 w:val="00000000000000000000"/>
    <w:charset w:val="00"/>
    <w:family w:val="moder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8509" w14:textId="77777777" w:rsidR="00B41016" w:rsidRPr="008671EA" w:rsidRDefault="00B41016" w:rsidP="00C0657B">
    <w:pPr>
      <w:pStyle w:val="Footer"/>
      <w:spacing w:before="0" w:after="0"/>
      <w:rPr>
        <w:rFonts w:cs="Arial"/>
        <w:color w:val="FFFFFF"/>
        <w:sz w:val="16"/>
        <w:szCs w:val="16"/>
      </w:rPr>
    </w:pPr>
    <w:r w:rsidRPr="008671EA">
      <w:rPr>
        <w:rFonts w:cs="Arial"/>
        <w:color w:val="FFFFFF"/>
        <w:sz w:val="16"/>
        <w:szCs w:val="16"/>
      </w:rPr>
      <w:t>This document is controlled. Its accuracy can only be guaranteed when viewed electronically.</w:t>
    </w:r>
    <w:r w:rsidRPr="008671EA">
      <w:rPr>
        <w:rFonts w:cs="Arial"/>
        <w:color w:val="FFFFFF"/>
        <w:sz w:val="16"/>
        <w:szCs w:val="16"/>
      </w:rPr>
      <w:tab/>
    </w:r>
  </w:p>
  <w:p w14:paraId="1BE37713" w14:textId="268472F2" w:rsidR="00B41016" w:rsidRPr="008671EA" w:rsidRDefault="00B41016" w:rsidP="00C0657B">
    <w:pPr>
      <w:pStyle w:val="Footer"/>
      <w:spacing w:before="0" w:after="0"/>
      <w:rPr>
        <w:rFonts w:cs="Arial"/>
        <w:color w:val="FFFFFF"/>
        <w:sz w:val="16"/>
        <w:szCs w:val="16"/>
      </w:rPr>
    </w:pPr>
    <w:r w:rsidRPr="008671EA">
      <w:rPr>
        <w:rFonts w:cs="Arial"/>
        <w:color w:val="FFFFFF"/>
        <w:sz w:val="16"/>
        <w:szCs w:val="16"/>
      </w:rPr>
      <w:t>Effective Date: Day Month Year</w:t>
    </w:r>
    <w:r w:rsidRPr="008671EA">
      <w:rPr>
        <w:rFonts w:cs="Arial"/>
        <w:color w:val="FFFFFF"/>
        <w:sz w:val="16"/>
        <w:szCs w:val="16"/>
      </w:rPr>
      <w:tab/>
    </w:r>
    <w:r w:rsidRPr="008671EA">
      <w:rPr>
        <w:rFonts w:cs="Arial"/>
        <w:color w:val="FFFFFF"/>
        <w:sz w:val="16"/>
        <w:szCs w:val="16"/>
      </w:rPr>
      <w:tab/>
      <w:t xml:space="preserve">Page </w:t>
    </w:r>
    <w:r w:rsidRPr="008671EA">
      <w:rPr>
        <w:rFonts w:cs="Arial"/>
        <w:color w:val="FFFFFF"/>
        <w:sz w:val="16"/>
        <w:szCs w:val="16"/>
      </w:rPr>
      <w:fldChar w:fldCharType="begin"/>
    </w:r>
    <w:r w:rsidRPr="008671EA">
      <w:rPr>
        <w:rFonts w:cs="Arial"/>
        <w:color w:val="FFFFFF"/>
        <w:sz w:val="16"/>
        <w:szCs w:val="16"/>
      </w:rPr>
      <w:instrText xml:space="preserve"> PAGE   \* MERGEFORMAT </w:instrText>
    </w:r>
    <w:r w:rsidRPr="008671EA">
      <w:rPr>
        <w:rFonts w:cs="Arial"/>
        <w:color w:val="FFFFFF"/>
        <w:sz w:val="16"/>
        <w:szCs w:val="16"/>
      </w:rPr>
      <w:fldChar w:fldCharType="separate"/>
    </w:r>
    <w:r w:rsidRPr="008671EA">
      <w:rPr>
        <w:rFonts w:cs="Arial"/>
        <w:noProof/>
        <w:color w:val="FFFFFF"/>
        <w:sz w:val="16"/>
        <w:szCs w:val="16"/>
      </w:rPr>
      <w:t>1</w:t>
    </w:r>
    <w:r w:rsidRPr="008671EA">
      <w:rPr>
        <w:rFonts w:cs="Arial"/>
        <w:noProof/>
        <w:color w:val="FFFFFF"/>
        <w:sz w:val="16"/>
        <w:szCs w:val="16"/>
      </w:rPr>
      <w:fldChar w:fldCharType="end"/>
    </w:r>
    <w:r w:rsidRPr="008671EA">
      <w:rPr>
        <w:rFonts w:cs="Arial"/>
        <w:noProof/>
        <w:color w:val="FFFFFF"/>
        <w:sz w:val="16"/>
        <w:szCs w:val="16"/>
      </w:rPr>
      <w:t xml:space="preserve"> of  </w:t>
    </w:r>
    <w:r w:rsidRPr="008671EA">
      <w:rPr>
        <w:rFonts w:cs="Arial"/>
        <w:color w:val="FFFFFF"/>
        <w:sz w:val="16"/>
        <w:szCs w:val="16"/>
      </w:rPr>
      <w:fldChar w:fldCharType="begin"/>
    </w:r>
    <w:r w:rsidRPr="008671EA">
      <w:rPr>
        <w:rFonts w:cs="Arial"/>
        <w:color w:val="FFFFFF"/>
        <w:sz w:val="16"/>
        <w:szCs w:val="16"/>
      </w:rPr>
      <w:instrText xml:space="preserve"> NUMPAGES </w:instrText>
    </w:r>
    <w:r w:rsidRPr="008671EA">
      <w:rPr>
        <w:rFonts w:cs="Arial"/>
        <w:color w:val="FFFFFF"/>
        <w:sz w:val="16"/>
        <w:szCs w:val="16"/>
      </w:rPr>
      <w:fldChar w:fldCharType="separate"/>
    </w:r>
    <w:r w:rsidR="00065075">
      <w:rPr>
        <w:rFonts w:cs="Arial"/>
        <w:noProof/>
        <w:color w:val="FFFFFF"/>
        <w:sz w:val="16"/>
        <w:szCs w:val="16"/>
      </w:rPr>
      <w:t>14</w:t>
    </w:r>
    <w:r w:rsidRPr="008671EA">
      <w:rPr>
        <w:rFonts w:cs="Arial"/>
        <w:color w:val="FFFFF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19BE" w14:textId="77777777" w:rsidR="00B41016" w:rsidRPr="00724F21" w:rsidRDefault="00B41016" w:rsidP="00724F21">
    <w:pPr>
      <w:pStyle w:val="Footer"/>
      <w:jc w:val="right"/>
      <w:rPr>
        <w:rFonts w:cs="Arial"/>
        <w:sz w:val="16"/>
        <w:szCs w:val="16"/>
      </w:rPr>
    </w:pPr>
    <w:r>
      <w:rPr>
        <w:noProof/>
      </w:rPr>
      <w:drawing>
        <wp:anchor distT="0" distB="0" distL="114300" distR="114300" simplePos="0" relativeHeight="251657216" behindDoc="1" locked="0" layoutInCell="1" allowOverlap="1" wp14:anchorId="7BC901BD" wp14:editId="24FE4CBA">
          <wp:simplePos x="0" y="0"/>
          <wp:positionH relativeFrom="page">
            <wp:align>left</wp:align>
          </wp:positionH>
          <wp:positionV relativeFrom="page">
            <wp:align>bottom</wp:align>
          </wp:positionV>
          <wp:extent cx="7559675" cy="3368675"/>
          <wp:effectExtent l="0" t="0" r="3175" b="3175"/>
          <wp:wrapNone/>
          <wp:docPr id="2" name="Picture 7"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6-booklet-image-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3368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138E" w14:textId="77777777" w:rsidR="00B41016" w:rsidRPr="00122BF8" w:rsidRDefault="00B41016" w:rsidP="00063CD6">
    <w:pPr>
      <w:pStyle w:val="Header"/>
      <w:spacing w:before="0" w:after="0"/>
      <w:jc w:val="center"/>
      <w:rPr>
        <w:color w:val="FFFFFF"/>
        <w:sz w:val="18"/>
        <w:szCs w:val="18"/>
      </w:rPr>
    </w:pPr>
    <w:r>
      <w:rPr>
        <w:color w:val="FF0000"/>
        <w:sz w:val="18"/>
        <w:szCs w:val="18"/>
      </w:rPr>
      <w:t>UNCLASSIFIED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3F1D" w14:textId="77777777" w:rsidR="00B41016" w:rsidRPr="00851D64" w:rsidRDefault="00B41016" w:rsidP="001D7C39">
    <w:pPr>
      <w:pStyle w:val="Header"/>
      <w:spacing w:before="0" w:after="0"/>
      <w:jc w:val="center"/>
      <w:rPr>
        <w:color w:val="FF0000"/>
        <w:sz w:val="18"/>
        <w:szCs w:val="18"/>
      </w:rPr>
    </w:pPr>
    <w:r>
      <w:rPr>
        <w:color w:val="FF0000"/>
        <w:sz w:val="18"/>
        <w:szCs w:val="18"/>
      </w:rPr>
      <w:t>UNCLASSIFIED</w:t>
    </w:r>
  </w:p>
  <w:p w14:paraId="67C101F7" w14:textId="77777777" w:rsidR="00B41016" w:rsidRPr="008671EA" w:rsidRDefault="00B41016" w:rsidP="00CB1A9D">
    <w:pPr>
      <w:pStyle w:val="Footer"/>
      <w:spacing w:before="240" w:after="0"/>
      <w:rPr>
        <w:rFonts w:cs="Arial"/>
        <w:color w:val="595959"/>
        <w:sz w:val="16"/>
        <w:szCs w:val="16"/>
      </w:rPr>
    </w:pPr>
    <w:r>
      <w:rPr>
        <w:rFonts w:cs="Arial"/>
        <w:color w:val="595959"/>
        <w:sz w:val="16"/>
        <w:szCs w:val="16"/>
      </w:rPr>
      <w:t>This template</w:t>
    </w:r>
    <w:r w:rsidRPr="008671EA">
      <w:rPr>
        <w:rFonts w:cs="Arial"/>
        <w:color w:val="595959"/>
        <w:sz w:val="16"/>
        <w:szCs w:val="16"/>
      </w:rPr>
      <w:t xml:space="preserve"> is controlled. Its accuracy can only be guaranteed when viewed electronically.</w:t>
    </w:r>
    <w:r w:rsidRPr="008671EA">
      <w:rPr>
        <w:rFonts w:cs="Arial"/>
        <w:color w:val="595959"/>
        <w:sz w:val="16"/>
        <w:szCs w:val="16"/>
      </w:rPr>
      <w:tab/>
    </w:r>
  </w:p>
  <w:p w14:paraId="7275570A" w14:textId="7BF1B2CE" w:rsidR="00B41016" w:rsidRPr="008671EA" w:rsidRDefault="00B41016" w:rsidP="00C0657B">
    <w:pPr>
      <w:pStyle w:val="Footer"/>
      <w:spacing w:before="0" w:after="0"/>
      <w:rPr>
        <w:rFonts w:cs="Arial"/>
        <w:color w:val="595959"/>
        <w:sz w:val="16"/>
        <w:szCs w:val="16"/>
      </w:rPr>
    </w:pPr>
    <w:r>
      <w:rPr>
        <w:rFonts w:cs="Arial"/>
        <w:color w:val="595959"/>
        <w:sz w:val="16"/>
        <w:szCs w:val="16"/>
      </w:rPr>
      <w:t>Effective Da</w:t>
    </w:r>
    <w:r w:rsidRPr="00CE6A83">
      <w:rPr>
        <w:rFonts w:cs="Arial"/>
        <w:color w:val="595959"/>
        <w:sz w:val="16"/>
        <w:szCs w:val="16"/>
      </w:rPr>
      <w:t xml:space="preserve">te: </w:t>
    </w:r>
    <w:r w:rsidR="008D2FB3">
      <w:rPr>
        <w:rFonts w:cs="Arial"/>
        <w:color w:val="595959"/>
        <w:sz w:val="16"/>
        <w:szCs w:val="16"/>
      </w:rPr>
      <w:t>12 December</w:t>
    </w:r>
    <w:r w:rsidRPr="00CE6A83">
      <w:rPr>
        <w:rFonts w:cs="Arial"/>
        <w:color w:val="595959"/>
        <w:sz w:val="16"/>
        <w:szCs w:val="16"/>
      </w:rPr>
      <w:t xml:space="preserve"> 201</w:t>
    </w:r>
    <w:r w:rsidR="00102058">
      <w:rPr>
        <w:rFonts w:cs="Arial"/>
        <w:color w:val="595959"/>
        <w:sz w:val="16"/>
        <w:szCs w:val="16"/>
      </w:rPr>
      <w:t>8</w:t>
    </w:r>
    <w:r>
      <w:rPr>
        <w:rFonts w:cs="Arial"/>
        <w:color w:val="595959"/>
        <w:sz w:val="16"/>
        <w:szCs w:val="16"/>
      </w:rPr>
      <w:t xml:space="preserve"> </w:t>
    </w:r>
    <w:r w:rsidRPr="008671EA">
      <w:rPr>
        <w:rFonts w:cs="Arial"/>
        <w:color w:val="595959"/>
        <w:sz w:val="16"/>
        <w:szCs w:val="16"/>
      </w:rPr>
      <w:tab/>
    </w:r>
    <w:r w:rsidRPr="008671EA">
      <w:rPr>
        <w:rFonts w:cs="Arial"/>
        <w:color w:val="595959"/>
        <w:sz w:val="16"/>
        <w:szCs w:val="16"/>
      </w:rPr>
      <w:tab/>
      <w:t xml:space="preserve">Page </w:t>
    </w:r>
    <w:r w:rsidRPr="008671EA">
      <w:rPr>
        <w:rFonts w:cs="Arial"/>
        <w:color w:val="595959"/>
        <w:sz w:val="16"/>
        <w:szCs w:val="16"/>
      </w:rPr>
      <w:fldChar w:fldCharType="begin"/>
    </w:r>
    <w:r w:rsidRPr="008671EA">
      <w:rPr>
        <w:rFonts w:cs="Arial"/>
        <w:color w:val="595959"/>
        <w:sz w:val="16"/>
        <w:szCs w:val="16"/>
      </w:rPr>
      <w:instrText xml:space="preserve"> PAGE  \* Arabic </w:instrText>
    </w:r>
    <w:r w:rsidRPr="008671EA">
      <w:rPr>
        <w:rFonts w:cs="Arial"/>
        <w:color w:val="595959"/>
        <w:sz w:val="16"/>
        <w:szCs w:val="16"/>
      </w:rPr>
      <w:fldChar w:fldCharType="separate"/>
    </w:r>
    <w:r w:rsidR="008633B1">
      <w:rPr>
        <w:rFonts w:cs="Arial"/>
        <w:noProof/>
        <w:color w:val="595959"/>
        <w:sz w:val="16"/>
        <w:szCs w:val="16"/>
      </w:rPr>
      <w:t>1</w:t>
    </w:r>
    <w:r w:rsidRPr="008671EA">
      <w:rPr>
        <w:rFonts w:cs="Arial"/>
        <w:color w:val="595959"/>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6620B" w14:textId="77777777" w:rsidR="00B41016" w:rsidRPr="008671EA" w:rsidRDefault="00B41016" w:rsidP="00473BDB">
    <w:pPr>
      <w:pStyle w:val="Footer"/>
      <w:spacing w:before="240" w:after="0"/>
      <w:rPr>
        <w:rFonts w:cs="Arial"/>
        <w:color w:val="595959"/>
        <w:sz w:val="16"/>
        <w:szCs w:val="16"/>
      </w:rPr>
    </w:pPr>
    <w:r w:rsidRPr="008671EA">
      <w:rPr>
        <w:rFonts w:cs="Arial"/>
        <w:color w:val="595959"/>
        <w:sz w:val="16"/>
        <w:szCs w:val="16"/>
      </w:rPr>
      <w:t>This document is controlled. Its accuracy can only be guaranteed when viewed electronically.</w:t>
    </w:r>
    <w:r w:rsidRPr="008671EA">
      <w:rPr>
        <w:rFonts w:cs="Arial"/>
        <w:color w:val="595959"/>
        <w:sz w:val="16"/>
        <w:szCs w:val="16"/>
      </w:rPr>
      <w:tab/>
    </w:r>
  </w:p>
  <w:p w14:paraId="4A8C16C3" w14:textId="77777777" w:rsidR="00B41016" w:rsidRPr="008671EA" w:rsidRDefault="00B41016" w:rsidP="00A85F4C">
    <w:pPr>
      <w:pStyle w:val="Footer"/>
      <w:spacing w:before="0" w:after="0"/>
      <w:rPr>
        <w:rFonts w:cs="Arial"/>
        <w:color w:val="595959"/>
        <w:sz w:val="16"/>
        <w:szCs w:val="16"/>
      </w:rPr>
    </w:pPr>
    <w:r w:rsidRPr="008671EA">
      <w:rPr>
        <w:rFonts w:cs="Arial"/>
        <w:color w:val="595959"/>
        <w:sz w:val="16"/>
        <w:szCs w:val="16"/>
      </w:rPr>
      <w:t>Effective Date: [</w:t>
    </w:r>
    <w:r w:rsidRPr="008671EA">
      <w:rPr>
        <w:rFonts w:cs="Arial"/>
        <w:color w:val="595959"/>
        <w:sz w:val="16"/>
        <w:szCs w:val="16"/>
        <w:highlight w:val="yellow"/>
      </w:rPr>
      <w:t>Day Month Year</w:t>
    </w:r>
    <w:r w:rsidRPr="008671EA">
      <w:rPr>
        <w:rFonts w:cs="Arial"/>
        <w:color w:val="595959"/>
        <w:sz w:val="16"/>
        <w:szCs w:val="16"/>
      </w:rPr>
      <w:t>]</w:t>
    </w:r>
    <w:r w:rsidRPr="008671EA">
      <w:rPr>
        <w:rFonts w:cs="Arial"/>
        <w:color w:val="595959"/>
        <w:sz w:val="16"/>
        <w:szCs w:val="16"/>
      </w:rPr>
      <w:tab/>
    </w:r>
    <w:r w:rsidRPr="008671EA">
      <w:rPr>
        <w:rFonts w:cs="Arial"/>
        <w:color w:val="595959"/>
        <w:sz w:val="16"/>
        <w:szCs w:val="16"/>
      </w:rPr>
      <w:tab/>
      <w:t xml:space="preserve">Page </w:t>
    </w:r>
    <w:r w:rsidRPr="008671EA">
      <w:rPr>
        <w:rFonts w:cs="Arial"/>
        <w:color w:val="595959"/>
        <w:sz w:val="16"/>
        <w:szCs w:val="16"/>
      </w:rPr>
      <w:fldChar w:fldCharType="begin"/>
    </w:r>
    <w:r w:rsidRPr="008671EA">
      <w:rPr>
        <w:rFonts w:cs="Arial"/>
        <w:color w:val="595959"/>
        <w:sz w:val="16"/>
        <w:szCs w:val="16"/>
      </w:rPr>
      <w:instrText xml:space="preserve"> SECTIONPAGES  </w:instrText>
    </w:r>
    <w:r w:rsidRPr="008671EA">
      <w:rPr>
        <w:rFonts w:cs="Arial"/>
        <w:color w:val="595959"/>
        <w:sz w:val="16"/>
        <w:szCs w:val="16"/>
      </w:rPr>
      <w:fldChar w:fldCharType="separate"/>
    </w:r>
    <w:r w:rsidRPr="008671EA">
      <w:rPr>
        <w:rFonts w:cs="Arial"/>
        <w:noProof/>
        <w:color w:val="595959"/>
        <w:sz w:val="16"/>
        <w:szCs w:val="16"/>
      </w:rPr>
      <w:t>2</w:t>
    </w:r>
    <w:r w:rsidRPr="008671EA">
      <w:rPr>
        <w:rFonts w:cs="Arial"/>
        <w:color w:val="595959"/>
        <w:sz w:val="16"/>
        <w:szCs w:val="16"/>
      </w:rPr>
      <w:fldChar w:fldCharType="end"/>
    </w:r>
    <w:r w:rsidRPr="008671EA">
      <w:rPr>
        <w:rFonts w:cs="Arial"/>
        <w:noProof/>
        <w:color w:val="595959"/>
        <w:sz w:val="16"/>
        <w:szCs w:val="16"/>
      </w:rPr>
      <w:t xml:space="preserve"> of </w:t>
    </w:r>
    <w:r w:rsidRPr="008671EA">
      <w:rPr>
        <w:rFonts w:cs="Arial"/>
        <w:color w:val="595959"/>
        <w:sz w:val="16"/>
        <w:szCs w:val="16"/>
      </w:rPr>
      <w:fldChar w:fldCharType="begin"/>
    </w:r>
    <w:r w:rsidRPr="008671EA">
      <w:rPr>
        <w:rFonts w:cs="Arial"/>
        <w:color w:val="595959"/>
        <w:sz w:val="16"/>
        <w:szCs w:val="16"/>
      </w:rPr>
      <w:instrText xml:space="preserve"> SECTIONPAGES  </w:instrText>
    </w:r>
    <w:r w:rsidRPr="008671EA">
      <w:rPr>
        <w:rFonts w:cs="Arial"/>
        <w:color w:val="595959"/>
        <w:sz w:val="16"/>
        <w:szCs w:val="16"/>
      </w:rPr>
      <w:fldChar w:fldCharType="separate"/>
    </w:r>
    <w:r w:rsidRPr="008671EA">
      <w:rPr>
        <w:rFonts w:cs="Arial"/>
        <w:noProof/>
        <w:color w:val="595959"/>
        <w:sz w:val="16"/>
        <w:szCs w:val="16"/>
      </w:rPr>
      <w:t>2</w:t>
    </w:r>
    <w:r w:rsidRPr="008671EA">
      <w:rPr>
        <w:rFonts w:cs="Arial"/>
        <w:color w:val="595959"/>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80249" w14:textId="77777777" w:rsidR="00B41016" w:rsidRPr="00FB4482" w:rsidRDefault="00B41016" w:rsidP="009329A0">
    <w:pPr>
      <w:spacing w:after="0"/>
      <w:jc w:val="center"/>
      <w:rPr>
        <w:sz w:val="20"/>
      </w:rPr>
    </w:pPr>
    <w:r w:rsidRPr="00FB4482">
      <w:rPr>
        <w:sz w:val="16"/>
        <w:szCs w:val="16"/>
      </w:rPr>
      <w:t>©</w:t>
    </w:r>
    <w:r w:rsidRPr="00FB4482">
      <w:rPr>
        <w:spacing w:val="-1"/>
        <w:sz w:val="16"/>
        <w:szCs w:val="16"/>
      </w:rPr>
      <w:t xml:space="preserve"> </w:t>
    </w:r>
    <w:r w:rsidRPr="00FB4482">
      <w:rPr>
        <w:sz w:val="16"/>
        <w:szCs w:val="16"/>
      </w:rPr>
      <w:t>Commonwealth</w:t>
    </w:r>
    <w:r w:rsidRPr="00FB4482">
      <w:rPr>
        <w:spacing w:val="-2"/>
        <w:sz w:val="16"/>
        <w:szCs w:val="16"/>
      </w:rPr>
      <w:t xml:space="preserve"> </w:t>
    </w:r>
    <w:r w:rsidRPr="00FB4482">
      <w:rPr>
        <w:sz w:val="16"/>
        <w:szCs w:val="16"/>
      </w:rPr>
      <w:t>of</w:t>
    </w:r>
    <w:r w:rsidRPr="00FB4482">
      <w:rPr>
        <w:spacing w:val="-12"/>
        <w:sz w:val="16"/>
        <w:szCs w:val="16"/>
      </w:rPr>
      <w:t xml:space="preserve"> </w:t>
    </w:r>
    <w:r w:rsidRPr="00FB4482">
      <w:rPr>
        <w:sz w:val="16"/>
        <w:szCs w:val="16"/>
      </w:rPr>
      <w:t>Australia 2016</w:t>
    </w:r>
  </w:p>
  <w:p w14:paraId="111C50F6" w14:textId="77777777" w:rsidR="00B41016" w:rsidRPr="007C6027" w:rsidRDefault="00B41016" w:rsidP="009329A0">
    <w:pPr>
      <w:spacing w:after="0"/>
      <w:ind w:left="3180" w:right="3180"/>
      <w:jc w:val="center"/>
      <w:rPr>
        <w:sz w:val="20"/>
      </w:rPr>
    </w:pPr>
    <w:r>
      <w:rPr>
        <w:noProof/>
        <w:sz w:val="20"/>
      </w:rPr>
      <w:drawing>
        <wp:inline distT="0" distB="0" distL="0" distR="0" wp14:anchorId="6F4AB5DB" wp14:editId="2DD5E737">
          <wp:extent cx="985520" cy="344170"/>
          <wp:effectExtent l="0" t="0" r="5080" b="0"/>
          <wp:docPr id="1" name="Picture 6"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3441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3354" w14:textId="77777777" w:rsidR="00B41016" w:rsidRDefault="00B41016" w:rsidP="00562D3F">
      <w:r>
        <w:separator/>
      </w:r>
    </w:p>
    <w:p w14:paraId="4A6BF58E" w14:textId="77777777" w:rsidR="00B41016" w:rsidRDefault="00B41016"/>
  </w:footnote>
  <w:footnote w:type="continuationSeparator" w:id="0">
    <w:p w14:paraId="778304F2" w14:textId="77777777" w:rsidR="00B41016" w:rsidRDefault="00B41016" w:rsidP="00562D3F">
      <w:r>
        <w:continuationSeparator/>
      </w:r>
    </w:p>
    <w:p w14:paraId="7861A382" w14:textId="77777777" w:rsidR="00B41016" w:rsidRDefault="00B41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A13E" w14:textId="77777777" w:rsidR="00B41016" w:rsidRDefault="00B41016">
    <w:pPr>
      <w:pStyle w:val="Header"/>
    </w:pPr>
    <w:r>
      <w:rPr>
        <w:noProof/>
      </w:rPr>
      <mc:AlternateContent>
        <mc:Choice Requires="wpg">
          <w:drawing>
            <wp:anchor distT="0" distB="0" distL="114300" distR="114300" simplePos="0" relativeHeight="251656192" behindDoc="1" locked="0" layoutInCell="1" allowOverlap="1" wp14:anchorId="06320274" wp14:editId="4794C0DB">
              <wp:simplePos x="0" y="0"/>
              <wp:positionH relativeFrom="page">
                <wp:align>center</wp:align>
              </wp:positionH>
              <wp:positionV relativeFrom="page">
                <wp:align>center</wp:align>
              </wp:positionV>
              <wp:extent cx="7200265" cy="10332085"/>
              <wp:effectExtent l="0" t="0" r="635"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283" y="283"/>
                        <a:chExt cx="11339" cy="16271"/>
                      </a:xfrm>
                    </wpg:grpSpPr>
                    <wps:wsp>
                      <wps:cNvPr id="5" name="Freeform 12"/>
                      <wps:cNvSpPr>
                        <a:spLocks/>
                      </wps:cNvSpPr>
                      <wps:spPr bwMode="auto">
                        <a:xfrm>
                          <a:off x="283" y="283"/>
                          <a:ext cx="11339" cy="16271"/>
                        </a:xfrm>
                        <a:custGeom>
                          <a:avLst/>
                          <a:gdLst>
                            <a:gd name="T0" fmla="+- 0 283 283"/>
                            <a:gd name="T1" fmla="*/ T0 w 11339"/>
                            <a:gd name="T2" fmla="+- 0 16554 283"/>
                            <a:gd name="T3" fmla="*/ 16554 h 16271"/>
                            <a:gd name="T4" fmla="+- 0 11622 283"/>
                            <a:gd name="T5" fmla="*/ T4 w 11339"/>
                            <a:gd name="T6" fmla="+- 0 16554 283"/>
                            <a:gd name="T7" fmla="*/ 16554 h 16271"/>
                            <a:gd name="T8" fmla="+- 0 11622 283"/>
                            <a:gd name="T9" fmla="*/ T8 w 11339"/>
                            <a:gd name="T10" fmla="+- 0 283 283"/>
                            <a:gd name="T11" fmla="*/ 283 h 16271"/>
                            <a:gd name="T12" fmla="+- 0 283 283"/>
                            <a:gd name="T13" fmla="*/ T12 w 11339"/>
                            <a:gd name="T14" fmla="+- 0 283 283"/>
                            <a:gd name="T15" fmla="*/ 283 h 16271"/>
                            <a:gd name="T16" fmla="+- 0 283 283"/>
                            <a:gd name="T17" fmla="*/ T16 w 11339"/>
                            <a:gd name="T18" fmla="+- 0 16554 283"/>
                            <a:gd name="T19" fmla="*/ 16554 h 16271"/>
                          </a:gdLst>
                          <a:ahLst/>
                          <a:cxnLst>
                            <a:cxn ang="0">
                              <a:pos x="T1" y="T3"/>
                            </a:cxn>
                            <a:cxn ang="0">
                              <a:pos x="T5" y="T7"/>
                            </a:cxn>
                            <a:cxn ang="0">
                              <a:pos x="T9" y="T11"/>
                            </a:cxn>
                            <a:cxn ang="0">
                              <a:pos x="T13" y="T15"/>
                            </a:cxn>
                            <a:cxn ang="0">
                              <a:pos x="T17" y="T19"/>
                            </a:cxn>
                          </a:cxnLst>
                          <a:rect l="0" t="0" r="r" b="b"/>
                          <a:pathLst>
                            <a:path w="11339" h="16271">
                              <a:moveTo>
                                <a:pt x="0" y="16271"/>
                              </a:moveTo>
                              <a:lnTo>
                                <a:pt x="11339" y="16271"/>
                              </a:lnTo>
                              <a:lnTo>
                                <a:pt x="11339" y="0"/>
                              </a:lnTo>
                              <a:lnTo>
                                <a:pt x="0" y="0"/>
                              </a:lnTo>
                              <a:lnTo>
                                <a:pt x="0" y="16271"/>
                              </a:lnTo>
                              <a:close/>
                            </a:path>
                          </a:pathLst>
                        </a:custGeom>
                        <a:solidFill>
                          <a:srgbClr val="651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6CBE7" id="Group 11" o:spid="_x0000_s1026" style="position:absolute;margin-left:0;margin-top:0;width:566.95pt;height:813.55pt;z-index:-251660288;mso-position-horizontal:center;mso-position-horizontal-relative:page;mso-position-vertical:center;mso-position-vertical-relative:page" coordorigin="283,283" coordsize="11339,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">
              <v:shape id="Freeform 12" o:spid="_x0000_s1027" style="position:absolute;left:283;top:283;width:11339;height:16271;visibility:visible;mso-wrap-style:square;v-text-anchor:top" coordsize="11339,1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vBMQA&#10;AADaAAAADwAAAGRycy9kb3ducmV2LnhtbESPT2vCQBTE7wW/w/IEb3VjpX+IrhKEggc91Eppb4/d&#10;ZxKSfRt2V5N8e7dQ6HGYmd8w6+1gW3EjH2rHChbzDASxdqbmUsH58/3xDUSIyAZbx6RgpADbzeRh&#10;jblxPX/Q7RRLkSAcclRQxdjlUgZdkcUwdx1x8i7OW4xJ+lIaj32C21Y+ZdmLtFhzWqiwo11Fujld&#10;rYL+6/VYnLOi10t9aK7Nz+i+/ajUbDoUKxCRhvgf/mvvjYJn+L2Sb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5bwTEAAAA2gAAAA8AAAAAAAAAAAAAAAAAmAIAAGRycy9k&#10;b3ducmV2LnhtbFBLBQYAAAAABAAEAPUAAACJAwAAAAA=&#10;" path="m,16271r11339,l11339,,,,,16271xe" fillcolor="#651d64" stroked="f">
                <v:path arrowok="t" o:connecttype="custom" o:connectlocs="0,16554;11339,16554;11339,283;0,283;0,16554" o:connectangles="0,0,0,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7F9E2" w14:textId="77777777" w:rsidR="00B41016" w:rsidRPr="00274513" w:rsidRDefault="00B41016" w:rsidP="00274513">
    <w:pPr>
      <w:pStyle w:val="Header"/>
      <w:spacing w:before="0" w:after="0"/>
      <w:jc w:val="center"/>
      <w:rPr>
        <w:color w:val="FF0000"/>
        <w:sz w:val="18"/>
        <w:szCs w:val="18"/>
      </w:rPr>
    </w:pPr>
    <w:r>
      <w:rPr>
        <w:noProof/>
      </w:rPr>
      <w:drawing>
        <wp:anchor distT="0" distB="0" distL="114300" distR="114300" simplePos="0" relativeHeight="251658240" behindDoc="1" locked="0" layoutInCell="1" allowOverlap="1" wp14:anchorId="30B76B8C" wp14:editId="67937EF8">
          <wp:simplePos x="0" y="0"/>
          <wp:positionH relativeFrom="page">
            <wp:align>left</wp:align>
          </wp:positionH>
          <wp:positionV relativeFrom="page">
            <wp:align>top</wp:align>
          </wp:positionV>
          <wp:extent cx="7559675" cy="1411605"/>
          <wp:effectExtent l="0" t="0" r="3175" b="0"/>
          <wp:wrapNone/>
          <wp:docPr id="3" name="Picture 8" title="IP Australi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6-booklet-style-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sz w:val="18"/>
        <w:szCs w:val="18"/>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7F1D" w14:textId="77777777" w:rsidR="00B41016" w:rsidRPr="00C61B2D" w:rsidRDefault="00B41016" w:rsidP="00851D64">
    <w:pPr>
      <w:pStyle w:val="Header"/>
      <w:jc w:val="center"/>
      <w:rPr>
        <w:color w:val="FFFFFF"/>
        <w:sz w:val="18"/>
        <w:szCs w:val="18"/>
      </w:rPr>
    </w:pPr>
    <w:r>
      <w:rPr>
        <w:color w:val="FF0000"/>
        <w:sz w:val="18"/>
        <w:szCs w:val="18"/>
      </w:rPr>
      <w:t>UNCLASSIFIED</w:t>
    </w:r>
  </w:p>
  <w:p w14:paraId="57F34616" w14:textId="77777777" w:rsidR="00B41016" w:rsidRDefault="00B41016" w:rsidP="00851D64">
    <w:pPr>
      <w:pStyle w:val="Header"/>
      <w:tabs>
        <w:tab w:val="clear" w:pos="4513"/>
        <w:tab w:val="clear" w:pos="9026"/>
        <w:tab w:val="center" w:pos="481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02CC" w14:textId="77777777" w:rsidR="00B41016" w:rsidRPr="00851D64" w:rsidRDefault="00B41016" w:rsidP="00C25A3B">
    <w:pPr>
      <w:pStyle w:val="Header"/>
      <w:spacing w:before="0" w:after="0"/>
      <w:jc w:val="center"/>
      <w:rPr>
        <w:color w:val="FF0000"/>
        <w:sz w:val="18"/>
        <w:szCs w:val="18"/>
      </w:rPr>
    </w:pPr>
    <w:r>
      <w:rPr>
        <w:color w:val="FF0000"/>
        <w:sz w:val="18"/>
        <w:szCs w:val="18"/>
      </w:rPr>
      <w:t>UNCLASSIFIED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821B" w14:textId="77777777" w:rsidR="00B41016" w:rsidRDefault="00B410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ADE62" w14:textId="77777777" w:rsidR="00B41016" w:rsidRDefault="00B41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8823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2B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AE66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A600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CC00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2AC9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23D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C85B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0D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E0FA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B05BB"/>
    <w:multiLevelType w:val="hybridMultilevel"/>
    <w:tmpl w:val="00CE5C48"/>
    <w:lvl w:ilvl="0" w:tplc="37D078C6">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3E4795"/>
    <w:multiLevelType w:val="hybridMultilevel"/>
    <w:tmpl w:val="D4AC7914"/>
    <w:lvl w:ilvl="0" w:tplc="898068A8">
      <w:numFmt w:val="bullet"/>
      <w:lvlText w:val="•"/>
      <w:lvlJc w:val="left"/>
      <w:pPr>
        <w:ind w:left="785" w:hanging="360"/>
      </w:pPr>
      <w:rPr>
        <w:rFonts w:ascii="Arial" w:eastAsia="Times New Roman" w:hAnsi="Arial" w:cs="Aria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13490236"/>
    <w:multiLevelType w:val="hybridMultilevel"/>
    <w:tmpl w:val="85C65BE2"/>
    <w:lvl w:ilvl="0" w:tplc="28EC6F86">
      <w:start w:val="1"/>
      <w:numFmt w:val="bullet"/>
      <w:pStyle w:val="Bullet"/>
      <w:lvlText w:val="•"/>
      <w:lvlJc w:val="left"/>
      <w:pPr>
        <w:tabs>
          <w:tab w:val="num" w:pos="360"/>
        </w:tabs>
        <w:ind w:left="360" w:hanging="360"/>
      </w:pPr>
      <w:rPr>
        <w:rFonts w:ascii="Verdana" w:hAnsi="Verdana"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4789C"/>
    <w:multiLevelType w:val="singleLevel"/>
    <w:tmpl w:val="1E32E6CC"/>
    <w:lvl w:ilvl="0">
      <w:start w:val="1"/>
      <w:numFmt w:val="bullet"/>
      <w:pStyle w:val="TableBullet"/>
      <w:lvlText w:val=""/>
      <w:lvlJc w:val="left"/>
      <w:pPr>
        <w:ind w:left="360" w:hanging="360"/>
      </w:pPr>
      <w:rPr>
        <w:rFonts w:ascii="Symbol" w:hAnsi="Symbol" w:hint="default"/>
        <w:sz w:val="16"/>
      </w:rPr>
    </w:lvl>
  </w:abstractNum>
  <w:abstractNum w:abstractNumId="14" w15:restartNumberingAfterBreak="0">
    <w:nsid w:val="41E64A9E"/>
    <w:multiLevelType w:val="hybridMultilevel"/>
    <w:tmpl w:val="B6F8E12C"/>
    <w:lvl w:ilvl="0" w:tplc="858E0150">
      <w:start w:val="201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FA2C92"/>
    <w:multiLevelType w:val="hybridMultilevel"/>
    <w:tmpl w:val="CF8A9058"/>
    <w:lvl w:ilvl="0" w:tplc="86A4E24A">
      <w:start w:val="201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12792E"/>
    <w:multiLevelType w:val="hybridMultilevel"/>
    <w:tmpl w:val="0DB89ED6"/>
    <w:lvl w:ilvl="0" w:tplc="14D48FE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531A41"/>
    <w:multiLevelType w:val="hybridMultilevel"/>
    <w:tmpl w:val="B628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DC7A45"/>
    <w:multiLevelType w:val="hybridMultilevel"/>
    <w:tmpl w:val="1D3E5012"/>
    <w:lvl w:ilvl="0" w:tplc="898068A8">
      <w:numFmt w:val="bullet"/>
      <w:lvlText w:val="•"/>
      <w:lvlJc w:val="left"/>
      <w:pPr>
        <w:ind w:left="785"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3408E2"/>
    <w:multiLevelType w:val="hybridMultilevel"/>
    <w:tmpl w:val="CAEAE9CC"/>
    <w:lvl w:ilvl="0" w:tplc="BC86E57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06674E"/>
    <w:multiLevelType w:val="hybridMultilevel"/>
    <w:tmpl w:val="E2F8FFF0"/>
    <w:lvl w:ilvl="0" w:tplc="341EDA50">
      <w:start w:val="1"/>
      <w:numFmt w:val="bullet"/>
      <w:pStyle w:val="BulletLast"/>
      <w:lvlText w:val="•"/>
      <w:lvlJc w:val="left"/>
      <w:pPr>
        <w:tabs>
          <w:tab w:val="num" w:pos="360"/>
        </w:tabs>
        <w:ind w:left="360" w:hanging="360"/>
      </w:pPr>
      <w:rPr>
        <w:rFonts w:ascii="Verdana" w:hAnsi="Verdana"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607A7A"/>
    <w:multiLevelType w:val="hybridMultilevel"/>
    <w:tmpl w:val="95823076"/>
    <w:lvl w:ilvl="0" w:tplc="4808E3A4">
      <w:start w:val="201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14"/>
  </w:num>
  <w:num w:numId="14">
    <w:abstractNumId w:val="15"/>
  </w:num>
  <w:num w:numId="15">
    <w:abstractNumId w:val="12"/>
  </w:num>
  <w:num w:numId="16">
    <w:abstractNumId w:val="11"/>
  </w:num>
  <w:num w:numId="17">
    <w:abstractNumId w:val="12"/>
  </w:num>
  <w:num w:numId="18">
    <w:abstractNumId w:val="19"/>
  </w:num>
  <w:num w:numId="19">
    <w:abstractNumId w:val="12"/>
  </w:num>
  <w:num w:numId="20">
    <w:abstractNumId w:val="12"/>
  </w:num>
  <w:num w:numId="21">
    <w:abstractNumId w:val="12"/>
  </w:num>
  <w:num w:numId="22">
    <w:abstractNumId w:val="12"/>
  </w:num>
  <w:num w:numId="23">
    <w:abstractNumId w:val="11"/>
  </w:num>
  <w:num w:numId="24">
    <w:abstractNumId w:val="18"/>
  </w:num>
  <w:num w:numId="25">
    <w:abstractNumId w:val="13"/>
  </w:num>
  <w:num w:numId="26">
    <w:abstractNumId w:val="16"/>
  </w:num>
  <w:num w:numId="27">
    <w:abstractNumId w:val="17"/>
  </w:num>
  <w:num w:numId="28">
    <w:abstractNumId w:val="20"/>
  </w:num>
  <w:num w:numId="29">
    <w:abstractNumId w:val="12"/>
  </w:num>
  <w:num w:numId="30">
    <w:abstractNumId w:val="11"/>
  </w:num>
  <w:num w:numId="31">
    <w:abstractNumId w:val="13"/>
  </w:num>
  <w:num w:numId="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27"/>
    <w:rsid w:val="000015AA"/>
    <w:rsid w:val="0001142E"/>
    <w:rsid w:val="00014096"/>
    <w:rsid w:val="000160FD"/>
    <w:rsid w:val="000201D4"/>
    <w:rsid w:val="00020811"/>
    <w:rsid w:val="000237D2"/>
    <w:rsid w:val="00030105"/>
    <w:rsid w:val="000309D3"/>
    <w:rsid w:val="000326BB"/>
    <w:rsid w:val="00033439"/>
    <w:rsid w:val="00035D44"/>
    <w:rsid w:val="0003646A"/>
    <w:rsid w:val="00041015"/>
    <w:rsid w:val="00042A8F"/>
    <w:rsid w:val="00045A07"/>
    <w:rsid w:val="0005164E"/>
    <w:rsid w:val="00063CD6"/>
    <w:rsid w:val="00065075"/>
    <w:rsid w:val="00065CAE"/>
    <w:rsid w:val="00071035"/>
    <w:rsid w:val="0007103C"/>
    <w:rsid w:val="000716A5"/>
    <w:rsid w:val="000744C8"/>
    <w:rsid w:val="000819F6"/>
    <w:rsid w:val="0008325D"/>
    <w:rsid w:val="0009297A"/>
    <w:rsid w:val="000953C7"/>
    <w:rsid w:val="000A373E"/>
    <w:rsid w:val="000A7619"/>
    <w:rsid w:val="000B3A8F"/>
    <w:rsid w:val="000C7888"/>
    <w:rsid w:val="000D051C"/>
    <w:rsid w:val="000D471C"/>
    <w:rsid w:val="000D5D2F"/>
    <w:rsid w:val="000E5B0E"/>
    <w:rsid w:val="000F246C"/>
    <w:rsid w:val="00101981"/>
    <w:rsid w:val="00102058"/>
    <w:rsid w:val="00102526"/>
    <w:rsid w:val="0010312D"/>
    <w:rsid w:val="00105803"/>
    <w:rsid w:val="001202CF"/>
    <w:rsid w:val="0012102E"/>
    <w:rsid w:val="00122BF8"/>
    <w:rsid w:val="0012754D"/>
    <w:rsid w:val="00135456"/>
    <w:rsid w:val="00142BD8"/>
    <w:rsid w:val="00143619"/>
    <w:rsid w:val="00144933"/>
    <w:rsid w:val="001515B6"/>
    <w:rsid w:val="0016032D"/>
    <w:rsid w:val="00160526"/>
    <w:rsid w:val="00165931"/>
    <w:rsid w:val="0016602C"/>
    <w:rsid w:val="001669A9"/>
    <w:rsid w:val="00167673"/>
    <w:rsid w:val="00171EDC"/>
    <w:rsid w:val="0017243B"/>
    <w:rsid w:val="00187AD9"/>
    <w:rsid w:val="00192FF0"/>
    <w:rsid w:val="001955A3"/>
    <w:rsid w:val="001B0D75"/>
    <w:rsid w:val="001B182C"/>
    <w:rsid w:val="001C1D1A"/>
    <w:rsid w:val="001C4799"/>
    <w:rsid w:val="001D3340"/>
    <w:rsid w:val="001D52B6"/>
    <w:rsid w:val="001D7C39"/>
    <w:rsid w:val="001E0A55"/>
    <w:rsid w:val="001E0D36"/>
    <w:rsid w:val="001F20E3"/>
    <w:rsid w:val="001F4BDF"/>
    <w:rsid w:val="00201B75"/>
    <w:rsid w:val="00204D78"/>
    <w:rsid w:val="0021079C"/>
    <w:rsid w:val="002142E1"/>
    <w:rsid w:val="002161B0"/>
    <w:rsid w:val="00226BF3"/>
    <w:rsid w:val="0023298B"/>
    <w:rsid w:val="002337AA"/>
    <w:rsid w:val="002620DF"/>
    <w:rsid w:val="0026238F"/>
    <w:rsid w:val="00264315"/>
    <w:rsid w:val="002662B1"/>
    <w:rsid w:val="002665DE"/>
    <w:rsid w:val="00271962"/>
    <w:rsid w:val="00274513"/>
    <w:rsid w:val="00274953"/>
    <w:rsid w:val="00274F5A"/>
    <w:rsid w:val="00277591"/>
    <w:rsid w:val="002916B4"/>
    <w:rsid w:val="0029300B"/>
    <w:rsid w:val="002B12E8"/>
    <w:rsid w:val="002C3F9D"/>
    <w:rsid w:val="002C4B63"/>
    <w:rsid w:val="002C57B0"/>
    <w:rsid w:val="002C6763"/>
    <w:rsid w:val="002D5A99"/>
    <w:rsid w:val="002D6D74"/>
    <w:rsid w:val="002F0DE6"/>
    <w:rsid w:val="002F3618"/>
    <w:rsid w:val="002F380E"/>
    <w:rsid w:val="002F58D4"/>
    <w:rsid w:val="002F5B99"/>
    <w:rsid w:val="00303578"/>
    <w:rsid w:val="00305010"/>
    <w:rsid w:val="00305CBA"/>
    <w:rsid w:val="00305D24"/>
    <w:rsid w:val="003142F9"/>
    <w:rsid w:val="003230E3"/>
    <w:rsid w:val="0033634C"/>
    <w:rsid w:val="0034416B"/>
    <w:rsid w:val="00354513"/>
    <w:rsid w:val="00360C72"/>
    <w:rsid w:val="00373BFD"/>
    <w:rsid w:val="0038050C"/>
    <w:rsid w:val="00381767"/>
    <w:rsid w:val="003833D2"/>
    <w:rsid w:val="00384596"/>
    <w:rsid w:val="00385819"/>
    <w:rsid w:val="00392BAB"/>
    <w:rsid w:val="003938DD"/>
    <w:rsid w:val="00397F4C"/>
    <w:rsid w:val="003A299F"/>
    <w:rsid w:val="003A5801"/>
    <w:rsid w:val="003A7DF2"/>
    <w:rsid w:val="003B2A6F"/>
    <w:rsid w:val="003B62EE"/>
    <w:rsid w:val="003C41F8"/>
    <w:rsid w:val="003D7DEE"/>
    <w:rsid w:val="003E54CB"/>
    <w:rsid w:val="003F2543"/>
    <w:rsid w:val="003F78BB"/>
    <w:rsid w:val="003F7F2D"/>
    <w:rsid w:val="004006F8"/>
    <w:rsid w:val="004015D3"/>
    <w:rsid w:val="00414EB4"/>
    <w:rsid w:val="00417251"/>
    <w:rsid w:val="0043061C"/>
    <w:rsid w:val="00437BF3"/>
    <w:rsid w:val="00437D6C"/>
    <w:rsid w:val="00440BC3"/>
    <w:rsid w:val="00445EF4"/>
    <w:rsid w:val="0046244B"/>
    <w:rsid w:val="00467CC9"/>
    <w:rsid w:val="00473BDB"/>
    <w:rsid w:val="00486B81"/>
    <w:rsid w:val="00486F33"/>
    <w:rsid w:val="00490936"/>
    <w:rsid w:val="00494017"/>
    <w:rsid w:val="00494B39"/>
    <w:rsid w:val="004956AE"/>
    <w:rsid w:val="0049743C"/>
    <w:rsid w:val="004A4890"/>
    <w:rsid w:val="004B4642"/>
    <w:rsid w:val="004B6818"/>
    <w:rsid w:val="004B7927"/>
    <w:rsid w:val="004C02F3"/>
    <w:rsid w:val="004C1C15"/>
    <w:rsid w:val="004C2B20"/>
    <w:rsid w:val="004F023F"/>
    <w:rsid w:val="004F503C"/>
    <w:rsid w:val="00500885"/>
    <w:rsid w:val="0050204F"/>
    <w:rsid w:val="0051203A"/>
    <w:rsid w:val="00512F23"/>
    <w:rsid w:val="0051450D"/>
    <w:rsid w:val="00524E63"/>
    <w:rsid w:val="00533F03"/>
    <w:rsid w:val="00536ABD"/>
    <w:rsid w:val="00537559"/>
    <w:rsid w:val="00543103"/>
    <w:rsid w:val="005462AA"/>
    <w:rsid w:val="00551FFA"/>
    <w:rsid w:val="00555A3B"/>
    <w:rsid w:val="00556937"/>
    <w:rsid w:val="00562D3F"/>
    <w:rsid w:val="00567B44"/>
    <w:rsid w:val="005757D3"/>
    <w:rsid w:val="005823CA"/>
    <w:rsid w:val="00582F04"/>
    <w:rsid w:val="00586C57"/>
    <w:rsid w:val="005B0ADC"/>
    <w:rsid w:val="005B31F0"/>
    <w:rsid w:val="005B5B03"/>
    <w:rsid w:val="005C2220"/>
    <w:rsid w:val="005C3696"/>
    <w:rsid w:val="005C6BB1"/>
    <w:rsid w:val="005D383A"/>
    <w:rsid w:val="005D4A08"/>
    <w:rsid w:val="005D7DD4"/>
    <w:rsid w:val="005E017F"/>
    <w:rsid w:val="005E3B63"/>
    <w:rsid w:val="005E481F"/>
    <w:rsid w:val="005E7E8B"/>
    <w:rsid w:val="005F040B"/>
    <w:rsid w:val="005F220A"/>
    <w:rsid w:val="00610AED"/>
    <w:rsid w:val="006110C5"/>
    <w:rsid w:val="00611E1E"/>
    <w:rsid w:val="006133BB"/>
    <w:rsid w:val="00614F96"/>
    <w:rsid w:val="00617E09"/>
    <w:rsid w:val="00623FC7"/>
    <w:rsid w:val="0062465F"/>
    <w:rsid w:val="00625B8D"/>
    <w:rsid w:val="006267B5"/>
    <w:rsid w:val="006347AC"/>
    <w:rsid w:val="00636467"/>
    <w:rsid w:val="006375B3"/>
    <w:rsid w:val="00655C91"/>
    <w:rsid w:val="00664285"/>
    <w:rsid w:val="00664D3E"/>
    <w:rsid w:val="00671828"/>
    <w:rsid w:val="006742F5"/>
    <w:rsid w:val="00675D97"/>
    <w:rsid w:val="00676B86"/>
    <w:rsid w:val="00683253"/>
    <w:rsid w:val="006A4E31"/>
    <w:rsid w:val="006A5465"/>
    <w:rsid w:val="006B0541"/>
    <w:rsid w:val="006B324C"/>
    <w:rsid w:val="006C301F"/>
    <w:rsid w:val="006C3E2B"/>
    <w:rsid w:val="006C47B3"/>
    <w:rsid w:val="006C5FB2"/>
    <w:rsid w:val="006E4672"/>
    <w:rsid w:val="006E59BF"/>
    <w:rsid w:val="006E72EC"/>
    <w:rsid w:val="006F657C"/>
    <w:rsid w:val="00701303"/>
    <w:rsid w:val="00703FF1"/>
    <w:rsid w:val="00713429"/>
    <w:rsid w:val="00713681"/>
    <w:rsid w:val="00724F21"/>
    <w:rsid w:val="007342E6"/>
    <w:rsid w:val="00734C8E"/>
    <w:rsid w:val="00743A04"/>
    <w:rsid w:val="007502FC"/>
    <w:rsid w:val="00750BC3"/>
    <w:rsid w:val="007653D5"/>
    <w:rsid w:val="007719DF"/>
    <w:rsid w:val="0077368D"/>
    <w:rsid w:val="007740D7"/>
    <w:rsid w:val="00775B30"/>
    <w:rsid w:val="00775DAE"/>
    <w:rsid w:val="00777A32"/>
    <w:rsid w:val="0078015C"/>
    <w:rsid w:val="0078077E"/>
    <w:rsid w:val="0078303B"/>
    <w:rsid w:val="007911DB"/>
    <w:rsid w:val="00793C34"/>
    <w:rsid w:val="007A7CF0"/>
    <w:rsid w:val="007B0BD7"/>
    <w:rsid w:val="007B5D81"/>
    <w:rsid w:val="007C0460"/>
    <w:rsid w:val="007C3589"/>
    <w:rsid w:val="007C6027"/>
    <w:rsid w:val="007D51C5"/>
    <w:rsid w:val="007D589A"/>
    <w:rsid w:val="007D63A3"/>
    <w:rsid w:val="007E3701"/>
    <w:rsid w:val="007E5F23"/>
    <w:rsid w:val="007E7089"/>
    <w:rsid w:val="007F1A73"/>
    <w:rsid w:val="007F6CC6"/>
    <w:rsid w:val="00800BCD"/>
    <w:rsid w:val="00800EB3"/>
    <w:rsid w:val="00812C6F"/>
    <w:rsid w:val="0081429B"/>
    <w:rsid w:val="008145FE"/>
    <w:rsid w:val="00816564"/>
    <w:rsid w:val="00817EDE"/>
    <w:rsid w:val="008209F1"/>
    <w:rsid w:val="00822AE8"/>
    <w:rsid w:val="00823FF5"/>
    <w:rsid w:val="00834B8B"/>
    <w:rsid w:val="00834D4A"/>
    <w:rsid w:val="00835A82"/>
    <w:rsid w:val="00835B51"/>
    <w:rsid w:val="0084685D"/>
    <w:rsid w:val="00850797"/>
    <w:rsid w:val="00851284"/>
    <w:rsid w:val="00851D64"/>
    <w:rsid w:val="00860C2E"/>
    <w:rsid w:val="008633B1"/>
    <w:rsid w:val="00863ED5"/>
    <w:rsid w:val="008671EA"/>
    <w:rsid w:val="008704A2"/>
    <w:rsid w:val="00874CD5"/>
    <w:rsid w:val="0088096B"/>
    <w:rsid w:val="00882A83"/>
    <w:rsid w:val="0088313C"/>
    <w:rsid w:val="00885731"/>
    <w:rsid w:val="00890641"/>
    <w:rsid w:val="00894008"/>
    <w:rsid w:val="008B2E58"/>
    <w:rsid w:val="008B3D8C"/>
    <w:rsid w:val="008C21BB"/>
    <w:rsid w:val="008D2192"/>
    <w:rsid w:val="008D2FB3"/>
    <w:rsid w:val="008D755B"/>
    <w:rsid w:val="008E1CE0"/>
    <w:rsid w:val="008E3F13"/>
    <w:rsid w:val="008F2339"/>
    <w:rsid w:val="008F7017"/>
    <w:rsid w:val="008F74F9"/>
    <w:rsid w:val="00904F34"/>
    <w:rsid w:val="00920F4D"/>
    <w:rsid w:val="009311CE"/>
    <w:rsid w:val="009329A0"/>
    <w:rsid w:val="00935208"/>
    <w:rsid w:val="00936F70"/>
    <w:rsid w:val="009405DB"/>
    <w:rsid w:val="00947F00"/>
    <w:rsid w:val="009508F7"/>
    <w:rsid w:val="00961737"/>
    <w:rsid w:val="00963161"/>
    <w:rsid w:val="00963504"/>
    <w:rsid w:val="00963CA7"/>
    <w:rsid w:val="0096626E"/>
    <w:rsid w:val="0097472B"/>
    <w:rsid w:val="00983B11"/>
    <w:rsid w:val="009A2BD1"/>
    <w:rsid w:val="009A4C0F"/>
    <w:rsid w:val="009B2572"/>
    <w:rsid w:val="009B3D16"/>
    <w:rsid w:val="009B41E0"/>
    <w:rsid w:val="009B7891"/>
    <w:rsid w:val="009C1A74"/>
    <w:rsid w:val="009C3C5E"/>
    <w:rsid w:val="009C45AC"/>
    <w:rsid w:val="009C7147"/>
    <w:rsid w:val="009D1B91"/>
    <w:rsid w:val="009D2511"/>
    <w:rsid w:val="009D2E1B"/>
    <w:rsid w:val="009D5B93"/>
    <w:rsid w:val="009E4522"/>
    <w:rsid w:val="009E5A66"/>
    <w:rsid w:val="009E6C33"/>
    <w:rsid w:val="009F79E5"/>
    <w:rsid w:val="00A05D86"/>
    <w:rsid w:val="00A14646"/>
    <w:rsid w:val="00A14C03"/>
    <w:rsid w:val="00A17898"/>
    <w:rsid w:val="00A21A00"/>
    <w:rsid w:val="00A251A7"/>
    <w:rsid w:val="00A26CA7"/>
    <w:rsid w:val="00A27FB1"/>
    <w:rsid w:val="00A33E3E"/>
    <w:rsid w:val="00A34832"/>
    <w:rsid w:val="00A360D7"/>
    <w:rsid w:val="00A37A64"/>
    <w:rsid w:val="00A37B36"/>
    <w:rsid w:val="00A50428"/>
    <w:rsid w:val="00A545FD"/>
    <w:rsid w:val="00A55AFB"/>
    <w:rsid w:val="00A6000A"/>
    <w:rsid w:val="00A759B2"/>
    <w:rsid w:val="00A84972"/>
    <w:rsid w:val="00A85F4C"/>
    <w:rsid w:val="00AA16E9"/>
    <w:rsid w:val="00AA1B8E"/>
    <w:rsid w:val="00AA2CA0"/>
    <w:rsid w:val="00AB36FA"/>
    <w:rsid w:val="00AB3E27"/>
    <w:rsid w:val="00AC1598"/>
    <w:rsid w:val="00AC4C3E"/>
    <w:rsid w:val="00AC784D"/>
    <w:rsid w:val="00AC7B83"/>
    <w:rsid w:val="00AD2B00"/>
    <w:rsid w:val="00AD2F9D"/>
    <w:rsid w:val="00AE159B"/>
    <w:rsid w:val="00AE3C2A"/>
    <w:rsid w:val="00AE3EA3"/>
    <w:rsid w:val="00AE764C"/>
    <w:rsid w:val="00AF08F4"/>
    <w:rsid w:val="00AF46F2"/>
    <w:rsid w:val="00AF6BBB"/>
    <w:rsid w:val="00B0032A"/>
    <w:rsid w:val="00B01643"/>
    <w:rsid w:val="00B16B65"/>
    <w:rsid w:val="00B17476"/>
    <w:rsid w:val="00B177D0"/>
    <w:rsid w:val="00B2378E"/>
    <w:rsid w:val="00B35601"/>
    <w:rsid w:val="00B41016"/>
    <w:rsid w:val="00B41938"/>
    <w:rsid w:val="00B43690"/>
    <w:rsid w:val="00B4654F"/>
    <w:rsid w:val="00B55F8E"/>
    <w:rsid w:val="00B76BD1"/>
    <w:rsid w:val="00B8153B"/>
    <w:rsid w:val="00B93238"/>
    <w:rsid w:val="00B94714"/>
    <w:rsid w:val="00B94BFB"/>
    <w:rsid w:val="00B96CCD"/>
    <w:rsid w:val="00BA46E9"/>
    <w:rsid w:val="00BA6192"/>
    <w:rsid w:val="00BB3281"/>
    <w:rsid w:val="00BC2C80"/>
    <w:rsid w:val="00BE7D85"/>
    <w:rsid w:val="00BF1338"/>
    <w:rsid w:val="00BF5237"/>
    <w:rsid w:val="00C0657B"/>
    <w:rsid w:val="00C115F0"/>
    <w:rsid w:val="00C20128"/>
    <w:rsid w:val="00C25A3B"/>
    <w:rsid w:val="00C30704"/>
    <w:rsid w:val="00C30EF2"/>
    <w:rsid w:val="00C338F0"/>
    <w:rsid w:val="00C33BE0"/>
    <w:rsid w:val="00C35A56"/>
    <w:rsid w:val="00C40BE3"/>
    <w:rsid w:val="00C476C1"/>
    <w:rsid w:val="00C55FEA"/>
    <w:rsid w:val="00C571E2"/>
    <w:rsid w:val="00C60476"/>
    <w:rsid w:val="00C61B2D"/>
    <w:rsid w:val="00C64DD1"/>
    <w:rsid w:val="00C65816"/>
    <w:rsid w:val="00C74AC1"/>
    <w:rsid w:val="00C74E95"/>
    <w:rsid w:val="00C75FDB"/>
    <w:rsid w:val="00C81125"/>
    <w:rsid w:val="00C951DB"/>
    <w:rsid w:val="00CA16F1"/>
    <w:rsid w:val="00CB1A9D"/>
    <w:rsid w:val="00CB347C"/>
    <w:rsid w:val="00CB3AD1"/>
    <w:rsid w:val="00CB505A"/>
    <w:rsid w:val="00CB5239"/>
    <w:rsid w:val="00CB6348"/>
    <w:rsid w:val="00CC2D65"/>
    <w:rsid w:val="00CD37F7"/>
    <w:rsid w:val="00CD49D8"/>
    <w:rsid w:val="00CD6317"/>
    <w:rsid w:val="00CD68F7"/>
    <w:rsid w:val="00CE5683"/>
    <w:rsid w:val="00CE6A83"/>
    <w:rsid w:val="00CF6C16"/>
    <w:rsid w:val="00D05372"/>
    <w:rsid w:val="00D11509"/>
    <w:rsid w:val="00D216E5"/>
    <w:rsid w:val="00D31958"/>
    <w:rsid w:val="00D3373E"/>
    <w:rsid w:val="00D36404"/>
    <w:rsid w:val="00D464FA"/>
    <w:rsid w:val="00D46D58"/>
    <w:rsid w:val="00D52341"/>
    <w:rsid w:val="00D53460"/>
    <w:rsid w:val="00D54FE6"/>
    <w:rsid w:val="00D61461"/>
    <w:rsid w:val="00D653C0"/>
    <w:rsid w:val="00D747D8"/>
    <w:rsid w:val="00D843A0"/>
    <w:rsid w:val="00D85D37"/>
    <w:rsid w:val="00D9057D"/>
    <w:rsid w:val="00D90CE3"/>
    <w:rsid w:val="00DA3CD3"/>
    <w:rsid w:val="00DA57E8"/>
    <w:rsid w:val="00DB4D4B"/>
    <w:rsid w:val="00DB79FF"/>
    <w:rsid w:val="00DC011E"/>
    <w:rsid w:val="00DC16FC"/>
    <w:rsid w:val="00DC2FF1"/>
    <w:rsid w:val="00DC3A99"/>
    <w:rsid w:val="00DC7D63"/>
    <w:rsid w:val="00DD1291"/>
    <w:rsid w:val="00DE0CFF"/>
    <w:rsid w:val="00DE7A82"/>
    <w:rsid w:val="00DE7D26"/>
    <w:rsid w:val="00DF387B"/>
    <w:rsid w:val="00DF530B"/>
    <w:rsid w:val="00E012F9"/>
    <w:rsid w:val="00E132D3"/>
    <w:rsid w:val="00E155A8"/>
    <w:rsid w:val="00E209B3"/>
    <w:rsid w:val="00E3135E"/>
    <w:rsid w:val="00E31ADC"/>
    <w:rsid w:val="00E35206"/>
    <w:rsid w:val="00E35FBF"/>
    <w:rsid w:val="00E40448"/>
    <w:rsid w:val="00E43A1D"/>
    <w:rsid w:val="00E512CD"/>
    <w:rsid w:val="00E52B96"/>
    <w:rsid w:val="00E54325"/>
    <w:rsid w:val="00E717F9"/>
    <w:rsid w:val="00E72B7D"/>
    <w:rsid w:val="00E86241"/>
    <w:rsid w:val="00E96081"/>
    <w:rsid w:val="00E96BFC"/>
    <w:rsid w:val="00E97AF9"/>
    <w:rsid w:val="00EA0FB3"/>
    <w:rsid w:val="00EB249E"/>
    <w:rsid w:val="00EB665D"/>
    <w:rsid w:val="00EB7EFB"/>
    <w:rsid w:val="00EC0831"/>
    <w:rsid w:val="00EC162C"/>
    <w:rsid w:val="00EC50EA"/>
    <w:rsid w:val="00EC724E"/>
    <w:rsid w:val="00ED1CFA"/>
    <w:rsid w:val="00ED208E"/>
    <w:rsid w:val="00ED484A"/>
    <w:rsid w:val="00EE049E"/>
    <w:rsid w:val="00EE0986"/>
    <w:rsid w:val="00EE2729"/>
    <w:rsid w:val="00EF0BA8"/>
    <w:rsid w:val="00EF4078"/>
    <w:rsid w:val="00F02EC3"/>
    <w:rsid w:val="00F04074"/>
    <w:rsid w:val="00F07873"/>
    <w:rsid w:val="00F130FA"/>
    <w:rsid w:val="00F1388A"/>
    <w:rsid w:val="00F14436"/>
    <w:rsid w:val="00F150BE"/>
    <w:rsid w:val="00F15169"/>
    <w:rsid w:val="00F17C8B"/>
    <w:rsid w:val="00F23EE5"/>
    <w:rsid w:val="00F24AE8"/>
    <w:rsid w:val="00F272F8"/>
    <w:rsid w:val="00F327F2"/>
    <w:rsid w:val="00F334C4"/>
    <w:rsid w:val="00F445F2"/>
    <w:rsid w:val="00F54FC5"/>
    <w:rsid w:val="00F64152"/>
    <w:rsid w:val="00F64B86"/>
    <w:rsid w:val="00F6588E"/>
    <w:rsid w:val="00F66060"/>
    <w:rsid w:val="00F737CA"/>
    <w:rsid w:val="00F73A69"/>
    <w:rsid w:val="00F742E0"/>
    <w:rsid w:val="00F754F9"/>
    <w:rsid w:val="00F8193A"/>
    <w:rsid w:val="00F900A8"/>
    <w:rsid w:val="00F9649A"/>
    <w:rsid w:val="00FA5567"/>
    <w:rsid w:val="00FA6711"/>
    <w:rsid w:val="00FB4482"/>
    <w:rsid w:val="00FB5D41"/>
    <w:rsid w:val="00FB6985"/>
    <w:rsid w:val="00FC1C99"/>
    <w:rsid w:val="00FD1368"/>
    <w:rsid w:val="00FE1650"/>
    <w:rsid w:val="00FF7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E9FD7AD"/>
  <w15:docId w15:val="{0A96BB19-D66E-4991-856E-34CE3425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63"/>
    <w:pPr>
      <w:spacing w:before="120" w:after="120"/>
    </w:pPr>
    <w:rPr>
      <w:rFonts w:ascii="Calibri" w:hAnsi="Calibri"/>
      <w:sz w:val="22"/>
    </w:rPr>
  </w:style>
  <w:style w:type="paragraph" w:styleId="Heading1">
    <w:name w:val="heading 1"/>
    <w:basedOn w:val="Normal"/>
    <w:next w:val="Normal"/>
    <w:link w:val="Heading1Char"/>
    <w:uiPriority w:val="9"/>
    <w:qFormat/>
    <w:rsid w:val="007C0460"/>
    <w:pPr>
      <w:keepNext/>
      <w:keepLines/>
      <w:pBdr>
        <w:bottom w:val="single" w:sz="4" w:space="1" w:color="auto"/>
      </w:pBdr>
      <w:spacing w:before="480"/>
      <w:outlineLvl w:val="0"/>
    </w:pPr>
    <w:rPr>
      <w:rFonts w:ascii="Tahoma" w:hAnsi="Tahoma"/>
      <w:bCs/>
      <w:color w:val="000000"/>
      <w:sz w:val="48"/>
      <w:szCs w:val="28"/>
    </w:rPr>
  </w:style>
  <w:style w:type="paragraph" w:styleId="Heading2">
    <w:name w:val="heading 2"/>
    <w:basedOn w:val="Normal"/>
    <w:next w:val="Normal"/>
    <w:link w:val="Heading2Char"/>
    <w:uiPriority w:val="9"/>
    <w:qFormat/>
    <w:rsid w:val="007C0460"/>
    <w:pPr>
      <w:keepNext/>
      <w:keepLines/>
      <w:spacing w:before="240"/>
      <w:outlineLvl w:val="1"/>
    </w:pPr>
    <w:rPr>
      <w:rFonts w:ascii="Tahoma" w:hAnsi="Tahoma"/>
      <w:b/>
      <w:bCs/>
      <w:sz w:val="32"/>
      <w:szCs w:val="26"/>
    </w:rPr>
  </w:style>
  <w:style w:type="paragraph" w:styleId="Heading3">
    <w:name w:val="heading 3"/>
    <w:basedOn w:val="Normal"/>
    <w:next w:val="Normal"/>
    <w:link w:val="Heading3Char"/>
    <w:uiPriority w:val="9"/>
    <w:qFormat/>
    <w:rsid w:val="007C0460"/>
    <w:pPr>
      <w:keepNext/>
      <w:keepLines/>
      <w:spacing w:before="200"/>
      <w:outlineLvl w:val="2"/>
    </w:pPr>
    <w:rPr>
      <w:rFonts w:ascii="Tahoma" w:hAnsi="Tahoma"/>
      <w:b/>
      <w:bCs/>
    </w:rPr>
  </w:style>
  <w:style w:type="paragraph" w:styleId="Heading4">
    <w:name w:val="heading 4"/>
    <w:basedOn w:val="Normal"/>
    <w:next w:val="Normal"/>
    <w:link w:val="Heading4Char"/>
    <w:uiPriority w:val="9"/>
    <w:qFormat/>
    <w:rsid w:val="002C6763"/>
    <w:pPr>
      <w:keepNext/>
      <w:keepLines/>
      <w:spacing w:before="200"/>
      <w:outlineLvl w:val="3"/>
    </w:pPr>
    <w:rPr>
      <w:rFonts w:ascii="Tahoma" w:hAnsi="Tahoma"/>
      <w:b/>
      <w:bCs/>
      <w:iCs/>
    </w:rPr>
  </w:style>
  <w:style w:type="paragraph" w:styleId="Heading5">
    <w:name w:val="heading 5"/>
    <w:basedOn w:val="Normal"/>
    <w:next w:val="Normal"/>
    <w:link w:val="Heading5Char"/>
    <w:uiPriority w:val="9"/>
    <w:semiHidden/>
    <w:unhideWhenUsed/>
    <w:qFormat/>
    <w:rsid w:val="00EF4078"/>
    <w:pPr>
      <w:keepNext/>
      <w:keepLines/>
      <w:spacing w:before="200" w:after="0"/>
      <w:outlineLvl w:val="4"/>
    </w:pPr>
    <w:rPr>
      <w:rFonts w:ascii="Tahoma" w:hAnsi="Tahoma"/>
    </w:rPr>
  </w:style>
  <w:style w:type="paragraph" w:styleId="Heading6">
    <w:name w:val="heading 6"/>
    <w:basedOn w:val="Normal"/>
    <w:next w:val="Normal"/>
    <w:link w:val="Heading6Char"/>
    <w:uiPriority w:val="9"/>
    <w:unhideWhenUsed/>
    <w:qFormat/>
    <w:rsid w:val="00EF4078"/>
    <w:pPr>
      <w:keepNext/>
      <w:keepLines/>
      <w:spacing w:before="200" w:after="0"/>
      <w:outlineLvl w:val="5"/>
    </w:pPr>
    <w:rPr>
      <w:rFonts w:ascii="Tahoma" w:hAnsi="Tahoma"/>
      <w:iCs/>
    </w:rPr>
  </w:style>
  <w:style w:type="paragraph" w:styleId="Heading7">
    <w:name w:val="heading 7"/>
    <w:basedOn w:val="Normal"/>
    <w:next w:val="Normal"/>
    <w:link w:val="Heading7Char"/>
    <w:uiPriority w:val="9"/>
    <w:semiHidden/>
    <w:unhideWhenUsed/>
    <w:qFormat/>
    <w:rsid w:val="00EF4078"/>
    <w:pPr>
      <w:keepNext/>
      <w:keepLines/>
      <w:spacing w:before="200" w:after="0"/>
      <w:outlineLvl w:val="6"/>
    </w:pPr>
    <w:rPr>
      <w:rFonts w:ascii="Tahoma" w:hAnsi="Tahoma"/>
      <w:iCs/>
      <w:color w:val="404040"/>
    </w:rPr>
  </w:style>
  <w:style w:type="paragraph" w:styleId="Heading8">
    <w:name w:val="heading 8"/>
    <w:basedOn w:val="Normal"/>
    <w:next w:val="Normal"/>
    <w:link w:val="Heading8Char"/>
    <w:uiPriority w:val="9"/>
    <w:semiHidden/>
    <w:unhideWhenUsed/>
    <w:qFormat/>
    <w:rsid w:val="00EF4078"/>
    <w:pPr>
      <w:keepNext/>
      <w:keepLines/>
      <w:spacing w:before="200" w:after="0"/>
      <w:outlineLvl w:val="7"/>
    </w:pPr>
    <w:rPr>
      <w:rFonts w:ascii="Tahoma" w:hAnsi="Tahoma"/>
      <w:color w:val="404040"/>
      <w:sz w:val="20"/>
    </w:rPr>
  </w:style>
  <w:style w:type="paragraph" w:styleId="Heading9">
    <w:name w:val="heading 9"/>
    <w:basedOn w:val="Normal"/>
    <w:next w:val="Normal"/>
    <w:link w:val="Heading9Char"/>
    <w:uiPriority w:val="9"/>
    <w:semiHidden/>
    <w:unhideWhenUsed/>
    <w:qFormat/>
    <w:rsid w:val="00EF4078"/>
    <w:pPr>
      <w:keepNext/>
      <w:keepLines/>
      <w:spacing w:before="200" w:after="0"/>
      <w:outlineLvl w:val="8"/>
    </w:pPr>
    <w:rPr>
      <w:rFonts w:ascii="Tahoma" w:hAnsi="Tahoma"/>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0460"/>
    <w:rPr>
      <w:rFonts w:ascii="Tahoma" w:hAnsi="Tahoma"/>
      <w:bCs/>
      <w:color w:val="000000"/>
      <w:sz w:val="48"/>
      <w:szCs w:val="28"/>
    </w:rPr>
  </w:style>
  <w:style w:type="character" w:customStyle="1" w:styleId="Heading2Char">
    <w:name w:val="Heading 2 Char"/>
    <w:link w:val="Heading2"/>
    <w:uiPriority w:val="9"/>
    <w:rsid w:val="007C0460"/>
    <w:rPr>
      <w:rFonts w:ascii="Tahoma" w:hAnsi="Tahoma"/>
      <w:b/>
      <w:bCs/>
      <w:sz w:val="32"/>
      <w:szCs w:val="26"/>
    </w:rPr>
  </w:style>
  <w:style w:type="character" w:customStyle="1" w:styleId="Heading3Char">
    <w:name w:val="Heading 3 Char"/>
    <w:link w:val="Heading3"/>
    <w:uiPriority w:val="9"/>
    <w:rsid w:val="007C0460"/>
    <w:rPr>
      <w:rFonts w:ascii="Tahoma" w:hAnsi="Tahoma"/>
      <w:b/>
      <w:bCs/>
      <w:sz w:val="22"/>
    </w:rPr>
  </w:style>
  <w:style w:type="character" w:customStyle="1" w:styleId="Heading4Char">
    <w:name w:val="Heading 4 Char"/>
    <w:link w:val="Heading4"/>
    <w:uiPriority w:val="9"/>
    <w:rsid w:val="002C6763"/>
    <w:rPr>
      <w:rFonts w:ascii="Tahoma" w:hAnsi="Tahoma"/>
      <w:b/>
      <w:bCs/>
      <w:iCs/>
      <w:sz w:val="22"/>
    </w:rPr>
  </w:style>
  <w:style w:type="paragraph" w:styleId="Header">
    <w:name w:val="header"/>
    <w:basedOn w:val="Normal"/>
    <w:link w:val="HeaderChar"/>
    <w:uiPriority w:val="99"/>
    <w:unhideWhenUsed/>
    <w:rsid w:val="00562D3F"/>
    <w:pPr>
      <w:tabs>
        <w:tab w:val="center" w:pos="4513"/>
        <w:tab w:val="right" w:pos="9026"/>
      </w:tabs>
    </w:pPr>
  </w:style>
  <w:style w:type="character" w:customStyle="1" w:styleId="HeaderChar">
    <w:name w:val="Header Char"/>
    <w:basedOn w:val="DefaultParagraphFont"/>
    <w:link w:val="Header"/>
    <w:uiPriority w:val="99"/>
    <w:rsid w:val="00562D3F"/>
  </w:style>
  <w:style w:type="paragraph" w:styleId="Footer">
    <w:name w:val="footer"/>
    <w:basedOn w:val="Normal"/>
    <w:link w:val="FooterChar"/>
    <w:uiPriority w:val="99"/>
    <w:unhideWhenUsed/>
    <w:rsid w:val="007C6027"/>
    <w:pPr>
      <w:tabs>
        <w:tab w:val="center" w:pos="4513"/>
        <w:tab w:val="right" w:pos="9026"/>
      </w:tabs>
    </w:pPr>
    <w:rPr>
      <w:sz w:val="20"/>
    </w:rPr>
  </w:style>
  <w:style w:type="character" w:customStyle="1" w:styleId="FooterChar">
    <w:name w:val="Footer Char"/>
    <w:link w:val="Footer"/>
    <w:uiPriority w:val="99"/>
    <w:rsid w:val="007C6027"/>
    <w:rPr>
      <w:rFonts w:ascii="Arial" w:hAnsi="Arial"/>
    </w:rPr>
  </w:style>
  <w:style w:type="paragraph" w:styleId="BalloonText">
    <w:name w:val="Balloon Text"/>
    <w:basedOn w:val="Normal"/>
    <w:link w:val="BalloonTextChar"/>
    <w:uiPriority w:val="99"/>
    <w:unhideWhenUsed/>
    <w:rsid w:val="00E209B3"/>
    <w:rPr>
      <w:rFonts w:ascii="Tahoma" w:hAnsi="Tahoma" w:cs="Tahoma"/>
      <w:sz w:val="16"/>
      <w:szCs w:val="16"/>
    </w:rPr>
  </w:style>
  <w:style w:type="character" w:customStyle="1" w:styleId="BalloonTextChar">
    <w:name w:val="Balloon Text Char"/>
    <w:link w:val="BalloonText"/>
    <w:uiPriority w:val="99"/>
    <w:rsid w:val="00E209B3"/>
    <w:rPr>
      <w:rFonts w:ascii="Tahoma" w:hAnsi="Tahoma" w:cs="Tahoma"/>
      <w:sz w:val="16"/>
      <w:szCs w:val="16"/>
    </w:rPr>
  </w:style>
  <w:style w:type="paragraph" w:customStyle="1" w:styleId="Contents">
    <w:name w:val="Contents"/>
    <w:basedOn w:val="Normal"/>
    <w:link w:val="ContentsChar"/>
    <w:qFormat/>
    <w:rsid w:val="00EF4078"/>
    <w:pPr>
      <w:suppressAutoHyphens/>
      <w:autoSpaceDE w:val="0"/>
      <w:autoSpaceDN w:val="0"/>
      <w:adjustRightInd w:val="0"/>
      <w:spacing w:before="0" w:after="0" w:line="288" w:lineRule="auto"/>
      <w:textAlignment w:val="center"/>
    </w:pPr>
    <w:rPr>
      <w:rFonts w:ascii="Tahoma" w:hAnsi="Tahoma" w:cs="Arial"/>
      <w:bCs/>
      <w:sz w:val="48"/>
      <w:szCs w:val="40"/>
      <w:lang w:val="en-GB"/>
    </w:rPr>
  </w:style>
  <w:style w:type="character" w:customStyle="1" w:styleId="ContentsChar">
    <w:name w:val="Contents Char"/>
    <w:link w:val="Contents"/>
    <w:rsid w:val="00EF4078"/>
    <w:rPr>
      <w:rFonts w:ascii="Tahoma" w:hAnsi="Tahoma" w:cs="Arial"/>
      <w:bCs/>
      <w:sz w:val="48"/>
      <w:szCs w:val="40"/>
      <w:lang w:val="en-GB"/>
    </w:rPr>
  </w:style>
  <w:style w:type="paragraph" w:customStyle="1" w:styleId="Contentsbodystyle">
    <w:name w:val="Contents body style"/>
    <w:basedOn w:val="Normal"/>
    <w:link w:val="ContentsbodystyleChar"/>
    <w:qFormat/>
    <w:rsid w:val="008D2192"/>
    <w:pPr>
      <w:suppressAutoHyphens/>
      <w:autoSpaceDE w:val="0"/>
      <w:autoSpaceDN w:val="0"/>
      <w:adjustRightInd w:val="0"/>
      <w:spacing w:after="0" w:line="288" w:lineRule="auto"/>
      <w:textAlignment w:val="center"/>
    </w:pPr>
    <w:rPr>
      <w:rFonts w:cs="Arial"/>
      <w:bCs/>
      <w:color w:val="FFFFFF"/>
      <w:szCs w:val="24"/>
      <w:lang w:val="en-GB"/>
    </w:rPr>
  </w:style>
  <w:style w:type="character" w:customStyle="1" w:styleId="ContentsbodystyleChar">
    <w:name w:val="Contents body style Char"/>
    <w:link w:val="Contentsbodystyle"/>
    <w:rsid w:val="008D2192"/>
    <w:rPr>
      <w:rFonts w:ascii="Arial" w:hAnsi="Arial" w:cs="Arial"/>
      <w:b w:val="0"/>
      <w:bCs/>
      <w:color w:val="FFFFFF"/>
      <w:sz w:val="24"/>
      <w:szCs w:val="24"/>
      <w:lang w:val="en-GB"/>
    </w:rPr>
  </w:style>
  <w:style w:type="paragraph" w:customStyle="1" w:styleId="TOCHeading1">
    <w:name w:val="TOC Heading1"/>
    <w:basedOn w:val="Heading1"/>
    <w:next w:val="Normal"/>
    <w:uiPriority w:val="39"/>
    <w:unhideWhenUsed/>
    <w:qFormat/>
    <w:rsid w:val="002C6763"/>
    <w:pPr>
      <w:spacing w:line="276" w:lineRule="auto"/>
      <w:outlineLvl w:val="9"/>
    </w:pPr>
    <w:rPr>
      <w:lang w:val="en-US" w:eastAsia="ja-JP"/>
    </w:rPr>
  </w:style>
  <w:style w:type="paragraph" w:styleId="TOC2">
    <w:name w:val="toc 2"/>
    <w:basedOn w:val="Contentsbodystyle"/>
    <w:next w:val="Normal"/>
    <w:autoRedefine/>
    <w:uiPriority w:val="39"/>
    <w:unhideWhenUsed/>
    <w:qFormat/>
    <w:rsid w:val="00ED208E"/>
    <w:pPr>
      <w:spacing w:after="100" w:line="276" w:lineRule="auto"/>
      <w:ind w:left="220"/>
    </w:pPr>
    <w:rPr>
      <w:rFonts w:cs="Times New Roman"/>
      <w:color w:val="auto"/>
      <w:szCs w:val="22"/>
      <w:lang w:val="en-US" w:eastAsia="ja-JP"/>
    </w:rPr>
  </w:style>
  <w:style w:type="paragraph" w:styleId="TOC1">
    <w:name w:val="toc 1"/>
    <w:basedOn w:val="Contentsbodystyle"/>
    <w:next w:val="Normal"/>
    <w:autoRedefine/>
    <w:uiPriority w:val="39"/>
    <w:unhideWhenUsed/>
    <w:qFormat/>
    <w:rsid w:val="00C65816"/>
    <w:pPr>
      <w:tabs>
        <w:tab w:val="right" w:leader="dot" w:pos="9628"/>
      </w:tabs>
      <w:spacing w:after="100" w:line="276" w:lineRule="auto"/>
    </w:pPr>
    <w:rPr>
      <w:rFonts w:cs="Times New Roman"/>
      <w:noProof/>
      <w:color w:val="auto"/>
      <w:szCs w:val="22"/>
      <w:lang w:val="en-US" w:eastAsia="ja-JP"/>
    </w:rPr>
  </w:style>
  <w:style w:type="paragraph" w:styleId="TOC3">
    <w:name w:val="toc 3"/>
    <w:basedOn w:val="Contentsbodystyle"/>
    <w:next w:val="Normal"/>
    <w:autoRedefine/>
    <w:uiPriority w:val="39"/>
    <w:unhideWhenUsed/>
    <w:qFormat/>
    <w:rsid w:val="00ED208E"/>
    <w:pPr>
      <w:spacing w:after="100" w:line="276" w:lineRule="auto"/>
      <w:ind w:left="440"/>
    </w:pPr>
    <w:rPr>
      <w:rFonts w:cs="Times New Roman"/>
      <w:color w:val="auto"/>
      <w:szCs w:val="22"/>
      <w:lang w:val="en-US" w:eastAsia="ja-JP"/>
    </w:rPr>
  </w:style>
  <w:style w:type="character" w:styleId="Hyperlink">
    <w:name w:val="Hyperlink"/>
    <w:uiPriority w:val="99"/>
    <w:unhideWhenUsed/>
    <w:rsid w:val="001C1D1A"/>
    <w:rPr>
      <w:rFonts w:ascii="Calibri" w:hAnsi="Calibri"/>
      <w:color w:val="4F81BD"/>
      <w:u w:val="single"/>
    </w:rPr>
  </w:style>
  <w:style w:type="paragraph" w:styleId="Title">
    <w:name w:val="Title"/>
    <w:basedOn w:val="Normal"/>
    <w:next w:val="Normal"/>
    <w:link w:val="TitleChar"/>
    <w:uiPriority w:val="10"/>
    <w:qFormat/>
    <w:rsid w:val="00ED208E"/>
    <w:pPr>
      <w:spacing w:after="300"/>
      <w:contextualSpacing/>
    </w:pPr>
    <w:rPr>
      <w:rFonts w:ascii="Tahoma" w:hAnsi="Tahoma"/>
      <w:spacing w:val="5"/>
      <w:kern w:val="28"/>
      <w:sz w:val="52"/>
      <w:szCs w:val="52"/>
    </w:rPr>
  </w:style>
  <w:style w:type="character" w:customStyle="1" w:styleId="TitleChar">
    <w:name w:val="Title Char"/>
    <w:link w:val="Title"/>
    <w:uiPriority w:val="10"/>
    <w:rsid w:val="00ED208E"/>
    <w:rPr>
      <w:rFonts w:ascii="Tahoma" w:hAnsi="Tahoma"/>
      <w:spacing w:val="5"/>
      <w:kern w:val="28"/>
      <w:sz w:val="52"/>
      <w:szCs w:val="52"/>
    </w:rPr>
  </w:style>
  <w:style w:type="paragraph" w:customStyle="1" w:styleId="ColorfulList-Accent11">
    <w:name w:val="Colorful List - Accent 11"/>
    <w:basedOn w:val="Normal"/>
    <w:uiPriority w:val="34"/>
    <w:rsid w:val="008D2192"/>
    <w:pPr>
      <w:ind w:left="720"/>
      <w:contextualSpacing/>
    </w:pPr>
  </w:style>
  <w:style w:type="table" w:styleId="TableGrid">
    <w:name w:val="Table Grid"/>
    <w:basedOn w:val="TableNormal"/>
    <w:uiPriority w:val="59"/>
    <w:rsid w:val="0062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PAustraliatabletemplate">
    <w:name w:val="IP Australia table template"/>
    <w:basedOn w:val="TableNormal"/>
    <w:uiPriority w:val="99"/>
    <w:rsid w:val="00963CA7"/>
    <w:rPr>
      <w:rFonts w:ascii="Calibri" w:hAnsi="Calibri"/>
      <w:sz w:val="18"/>
    </w:rPr>
    <w:tblPr>
      <w:tblStyleRowBandSize w:val="1"/>
      <w:tblStyleColBandSize w:val="1"/>
      <w:tblCellSpacing w:w="8" w:type="dxa"/>
    </w:tblPr>
    <w:trPr>
      <w:tblCellSpacing w:w="8" w:type="dxa"/>
    </w:trPr>
    <w:tcPr>
      <w:shd w:val="clear" w:color="auto" w:fill="auto"/>
    </w:tcPr>
    <w:tblStylePr w:type="firstRow">
      <w:rPr>
        <w:rFonts w:ascii="Calibri" w:hAnsi="Calibri"/>
        <w:b/>
        <w:i w:val="0"/>
        <w:color w:val="auto"/>
        <w:sz w:val="18"/>
      </w:rPr>
      <w:tblPr/>
      <w:tcPr>
        <w:tcBorders>
          <w:top w:val="nil"/>
          <w:left w:val="nil"/>
          <w:bottom w:val="single" w:sz="4" w:space="0" w:color="auto"/>
          <w:right w:val="nil"/>
          <w:insideH w:val="nil"/>
          <w:insideV w:val="nil"/>
          <w:tl2br w:val="nil"/>
          <w:tr2bl w:val="nil"/>
        </w:tcBorders>
        <w:shd w:val="clear" w:color="auto" w:fill="D9D9D9"/>
      </w:tcPr>
    </w:tblStylePr>
    <w:tblStylePr w:type="lastRow">
      <w:rPr>
        <w:rFonts w:ascii="Calibri" w:hAnsi="Calibri"/>
        <w:b/>
        <w:i w:val="0"/>
        <w:sz w:val="18"/>
      </w:rPr>
      <w:tblPr/>
      <w:tcPr>
        <w:tcBorders>
          <w:top w:val="single" w:sz="4" w:space="0" w:color="auto"/>
          <w:left w:val="nil"/>
          <w:bottom w:val="nil"/>
          <w:right w:val="nil"/>
          <w:insideH w:val="nil"/>
          <w:insideV w:val="nil"/>
          <w:tl2br w:val="nil"/>
          <w:tr2bl w:val="nil"/>
        </w:tcBorders>
        <w:shd w:val="clear" w:color="auto" w:fill="F0D6F2"/>
      </w:tcPr>
    </w:tblStylePr>
    <w:tblStylePr w:type="firstCol">
      <w:rPr>
        <w:rFonts w:ascii="Calibri" w:hAnsi="Calibri"/>
        <w:b/>
        <w:i w:val="0"/>
        <w:color w:val="auto"/>
        <w:sz w:val="18"/>
      </w:rPr>
      <w:tblPr/>
      <w:tcPr>
        <w:tcBorders>
          <w:top w:val="nil"/>
          <w:left w:val="nil"/>
          <w:bottom w:val="nil"/>
          <w:right w:val="nil"/>
          <w:insideH w:val="nil"/>
          <w:insideV w:val="nil"/>
          <w:tl2br w:val="nil"/>
          <w:tr2bl w:val="nil"/>
        </w:tcBorders>
        <w:shd w:val="clear" w:color="auto" w:fill="D9D9D9"/>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Pr/>
      <w:tcPr>
        <w:tcBorders>
          <w:top w:val="nil"/>
          <w:left w:val="nil"/>
          <w:bottom w:val="nil"/>
          <w:right w:val="nil"/>
          <w:insideH w:val="nil"/>
          <w:insideV w:val="nil"/>
          <w:tl2br w:val="nil"/>
          <w:tr2bl w:val="nil"/>
        </w:tcBorders>
        <w:shd w:val="clear" w:color="auto" w:fill="FFFFFF"/>
      </w:tcPr>
    </w:tblStylePr>
    <w:tblStylePr w:type="band2Horz">
      <w:rPr>
        <w:rFonts w:ascii="Calibri" w:hAnsi="Calibri"/>
      </w:rPr>
      <w:tblPr/>
      <w:tcPr>
        <w:tcBorders>
          <w:top w:val="nil"/>
          <w:left w:val="nil"/>
          <w:bottom w:val="nil"/>
          <w:right w:val="nil"/>
          <w:insideH w:val="nil"/>
          <w:insideV w:val="nil"/>
          <w:tl2br w:val="nil"/>
          <w:tr2bl w:val="nil"/>
        </w:tcBorders>
        <w:shd w:val="clear" w:color="auto" w:fill="F2F2F2"/>
      </w:tcPr>
    </w:tblStylePr>
    <w:tblStylePr w:type="neCell">
      <w:rPr>
        <w:rFonts w:ascii="Calibri" w:hAnsi="Calibri"/>
      </w:rPr>
    </w:tblStylePr>
    <w:tblStylePr w:type="nwCell">
      <w:rPr>
        <w:rFonts w:ascii="Calibri" w:hAnsi="Calibri"/>
      </w:rPr>
    </w:tblStylePr>
    <w:tblStylePr w:type="seCell">
      <w:rPr>
        <w:rFonts w:ascii="Calibri" w:hAnsi="Calibri"/>
      </w:rPr>
    </w:tblStylePr>
    <w:tblStylePr w:type="swCell">
      <w:rPr>
        <w:rFonts w:ascii="Calibri" w:hAnsi="Calibri"/>
      </w:rPr>
      <w:tblPr/>
      <w:tcPr>
        <w:shd w:val="clear" w:color="auto" w:fill="D9D9D9"/>
      </w:tcPr>
    </w:tblStylePr>
  </w:style>
  <w:style w:type="paragraph" w:customStyle="1" w:styleId="Default">
    <w:name w:val="Default"/>
    <w:rsid w:val="00A05D86"/>
    <w:pPr>
      <w:widowControl w:val="0"/>
      <w:autoSpaceDE w:val="0"/>
      <w:autoSpaceDN w:val="0"/>
      <w:adjustRightInd w:val="0"/>
    </w:pPr>
    <w:rPr>
      <w:rFonts w:ascii="Arial" w:hAnsi="Arial" w:cs="Arial"/>
      <w:color w:val="000000"/>
      <w:sz w:val="24"/>
      <w:szCs w:val="24"/>
      <w:lang w:val="en-US" w:eastAsia="en-US"/>
    </w:rPr>
  </w:style>
  <w:style w:type="paragraph" w:styleId="TOC4">
    <w:name w:val="toc 4"/>
    <w:basedOn w:val="Normal"/>
    <w:next w:val="Normal"/>
    <w:autoRedefine/>
    <w:uiPriority w:val="39"/>
    <w:unhideWhenUsed/>
    <w:rsid w:val="00F8193A"/>
    <w:pPr>
      <w:ind w:left="660"/>
    </w:pPr>
  </w:style>
  <w:style w:type="paragraph" w:styleId="TOC5">
    <w:name w:val="toc 5"/>
    <w:basedOn w:val="Normal"/>
    <w:next w:val="Normal"/>
    <w:autoRedefine/>
    <w:uiPriority w:val="39"/>
    <w:unhideWhenUsed/>
    <w:rsid w:val="00ED208E"/>
    <w:pPr>
      <w:ind w:left="880"/>
    </w:pPr>
  </w:style>
  <w:style w:type="paragraph" w:styleId="TOC6">
    <w:name w:val="toc 6"/>
    <w:basedOn w:val="Normal"/>
    <w:next w:val="Normal"/>
    <w:autoRedefine/>
    <w:uiPriority w:val="39"/>
    <w:unhideWhenUsed/>
    <w:rsid w:val="00F8193A"/>
    <w:pPr>
      <w:ind w:left="1100"/>
    </w:pPr>
  </w:style>
  <w:style w:type="paragraph" w:styleId="TOC7">
    <w:name w:val="toc 7"/>
    <w:basedOn w:val="Normal"/>
    <w:next w:val="Normal"/>
    <w:autoRedefine/>
    <w:uiPriority w:val="39"/>
    <w:unhideWhenUsed/>
    <w:rsid w:val="00F8193A"/>
    <w:pPr>
      <w:ind w:left="1320"/>
    </w:pPr>
  </w:style>
  <w:style w:type="paragraph" w:styleId="TOC8">
    <w:name w:val="toc 8"/>
    <w:basedOn w:val="Normal"/>
    <w:next w:val="Normal"/>
    <w:autoRedefine/>
    <w:uiPriority w:val="39"/>
    <w:unhideWhenUsed/>
    <w:rsid w:val="00F8193A"/>
    <w:pPr>
      <w:ind w:left="1540"/>
    </w:pPr>
  </w:style>
  <w:style w:type="paragraph" w:styleId="TOC9">
    <w:name w:val="toc 9"/>
    <w:basedOn w:val="Normal"/>
    <w:next w:val="Normal"/>
    <w:autoRedefine/>
    <w:uiPriority w:val="39"/>
    <w:unhideWhenUsed/>
    <w:rsid w:val="00F8193A"/>
    <w:pPr>
      <w:ind w:left="1760"/>
    </w:pPr>
  </w:style>
  <w:style w:type="paragraph" w:styleId="ListParagraph">
    <w:name w:val="List Paragraph"/>
    <w:aliases w:val="List Paragraph1,Recommendation,List Paragraph11,L,bullet point list,1 heading,Bullet point,Dot point 1.5 line spacing,List Paragraph - bullets,NFP GP Bulleted List,Bulletr List Paragraph,FooterText,List Paragraph2,List Paragraph21"/>
    <w:basedOn w:val="Normal"/>
    <w:link w:val="ListParagraphChar"/>
    <w:uiPriority w:val="34"/>
    <w:qFormat/>
    <w:rsid w:val="002C6763"/>
    <w:pPr>
      <w:ind w:left="720"/>
    </w:pPr>
  </w:style>
  <w:style w:type="paragraph" w:styleId="NoSpacing">
    <w:name w:val="No Spacing"/>
    <w:uiPriority w:val="1"/>
    <w:qFormat/>
    <w:rsid w:val="002C6763"/>
    <w:rPr>
      <w:rFonts w:ascii="Calibri" w:hAnsi="Calibri"/>
      <w:sz w:val="22"/>
    </w:rPr>
  </w:style>
  <w:style w:type="paragraph" w:styleId="Bibliography">
    <w:name w:val="Bibliography"/>
    <w:basedOn w:val="Normal"/>
    <w:next w:val="Normal"/>
    <w:uiPriority w:val="37"/>
    <w:semiHidden/>
    <w:unhideWhenUsed/>
    <w:rsid w:val="00EF4078"/>
  </w:style>
  <w:style w:type="paragraph" w:styleId="BlockText">
    <w:name w:val="Block Text"/>
    <w:basedOn w:val="Normal"/>
    <w:uiPriority w:val="99"/>
    <w:semiHidden/>
    <w:unhideWhenUsed/>
    <w:rsid w:val="00EF407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rPr>
  </w:style>
  <w:style w:type="paragraph" w:styleId="BodyText">
    <w:name w:val="Body Text"/>
    <w:basedOn w:val="Normal"/>
    <w:link w:val="BodyTextChar"/>
    <w:uiPriority w:val="1"/>
    <w:semiHidden/>
    <w:unhideWhenUsed/>
    <w:qFormat/>
    <w:rsid w:val="00EF4078"/>
  </w:style>
  <w:style w:type="character" w:customStyle="1" w:styleId="BodyTextChar">
    <w:name w:val="Body Text Char"/>
    <w:link w:val="BodyText"/>
    <w:uiPriority w:val="1"/>
    <w:semiHidden/>
    <w:rsid w:val="00EF4078"/>
    <w:rPr>
      <w:rFonts w:ascii="Calibri" w:hAnsi="Calibri"/>
      <w:sz w:val="22"/>
    </w:rPr>
  </w:style>
  <w:style w:type="paragraph" w:styleId="BodyText2">
    <w:name w:val="Body Text 2"/>
    <w:basedOn w:val="Normal"/>
    <w:link w:val="BodyText2Char"/>
    <w:uiPriority w:val="99"/>
    <w:semiHidden/>
    <w:unhideWhenUsed/>
    <w:rsid w:val="00EF4078"/>
    <w:pPr>
      <w:spacing w:line="480" w:lineRule="auto"/>
    </w:pPr>
  </w:style>
  <w:style w:type="character" w:customStyle="1" w:styleId="BodyText2Char">
    <w:name w:val="Body Text 2 Char"/>
    <w:link w:val="BodyText2"/>
    <w:uiPriority w:val="99"/>
    <w:semiHidden/>
    <w:rsid w:val="00EF4078"/>
    <w:rPr>
      <w:rFonts w:ascii="Calibri" w:hAnsi="Calibri"/>
      <w:sz w:val="22"/>
    </w:rPr>
  </w:style>
  <w:style w:type="paragraph" w:styleId="BodyText3">
    <w:name w:val="Body Text 3"/>
    <w:basedOn w:val="Normal"/>
    <w:link w:val="BodyText3Char"/>
    <w:uiPriority w:val="99"/>
    <w:semiHidden/>
    <w:unhideWhenUsed/>
    <w:rsid w:val="00EF4078"/>
    <w:rPr>
      <w:sz w:val="16"/>
      <w:szCs w:val="16"/>
    </w:rPr>
  </w:style>
  <w:style w:type="character" w:customStyle="1" w:styleId="BodyText3Char">
    <w:name w:val="Body Text 3 Char"/>
    <w:link w:val="BodyText3"/>
    <w:uiPriority w:val="99"/>
    <w:semiHidden/>
    <w:rsid w:val="00EF4078"/>
    <w:rPr>
      <w:rFonts w:ascii="Calibri" w:hAnsi="Calibri"/>
      <w:sz w:val="16"/>
      <w:szCs w:val="16"/>
    </w:rPr>
  </w:style>
  <w:style w:type="paragraph" w:styleId="BodyTextFirstIndent">
    <w:name w:val="Body Text First Indent"/>
    <w:basedOn w:val="BodyText"/>
    <w:link w:val="BodyTextFirstIndentChar"/>
    <w:uiPriority w:val="99"/>
    <w:semiHidden/>
    <w:unhideWhenUsed/>
    <w:rsid w:val="00EF4078"/>
    <w:pPr>
      <w:ind w:firstLine="360"/>
    </w:pPr>
  </w:style>
  <w:style w:type="character" w:customStyle="1" w:styleId="BodyTextFirstIndentChar">
    <w:name w:val="Body Text First Indent Char"/>
    <w:link w:val="BodyTextFirstIndent"/>
    <w:uiPriority w:val="99"/>
    <w:semiHidden/>
    <w:rsid w:val="00EF4078"/>
    <w:rPr>
      <w:rFonts w:ascii="Calibri" w:hAnsi="Calibri"/>
      <w:sz w:val="22"/>
    </w:rPr>
  </w:style>
  <w:style w:type="paragraph" w:styleId="BodyTextIndent">
    <w:name w:val="Body Text Indent"/>
    <w:basedOn w:val="Normal"/>
    <w:link w:val="BodyTextIndentChar"/>
    <w:uiPriority w:val="99"/>
    <w:semiHidden/>
    <w:unhideWhenUsed/>
    <w:rsid w:val="00EF4078"/>
    <w:pPr>
      <w:ind w:left="283"/>
    </w:pPr>
  </w:style>
  <w:style w:type="character" w:customStyle="1" w:styleId="BodyTextIndentChar">
    <w:name w:val="Body Text Indent Char"/>
    <w:link w:val="BodyTextIndent"/>
    <w:uiPriority w:val="99"/>
    <w:semiHidden/>
    <w:rsid w:val="00EF4078"/>
    <w:rPr>
      <w:rFonts w:ascii="Calibri" w:hAnsi="Calibri"/>
      <w:sz w:val="22"/>
    </w:rPr>
  </w:style>
  <w:style w:type="paragraph" w:styleId="BodyTextFirstIndent2">
    <w:name w:val="Body Text First Indent 2"/>
    <w:basedOn w:val="BodyTextIndent"/>
    <w:link w:val="BodyTextFirstIndent2Char"/>
    <w:uiPriority w:val="99"/>
    <w:semiHidden/>
    <w:unhideWhenUsed/>
    <w:rsid w:val="00EF4078"/>
    <w:pPr>
      <w:ind w:left="360" w:firstLine="360"/>
    </w:pPr>
  </w:style>
  <w:style w:type="character" w:customStyle="1" w:styleId="BodyTextFirstIndent2Char">
    <w:name w:val="Body Text First Indent 2 Char"/>
    <w:link w:val="BodyTextFirstIndent2"/>
    <w:uiPriority w:val="99"/>
    <w:semiHidden/>
    <w:rsid w:val="00EF4078"/>
    <w:rPr>
      <w:rFonts w:ascii="Calibri" w:hAnsi="Calibri"/>
      <w:sz w:val="22"/>
    </w:rPr>
  </w:style>
  <w:style w:type="character" w:styleId="BookTitle">
    <w:name w:val="Book Title"/>
    <w:uiPriority w:val="33"/>
    <w:rsid w:val="00EF4078"/>
    <w:rPr>
      <w:rFonts w:ascii="Tahoma" w:hAnsi="Tahoma"/>
      <w:b/>
      <w:bCs/>
      <w:smallCaps/>
      <w:spacing w:val="5"/>
    </w:rPr>
  </w:style>
  <w:style w:type="paragraph" w:styleId="Caption">
    <w:name w:val="caption"/>
    <w:basedOn w:val="Normal"/>
    <w:next w:val="Normal"/>
    <w:uiPriority w:val="35"/>
    <w:semiHidden/>
    <w:unhideWhenUsed/>
    <w:qFormat/>
    <w:rsid w:val="00EF4078"/>
    <w:pPr>
      <w:spacing w:before="0" w:after="200"/>
    </w:pPr>
    <w:rPr>
      <w:b/>
      <w:bCs/>
      <w:sz w:val="18"/>
      <w:szCs w:val="18"/>
    </w:rPr>
  </w:style>
  <w:style w:type="paragraph" w:styleId="Closing">
    <w:name w:val="Closing"/>
    <w:basedOn w:val="Normal"/>
    <w:link w:val="ClosingChar"/>
    <w:uiPriority w:val="99"/>
    <w:semiHidden/>
    <w:unhideWhenUsed/>
    <w:rsid w:val="00EF4078"/>
    <w:pPr>
      <w:spacing w:before="0" w:after="0"/>
      <w:ind w:left="4252"/>
    </w:pPr>
  </w:style>
  <w:style w:type="character" w:customStyle="1" w:styleId="ClosingChar">
    <w:name w:val="Closing Char"/>
    <w:link w:val="Closing"/>
    <w:uiPriority w:val="99"/>
    <w:semiHidden/>
    <w:rsid w:val="00EF4078"/>
    <w:rPr>
      <w:rFonts w:ascii="Calibri" w:hAnsi="Calibri"/>
      <w:sz w:val="22"/>
    </w:rPr>
  </w:style>
  <w:style w:type="character" w:styleId="CommentReference">
    <w:name w:val="annotation reference"/>
    <w:uiPriority w:val="99"/>
    <w:unhideWhenUsed/>
    <w:rsid w:val="00EF4078"/>
    <w:rPr>
      <w:rFonts w:ascii="Calibri" w:hAnsi="Calibri"/>
      <w:sz w:val="16"/>
      <w:szCs w:val="16"/>
    </w:rPr>
  </w:style>
  <w:style w:type="paragraph" w:styleId="CommentText">
    <w:name w:val="annotation text"/>
    <w:basedOn w:val="Normal"/>
    <w:link w:val="CommentTextChar"/>
    <w:uiPriority w:val="99"/>
    <w:unhideWhenUsed/>
    <w:rsid w:val="00EF4078"/>
    <w:rPr>
      <w:sz w:val="20"/>
    </w:rPr>
  </w:style>
  <w:style w:type="character" w:customStyle="1" w:styleId="CommentTextChar">
    <w:name w:val="Comment Text Char"/>
    <w:link w:val="CommentText"/>
    <w:uiPriority w:val="99"/>
    <w:rsid w:val="00EF4078"/>
    <w:rPr>
      <w:rFonts w:ascii="Calibri" w:hAnsi="Calibri"/>
    </w:rPr>
  </w:style>
  <w:style w:type="paragraph" w:styleId="CommentSubject">
    <w:name w:val="annotation subject"/>
    <w:basedOn w:val="CommentText"/>
    <w:next w:val="CommentText"/>
    <w:link w:val="CommentSubjectChar"/>
    <w:uiPriority w:val="99"/>
    <w:semiHidden/>
    <w:unhideWhenUsed/>
    <w:rsid w:val="00EF4078"/>
    <w:rPr>
      <w:b/>
      <w:bCs/>
    </w:rPr>
  </w:style>
  <w:style w:type="character" w:customStyle="1" w:styleId="CommentSubjectChar">
    <w:name w:val="Comment Subject Char"/>
    <w:link w:val="CommentSubject"/>
    <w:uiPriority w:val="99"/>
    <w:semiHidden/>
    <w:rsid w:val="00EF4078"/>
    <w:rPr>
      <w:rFonts w:ascii="Calibri" w:hAnsi="Calibri"/>
      <w:b/>
      <w:bCs/>
    </w:rPr>
  </w:style>
  <w:style w:type="paragraph" w:styleId="DocumentMap">
    <w:name w:val="Document Map"/>
    <w:basedOn w:val="Normal"/>
    <w:link w:val="DocumentMapChar"/>
    <w:uiPriority w:val="99"/>
    <w:semiHidden/>
    <w:unhideWhenUsed/>
    <w:rsid w:val="00EF4078"/>
    <w:pPr>
      <w:spacing w:before="0" w:after="0"/>
    </w:pPr>
    <w:rPr>
      <w:rFonts w:ascii="Tahoma" w:hAnsi="Tahoma" w:cs="Tahoma"/>
      <w:sz w:val="16"/>
      <w:szCs w:val="16"/>
    </w:rPr>
  </w:style>
  <w:style w:type="character" w:customStyle="1" w:styleId="DocumentMapChar">
    <w:name w:val="Document Map Char"/>
    <w:link w:val="DocumentMap"/>
    <w:uiPriority w:val="99"/>
    <w:semiHidden/>
    <w:rsid w:val="00EF4078"/>
    <w:rPr>
      <w:rFonts w:ascii="Tahoma" w:hAnsi="Tahoma" w:cs="Tahoma"/>
      <w:sz w:val="16"/>
      <w:szCs w:val="16"/>
    </w:rPr>
  </w:style>
  <w:style w:type="paragraph" w:styleId="E-mailSignature">
    <w:name w:val="E-mail Signature"/>
    <w:basedOn w:val="Normal"/>
    <w:link w:val="E-mailSignatureChar"/>
    <w:uiPriority w:val="99"/>
    <w:semiHidden/>
    <w:unhideWhenUsed/>
    <w:rsid w:val="00EF4078"/>
    <w:pPr>
      <w:spacing w:before="0" w:after="0"/>
    </w:pPr>
  </w:style>
  <w:style w:type="character" w:customStyle="1" w:styleId="E-mailSignatureChar">
    <w:name w:val="E-mail Signature Char"/>
    <w:link w:val="E-mailSignature"/>
    <w:uiPriority w:val="99"/>
    <w:semiHidden/>
    <w:rsid w:val="00EF4078"/>
    <w:rPr>
      <w:rFonts w:ascii="Calibri" w:hAnsi="Calibri"/>
      <w:sz w:val="22"/>
    </w:rPr>
  </w:style>
  <w:style w:type="character" w:styleId="Emphasis">
    <w:name w:val="Emphasis"/>
    <w:uiPriority w:val="20"/>
    <w:rsid w:val="00EF4078"/>
    <w:rPr>
      <w:rFonts w:ascii="Calibri" w:hAnsi="Calibri"/>
      <w:i/>
      <w:iCs/>
    </w:rPr>
  </w:style>
  <w:style w:type="character" w:styleId="EndnoteReference">
    <w:name w:val="endnote reference"/>
    <w:uiPriority w:val="99"/>
    <w:semiHidden/>
    <w:unhideWhenUsed/>
    <w:rsid w:val="00EF4078"/>
    <w:rPr>
      <w:rFonts w:ascii="Calibri" w:hAnsi="Calibri"/>
      <w:vertAlign w:val="superscript"/>
    </w:rPr>
  </w:style>
  <w:style w:type="paragraph" w:styleId="EndnoteText">
    <w:name w:val="endnote text"/>
    <w:basedOn w:val="Normal"/>
    <w:link w:val="EndnoteTextChar"/>
    <w:uiPriority w:val="99"/>
    <w:semiHidden/>
    <w:unhideWhenUsed/>
    <w:rsid w:val="00EF4078"/>
    <w:pPr>
      <w:spacing w:before="0" w:after="0"/>
    </w:pPr>
    <w:rPr>
      <w:sz w:val="20"/>
    </w:rPr>
  </w:style>
  <w:style w:type="character" w:customStyle="1" w:styleId="EndnoteTextChar">
    <w:name w:val="Endnote Text Char"/>
    <w:link w:val="EndnoteText"/>
    <w:uiPriority w:val="99"/>
    <w:semiHidden/>
    <w:rsid w:val="00EF4078"/>
    <w:rPr>
      <w:rFonts w:ascii="Calibri" w:hAnsi="Calibri"/>
    </w:rPr>
  </w:style>
  <w:style w:type="paragraph" w:styleId="EnvelopeAddress">
    <w:name w:val="envelope address"/>
    <w:basedOn w:val="Normal"/>
    <w:uiPriority w:val="99"/>
    <w:semiHidden/>
    <w:unhideWhenUsed/>
    <w:rsid w:val="00EF4078"/>
    <w:pPr>
      <w:framePr w:w="7920" w:h="1980" w:hRule="exact" w:hSpace="180" w:wrap="auto" w:hAnchor="page" w:xAlign="center" w:yAlign="bottom"/>
      <w:spacing w:before="0" w:after="0"/>
      <w:ind w:left="2880"/>
    </w:pPr>
    <w:rPr>
      <w:sz w:val="24"/>
      <w:szCs w:val="24"/>
    </w:rPr>
  </w:style>
  <w:style w:type="paragraph" w:styleId="EnvelopeReturn">
    <w:name w:val="envelope return"/>
    <w:basedOn w:val="Normal"/>
    <w:uiPriority w:val="99"/>
    <w:semiHidden/>
    <w:unhideWhenUsed/>
    <w:rsid w:val="00EF4078"/>
    <w:pPr>
      <w:spacing w:before="0" w:after="0"/>
    </w:pPr>
    <w:rPr>
      <w:sz w:val="20"/>
    </w:rPr>
  </w:style>
  <w:style w:type="character" w:styleId="FollowedHyperlink">
    <w:name w:val="FollowedHyperlink"/>
    <w:uiPriority w:val="99"/>
    <w:semiHidden/>
    <w:unhideWhenUsed/>
    <w:rsid w:val="00EF4078"/>
    <w:rPr>
      <w:rFonts w:ascii="Calibri" w:hAnsi="Calibri"/>
      <w:color w:val="4F81BD"/>
      <w:u w:val="single"/>
    </w:rPr>
  </w:style>
  <w:style w:type="character" w:styleId="FootnoteReference">
    <w:name w:val="footnote reference"/>
    <w:uiPriority w:val="99"/>
    <w:semiHidden/>
    <w:unhideWhenUsed/>
    <w:rsid w:val="00EF4078"/>
    <w:rPr>
      <w:rFonts w:ascii="Calibri" w:hAnsi="Calibri"/>
      <w:vertAlign w:val="superscript"/>
    </w:rPr>
  </w:style>
  <w:style w:type="paragraph" w:styleId="FootnoteText">
    <w:name w:val="footnote text"/>
    <w:basedOn w:val="Normal"/>
    <w:link w:val="FootnoteTextChar"/>
    <w:uiPriority w:val="99"/>
    <w:semiHidden/>
    <w:unhideWhenUsed/>
    <w:rsid w:val="00EF4078"/>
    <w:pPr>
      <w:spacing w:before="0" w:after="0"/>
    </w:pPr>
    <w:rPr>
      <w:sz w:val="20"/>
    </w:rPr>
  </w:style>
  <w:style w:type="character" w:customStyle="1" w:styleId="FootnoteTextChar">
    <w:name w:val="Footnote Text Char"/>
    <w:link w:val="FootnoteText"/>
    <w:uiPriority w:val="99"/>
    <w:semiHidden/>
    <w:rsid w:val="00EF4078"/>
    <w:rPr>
      <w:rFonts w:ascii="Calibri" w:hAnsi="Calibri"/>
    </w:rPr>
  </w:style>
  <w:style w:type="character" w:customStyle="1" w:styleId="Heading5Char">
    <w:name w:val="Heading 5 Char"/>
    <w:link w:val="Heading5"/>
    <w:uiPriority w:val="9"/>
    <w:semiHidden/>
    <w:rsid w:val="00EF4078"/>
    <w:rPr>
      <w:rFonts w:ascii="Tahoma" w:eastAsia="Times New Roman" w:hAnsi="Tahoma" w:cs="Times New Roman"/>
      <w:sz w:val="22"/>
    </w:rPr>
  </w:style>
  <w:style w:type="character" w:customStyle="1" w:styleId="Heading6Char">
    <w:name w:val="Heading 6 Char"/>
    <w:link w:val="Heading6"/>
    <w:uiPriority w:val="9"/>
    <w:rsid w:val="00EF4078"/>
    <w:rPr>
      <w:rFonts w:ascii="Tahoma" w:eastAsia="Times New Roman" w:hAnsi="Tahoma" w:cs="Times New Roman"/>
      <w:iCs/>
      <w:sz w:val="22"/>
    </w:rPr>
  </w:style>
  <w:style w:type="character" w:customStyle="1" w:styleId="Heading7Char">
    <w:name w:val="Heading 7 Char"/>
    <w:link w:val="Heading7"/>
    <w:uiPriority w:val="9"/>
    <w:semiHidden/>
    <w:rsid w:val="00EF4078"/>
    <w:rPr>
      <w:rFonts w:ascii="Tahoma" w:eastAsia="Times New Roman" w:hAnsi="Tahoma" w:cs="Times New Roman"/>
      <w:iCs/>
      <w:color w:val="404040"/>
      <w:sz w:val="22"/>
    </w:rPr>
  </w:style>
  <w:style w:type="character" w:customStyle="1" w:styleId="Heading8Char">
    <w:name w:val="Heading 8 Char"/>
    <w:link w:val="Heading8"/>
    <w:uiPriority w:val="9"/>
    <w:semiHidden/>
    <w:rsid w:val="00EF4078"/>
    <w:rPr>
      <w:rFonts w:ascii="Tahoma" w:eastAsia="Times New Roman" w:hAnsi="Tahoma" w:cs="Times New Roman"/>
      <w:color w:val="404040"/>
    </w:rPr>
  </w:style>
  <w:style w:type="character" w:customStyle="1" w:styleId="Heading9Char">
    <w:name w:val="Heading 9 Char"/>
    <w:link w:val="Heading9"/>
    <w:uiPriority w:val="9"/>
    <w:semiHidden/>
    <w:rsid w:val="00EF4078"/>
    <w:rPr>
      <w:rFonts w:ascii="Tahoma" w:eastAsia="Times New Roman" w:hAnsi="Tahoma" w:cs="Times New Roman"/>
      <w:iCs/>
      <w:color w:val="404040"/>
    </w:rPr>
  </w:style>
  <w:style w:type="character" w:styleId="HTMLAcronym">
    <w:name w:val="HTML Acronym"/>
    <w:uiPriority w:val="99"/>
    <w:semiHidden/>
    <w:unhideWhenUsed/>
    <w:rsid w:val="00EF4078"/>
    <w:rPr>
      <w:rFonts w:ascii="Calibri" w:hAnsi="Calibri"/>
    </w:rPr>
  </w:style>
  <w:style w:type="paragraph" w:styleId="HTMLAddress">
    <w:name w:val="HTML Address"/>
    <w:basedOn w:val="Normal"/>
    <w:link w:val="HTMLAddressChar"/>
    <w:uiPriority w:val="99"/>
    <w:semiHidden/>
    <w:unhideWhenUsed/>
    <w:rsid w:val="00EF4078"/>
    <w:pPr>
      <w:spacing w:before="0" w:after="0"/>
    </w:pPr>
    <w:rPr>
      <w:iCs/>
    </w:rPr>
  </w:style>
  <w:style w:type="character" w:customStyle="1" w:styleId="HTMLAddressChar">
    <w:name w:val="HTML Address Char"/>
    <w:link w:val="HTMLAddress"/>
    <w:uiPriority w:val="99"/>
    <w:semiHidden/>
    <w:rsid w:val="00EF4078"/>
    <w:rPr>
      <w:rFonts w:ascii="Calibri" w:hAnsi="Calibri"/>
      <w:iCs/>
      <w:sz w:val="22"/>
    </w:rPr>
  </w:style>
  <w:style w:type="character" w:styleId="HTMLCite">
    <w:name w:val="HTML Cite"/>
    <w:uiPriority w:val="99"/>
    <w:semiHidden/>
    <w:unhideWhenUsed/>
    <w:rsid w:val="00EF4078"/>
    <w:rPr>
      <w:rFonts w:ascii="Calibri" w:hAnsi="Calibri"/>
      <w:i w:val="0"/>
      <w:iCs/>
    </w:rPr>
  </w:style>
  <w:style w:type="character" w:styleId="HTMLCode">
    <w:name w:val="HTML Code"/>
    <w:uiPriority w:val="99"/>
    <w:unhideWhenUsed/>
    <w:rsid w:val="00EF4078"/>
    <w:rPr>
      <w:rFonts w:ascii="Consolas" w:hAnsi="Consolas" w:cs="Consolas"/>
      <w:sz w:val="20"/>
      <w:szCs w:val="20"/>
    </w:rPr>
  </w:style>
  <w:style w:type="character" w:styleId="HTMLDefinition">
    <w:name w:val="HTML Definition"/>
    <w:uiPriority w:val="99"/>
    <w:semiHidden/>
    <w:unhideWhenUsed/>
    <w:rsid w:val="001C1D1A"/>
    <w:rPr>
      <w:rFonts w:ascii="Calibri" w:hAnsi="Calibri"/>
      <w:i w:val="0"/>
      <w:iCs/>
    </w:rPr>
  </w:style>
  <w:style w:type="character" w:styleId="HTMLKeyboard">
    <w:name w:val="HTML Keyboard"/>
    <w:uiPriority w:val="99"/>
    <w:semiHidden/>
    <w:unhideWhenUsed/>
    <w:rsid w:val="001C1D1A"/>
    <w:rPr>
      <w:rFonts w:ascii="Consolas" w:hAnsi="Consolas" w:cs="Consolas"/>
      <w:sz w:val="20"/>
      <w:szCs w:val="20"/>
    </w:rPr>
  </w:style>
  <w:style w:type="paragraph" w:styleId="HTMLPreformatted">
    <w:name w:val="HTML Preformatted"/>
    <w:basedOn w:val="Normal"/>
    <w:link w:val="HTMLPreformattedChar"/>
    <w:uiPriority w:val="99"/>
    <w:semiHidden/>
    <w:unhideWhenUsed/>
    <w:rsid w:val="001C1D1A"/>
    <w:pPr>
      <w:spacing w:before="0" w:after="0"/>
    </w:pPr>
    <w:rPr>
      <w:rFonts w:ascii="Consolas" w:hAnsi="Consolas" w:cs="Consolas"/>
      <w:sz w:val="20"/>
    </w:rPr>
  </w:style>
  <w:style w:type="character" w:customStyle="1" w:styleId="HTMLPreformattedChar">
    <w:name w:val="HTML Preformatted Char"/>
    <w:link w:val="HTMLPreformatted"/>
    <w:uiPriority w:val="99"/>
    <w:semiHidden/>
    <w:rsid w:val="001C1D1A"/>
    <w:rPr>
      <w:rFonts w:ascii="Consolas" w:hAnsi="Consolas" w:cs="Consolas"/>
    </w:rPr>
  </w:style>
  <w:style w:type="character" w:styleId="HTMLSample">
    <w:name w:val="HTML Sample"/>
    <w:uiPriority w:val="99"/>
    <w:semiHidden/>
    <w:unhideWhenUsed/>
    <w:rsid w:val="001C1D1A"/>
    <w:rPr>
      <w:rFonts w:ascii="Consolas" w:hAnsi="Consolas" w:cs="Consolas"/>
      <w:sz w:val="24"/>
      <w:szCs w:val="24"/>
    </w:rPr>
  </w:style>
  <w:style w:type="character" w:styleId="HTMLVariable">
    <w:name w:val="HTML Variable"/>
    <w:uiPriority w:val="99"/>
    <w:unhideWhenUsed/>
    <w:rsid w:val="001C1D1A"/>
    <w:rPr>
      <w:rFonts w:ascii="Consolas" w:hAnsi="Consolas"/>
      <w:i w:val="0"/>
      <w:iCs/>
    </w:rPr>
  </w:style>
  <w:style w:type="paragraph" w:styleId="Index1">
    <w:name w:val="index 1"/>
    <w:basedOn w:val="Normal"/>
    <w:next w:val="Normal"/>
    <w:autoRedefine/>
    <w:uiPriority w:val="99"/>
    <w:unhideWhenUsed/>
    <w:rsid w:val="001C1D1A"/>
    <w:pPr>
      <w:spacing w:before="0" w:after="0"/>
      <w:ind w:left="220" w:hanging="220"/>
    </w:pPr>
  </w:style>
  <w:style w:type="paragraph" w:styleId="Index2">
    <w:name w:val="index 2"/>
    <w:basedOn w:val="Normal"/>
    <w:next w:val="Normal"/>
    <w:autoRedefine/>
    <w:uiPriority w:val="99"/>
    <w:semiHidden/>
    <w:unhideWhenUsed/>
    <w:rsid w:val="001C1D1A"/>
    <w:pPr>
      <w:spacing w:before="0" w:after="0"/>
      <w:ind w:left="440" w:hanging="220"/>
    </w:pPr>
  </w:style>
  <w:style w:type="paragraph" w:styleId="Index3">
    <w:name w:val="index 3"/>
    <w:basedOn w:val="Normal"/>
    <w:next w:val="Normal"/>
    <w:autoRedefine/>
    <w:uiPriority w:val="99"/>
    <w:semiHidden/>
    <w:unhideWhenUsed/>
    <w:rsid w:val="001C1D1A"/>
    <w:pPr>
      <w:spacing w:before="0" w:after="0"/>
      <w:ind w:left="660" w:hanging="220"/>
    </w:pPr>
  </w:style>
  <w:style w:type="paragraph" w:styleId="Index4">
    <w:name w:val="index 4"/>
    <w:basedOn w:val="Normal"/>
    <w:next w:val="Normal"/>
    <w:autoRedefine/>
    <w:uiPriority w:val="99"/>
    <w:semiHidden/>
    <w:unhideWhenUsed/>
    <w:rsid w:val="001C1D1A"/>
    <w:pPr>
      <w:spacing w:before="0" w:after="0"/>
      <w:ind w:left="880" w:hanging="220"/>
    </w:pPr>
  </w:style>
  <w:style w:type="paragraph" w:styleId="Index5">
    <w:name w:val="index 5"/>
    <w:basedOn w:val="Normal"/>
    <w:next w:val="Normal"/>
    <w:autoRedefine/>
    <w:uiPriority w:val="99"/>
    <w:semiHidden/>
    <w:unhideWhenUsed/>
    <w:rsid w:val="001C1D1A"/>
    <w:pPr>
      <w:spacing w:before="0" w:after="0"/>
      <w:ind w:left="1100" w:hanging="220"/>
    </w:pPr>
  </w:style>
  <w:style w:type="paragraph" w:styleId="Index6">
    <w:name w:val="index 6"/>
    <w:basedOn w:val="Normal"/>
    <w:next w:val="Normal"/>
    <w:autoRedefine/>
    <w:uiPriority w:val="99"/>
    <w:semiHidden/>
    <w:unhideWhenUsed/>
    <w:rsid w:val="001C1D1A"/>
    <w:pPr>
      <w:spacing w:before="0" w:after="0"/>
      <w:ind w:left="1320" w:hanging="220"/>
    </w:pPr>
  </w:style>
  <w:style w:type="paragraph" w:styleId="Index7">
    <w:name w:val="index 7"/>
    <w:basedOn w:val="Normal"/>
    <w:next w:val="Normal"/>
    <w:autoRedefine/>
    <w:uiPriority w:val="99"/>
    <w:semiHidden/>
    <w:unhideWhenUsed/>
    <w:rsid w:val="001C1D1A"/>
    <w:pPr>
      <w:spacing w:before="0" w:after="0"/>
      <w:ind w:left="1540" w:hanging="220"/>
    </w:pPr>
  </w:style>
  <w:style w:type="paragraph" w:styleId="Index8">
    <w:name w:val="index 8"/>
    <w:basedOn w:val="Normal"/>
    <w:next w:val="Normal"/>
    <w:autoRedefine/>
    <w:uiPriority w:val="99"/>
    <w:semiHidden/>
    <w:unhideWhenUsed/>
    <w:rsid w:val="001C1D1A"/>
    <w:pPr>
      <w:spacing w:before="0" w:after="0"/>
      <w:ind w:left="1760" w:hanging="220"/>
    </w:pPr>
  </w:style>
  <w:style w:type="paragraph" w:styleId="Index9">
    <w:name w:val="index 9"/>
    <w:basedOn w:val="Normal"/>
    <w:next w:val="Normal"/>
    <w:autoRedefine/>
    <w:uiPriority w:val="99"/>
    <w:unhideWhenUsed/>
    <w:rsid w:val="001C1D1A"/>
    <w:pPr>
      <w:spacing w:before="0" w:after="0"/>
      <w:ind w:left="1980" w:hanging="220"/>
    </w:pPr>
  </w:style>
  <w:style w:type="paragraph" w:styleId="IndexHeading">
    <w:name w:val="index heading"/>
    <w:basedOn w:val="Normal"/>
    <w:next w:val="Index1"/>
    <w:uiPriority w:val="99"/>
    <w:unhideWhenUsed/>
    <w:rsid w:val="001C1D1A"/>
    <w:rPr>
      <w:rFonts w:ascii="Tahoma" w:hAnsi="Tahoma"/>
      <w:b/>
      <w:bCs/>
    </w:rPr>
  </w:style>
  <w:style w:type="character" w:styleId="IntenseEmphasis">
    <w:name w:val="Intense Emphasis"/>
    <w:uiPriority w:val="21"/>
    <w:rsid w:val="001C1D1A"/>
    <w:rPr>
      <w:rFonts w:ascii="Calibri" w:hAnsi="Calibri"/>
      <w:b/>
      <w:bCs/>
      <w:i w:val="0"/>
      <w:iCs/>
      <w:color w:val="auto"/>
    </w:rPr>
  </w:style>
  <w:style w:type="paragraph" w:styleId="IntenseQuote">
    <w:name w:val="Intense Quote"/>
    <w:basedOn w:val="Normal"/>
    <w:next w:val="Normal"/>
    <w:link w:val="IntenseQuoteChar"/>
    <w:uiPriority w:val="30"/>
    <w:rsid w:val="001C1D1A"/>
    <w:pPr>
      <w:pBdr>
        <w:bottom w:val="single" w:sz="4" w:space="4" w:color="4F81BD"/>
      </w:pBdr>
      <w:spacing w:before="200" w:after="280"/>
      <w:ind w:left="936" w:right="936"/>
    </w:pPr>
    <w:rPr>
      <w:b/>
      <w:bCs/>
      <w:iCs/>
      <w:color w:val="4F81BD"/>
    </w:rPr>
  </w:style>
  <w:style w:type="character" w:customStyle="1" w:styleId="IntenseQuoteChar">
    <w:name w:val="Intense Quote Char"/>
    <w:link w:val="IntenseQuote"/>
    <w:uiPriority w:val="30"/>
    <w:rsid w:val="001C1D1A"/>
    <w:rPr>
      <w:rFonts w:ascii="Calibri" w:hAnsi="Calibri"/>
      <w:b/>
      <w:bCs/>
      <w:iCs/>
      <w:color w:val="4F81BD"/>
      <w:sz w:val="22"/>
    </w:rPr>
  </w:style>
  <w:style w:type="character" w:styleId="IntenseReference">
    <w:name w:val="Intense Reference"/>
    <w:uiPriority w:val="32"/>
    <w:rsid w:val="001C1D1A"/>
    <w:rPr>
      <w:rFonts w:ascii="Calibri" w:hAnsi="Calibri"/>
      <w:b/>
      <w:bCs/>
      <w:smallCaps/>
      <w:color w:val="C0504D"/>
      <w:spacing w:val="5"/>
      <w:u w:val="single"/>
    </w:rPr>
  </w:style>
  <w:style w:type="character" w:styleId="LineNumber">
    <w:name w:val="line number"/>
    <w:uiPriority w:val="99"/>
    <w:unhideWhenUsed/>
    <w:rsid w:val="001C1D1A"/>
    <w:rPr>
      <w:rFonts w:ascii="Calibri" w:hAnsi="Calibri"/>
    </w:rPr>
  </w:style>
  <w:style w:type="paragraph" w:styleId="List">
    <w:name w:val="List"/>
    <w:basedOn w:val="Normal"/>
    <w:uiPriority w:val="99"/>
    <w:unhideWhenUsed/>
    <w:rsid w:val="001C1D1A"/>
    <w:pPr>
      <w:ind w:left="283" w:hanging="283"/>
      <w:contextualSpacing/>
    </w:pPr>
  </w:style>
  <w:style w:type="paragraph" w:styleId="List2">
    <w:name w:val="List 2"/>
    <w:basedOn w:val="Normal"/>
    <w:uiPriority w:val="99"/>
    <w:unhideWhenUsed/>
    <w:rsid w:val="001C1D1A"/>
    <w:pPr>
      <w:ind w:left="566" w:hanging="283"/>
      <w:contextualSpacing/>
    </w:pPr>
  </w:style>
  <w:style w:type="paragraph" w:styleId="List3">
    <w:name w:val="List 3"/>
    <w:basedOn w:val="Normal"/>
    <w:uiPriority w:val="99"/>
    <w:unhideWhenUsed/>
    <w:rsid w:val="001C1D1A"/>
    <w:pPr>
      <w:ind w:left="849" w:hanging="283"/>
      <w:contextualSpacing/>
    </w:pPr>
  </w:style>
  <w:style w:type="paragraph" w:styleId="List4">
    <w:name w:val="List 4"/>
    <w:basedOn w:val="Normal"/>
    <w:uiPriority w:val="99"/>
    <w:unhideWhenUsed/>
    <w:rsid w:val="001C1D1A"/>
    <w:pPr>
      <w:ind w:left="1132" w:hanging="283"/>
      <w:contextualSpacing/>
    </w:pPr>
  </w:style>
  <w:style w:type="paragraph" w:styleId="List5">
    <w:name w:val="List 5"/>
    <w:basedOn w:val="Normal"/>
    <w:uiPriority w:val="99"/>
    <w:unhideWhenUsed/>
    <w:rsid w:val="001C1D1A"/>
    <w:pPr>
      <w:ind w:left="1415" w:hanging="283"/>
      <w:contextualSpacing/>
    </w:pPr>
  </w:style>
  <w:style w:type="paragraph" w:styleId="ListBullet">
    <w:name w:val="List Bullet"/>
    <w:basedOn w:val="Normal"/>
    <w:uiPriority w:val="99"/>
    <w:unhideWhenUsed/>
    <w:rsid w:val="001C1D1A"/>
    <w:pPr>
      <w:numPr>
        <w:numId w:val="1"/>
      </w:numPr>
      <w:contextualSpacing/>
    </w:pPr>
  </w:style>
  <w:style w:type="paragraph" w:styleId="ListBullet2">
    <w:name w:val="List Bullet 2"/>
    <w:basedOn w:val="Normal"/>
    <w:uiPriority w:val="99"/>
    <w:unhideWhenUsed/>
    <w:rsid w:val="001C1D1A"/>
    <w:pPr>
      <w:numPr>
        <w:numId w:val="2"/>
      </w:numPr>
      <w:contextualSpacing/>
    </w:pPr>
  </w:style>
  <w:style w:type="paragraph" w:styleId="ListBullet3">
    <w:name w:val="List Bullet 3"/>
    <w:basedOn w:val="Normal"/>
    <w:uiPriority w:val="99"/>
    <w:unhideWhenUsed/>
    <w:rsid w:val="001C1D1A"/>
    <w:pPr>
      <w:numPr>
        <w:numId w:val="3"/>
      </w:numPr>
      <w:contextualSpacing/>
    </w:pPr>
  </w:style>
  <w:style w:type="paragraph" w:styleId="ListBullet4">
    <w:name w:val="List Bullet 4"/>
    <w:basedOn w:val="Normal"/>
    <w:uiPriority w:val="99"/>
    <w:unhideWhenUsed/>
    <w:rsid w:val="001C1D1A"/>
    <w:pPr>
      <w:numPr>
        <w:numId w:val="4"/>
      </w:numPr>
      <w:contextualSpacing/>
    </w:pPr>
  </w:style>
  <w:style w:type="paragraph" w:styleId="ListBullet5">
    <w:name w:val="List Bullet 5"/>
    <w:basedOn w:val="Normal"/>
    <w:uiPriority w:val="99"/>
    <w:unhideWhenUsed/>
    <w:rsid w:val="001C1D1A"/>
    <w:pPr>
      <w:numPr>
        <w:numId w:val="5"/>
      </w:numPr>
      <w:contextualSpacing/>
    </w:pPr>
  </w:style>
  <w:style w:type="paragraph" w:styleId="ListContinue">
    <w:name w:val="List Continue"/>
    <w:basedOn w:val="Normal"/>
    <w:uiPriority w:val="99"/>
    <w:unhideWhenUsed/>
    <w:rsid w:val="001C1D1A"/>
    <w:pPr>
      <w:ind w:left="283"/>
      <w:contextualSpacing/>
    </w:pPr>
  </w:style>
  <w:style w:type="paragraph" w:styleId="ListContinue2">
    <w:name w:val="List Continue 2"/>
    <w:basedOn w:val="Normal"/>
    <w:uiPriority w:val="99"/>
    <w:unhideWhenUsed/>
    <w:rsid w:val="001C1D1A"/>
    <w:pPr>
      <w:ind w:left="566"/>
      <w:contextualSpacing/>
    </w:pPr>
  </w:style>
  <w:style w:type="paragraph" w:styleId="ListContinue3">
    <w:name w:val="List Continue 3"/>
    <w:basedOn w:val="Normal"/>
    <w:uiPriority w:val="99"/>
    <w:unhideWhenUsed/>
    <w:rsid w:val="001C1D1A"/>
    <w:pPr>
      <w:ind w:left="849"/>
      <w:contextualSpacing/>
    </w:pPr>
  </w:style>
  <w:style w:type="paragraph" w:styleId="ListContinue4">
    <w:name w:val="List Continue 4"/>
    <w:basedOn w:val="Normal"/>
    <w:uiPriority w:val="99"/>
    <w:unhideWhenUsed/>
    <w:rsid w:val="001C1D1A"/>
    <w:pPr>
      <w:ind w:left="1132"/>
      <w:contextualSpacing/>
    </w:pPr>
  </w:style>
  <w:style w:type="paragraph" w:styleId="ListContinue5">
    <w:name w:val="List Continue 5"/>
    <w:basedOn w:val="Normal"/>
    <w:uiPriority w:val="99"/>
    <w:unhideWhenUsed/>
    <w:rsid w:val="001C1D1A"/>
    <w:pPr>
      <w:ind w:left="1415"/>
      <w:contextualSpacing/>
    </w:pPr>
  </w:style>
  <w:style w:type="paragraph" w:styleId="ListNumber">
    <w:name w:val="List Number"/>
    <w:basedOn w:val="Normal"/>
    <w:uiPriority w:val="99"/>
    <w:unhideWhenUsed/>
    <w:rsid w:val="001C1D1A"/>
    <w:pPr>
      <w:numPr>
        <w:numId w:val="6"/>
      </w:numPr>
      <w:contextualSpacing/>
    </w:pPr>
  </w:style>
  <w:style w:type="paragraph" w:styleId="ListNumber2">
    <w:name w:val="List Number 2"/>
    <w:basedOn w:val="Normal"/>
    <w:uiPriority w:val="99"/>
    <w:unhideWhenUsed/>
    <w:rsid w:val="001C1D1A"/>
    <w:pPr>
      <w:numPr>
        <w:numId w:val="7"/>
      </w:numPr>
      <w:contextualSpacing/>
    </w:pPr>
  </w:style>
  <w:style w:type="paragraph" w:styleId="ListNumber3">
    <w:name w:val="List Number 3"/>
    <w:basedOn w:val="Normal"/>
    <w:uiPriority w:val="99"/>
    <w:unhideWhenUsed/>
    <w:rsid w:val="001C1D1A"/>
    <w:pPr>
      <w:numPr>
        <w:numId w:val="8"/>
      </w:numPr>
      <w:contextualSpacing/>
    </w:pPr>
  </w:style>
  <w:style w:type="paragraph" w:styleId="ListNumber4">
    <w:name w:val="List Number 4"/>
    <w:basedOn w:val="Normal"/>
    <w:uiPriority w:val="99"/>
    <w:unhideWhenUsed/>
    <w:rsid w:val="001C1D1A"/>
    <w:pPr>
      <w:numPr>
        <w:numId w:val="9"/>
      </w:numPr>
      <w:contextualSpacing/>
    </w:pPr>
  </w:style>
  <w:style w:type="paragraph" w:styleId="ListNumber5">
    <w:name w:val="List Number 5"/>
    <w:basedOn w:val="Normal"/>
    <w:uiPriority w:val="99"/>
    <w:unhideWhenUsed/>
    <w:rsid w:val="001C1D1A"/>
    <w:pPr>
      <w:numPr>
        <w:numId w:val="10"/>
      </w:numPr>
      <w:contextualSpacing/>
    </w:pPr>
  </w:style>
  <w:style w:type="paragraph" w:styleId="MacroText">
    <w:name w:val="macro"/>
    <w:link w:val="MacroTextChar"/>
    <w:uiPriority w:val="99"/>
    <w:unhideWhenUsed/>
    <w:rsid w:val="001C1D1A"/>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croTextChar">
    <w:name w:val="Macro Text Char"/>
    <w:link w:val="MacroText"/>
    <w:uiPriority w:val="99"/>
    <w:rsid w:val="001C1D1A"/>
    <w:rPr>
      <w:rFonts w:ascii="Consolas" w:hAnsi="Consolas" w:cs="Consolas"/>
    </w:rPr>
  </w:style>
  <w:style w:type="paragraph" w:styleId="MessageHeader">
    <w:name w:val="Message Header"/>
    <w:basedOn w:val="Normal"/>
    <w:link w:val="MessageHeaderChar"/>
    <w:uiPriority w:val="99"/>
    <w:unhideWhenUsed/>
    <w:rsid w:val="001C1D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ahoma" w:hAnsi="Tahoma"/>
      <w:sz w:val="24"/>
      <w:szCs w:val="24"/>
    </w:rPr>
  </w:style>
  <w:style w:type="character" w:customStyle="1" w:styleId="MessageHeaderChar">
    <w:name w:val="Message Header Char"/>
    <w:link w:val="MessageHeader"/>
    <w:uiPriority w:val="99"/>
    <w:rsid w:val="001C1D1A"/>
    <w:rPr>
      <w:rFonts w:ascii="Tahoma" w:eastAsia="Times New Roman" w:hAnsi="Tahoma" w:cs="Times New Roman"/>
      <w:sz w:val="24"/>
      <w:szCs w:val="24"/>
      <w:shd w:val="pct20" w:color="auto" w:fill="auto"/>
    </w:rPr>
  </w:style>
  <w:style w:type="paragraph" w:styleId="NormalWeb">
    <w:name w:val="Normal (Web)"/>
    <w:basedOn w:val="Normal"/>
    <w:uiPriority w:val="99"/>
    <w:unhideWhenUsed/>
    <w:rsid w:val="001C1D1A"/>
    <w:rPr>
      <w:sz w:val="24"/>
      <w:szCs w:val="24"/>
    </w:rPr>
  </w:style>
  <w:style w:type="paragraph" w:styleId="NormalIndent">
    <w:name w:val="Normal Indent"/>
    <w:basedOn w:val="Normal"/>
    <w:uiPriority w:val="99"/>
    <w:unhideWhenUsed/>
    <w:rsid w:val="001C1D1A"/>
    <w:pPr>
      <w:ind w:left="720"/>
    </w:pPr>
  </w:style>
  <w:style w:type="paragraph" w:styleId="NoteHeading">
    <w:name w:val="Note Heading"/>
    <w:basedOn w:val="Normal"/>
    <w:next w:val="Normal"/>
    <w:link w:val="NoteHeadingChar"/>
    <w:uiPriority w:val="99"/>
    <w:unhideWhenUsed/>
    <w:rsid w:val="001C1D1A"/>
    <w:pPr>
      <w:spacing w:before="0" w:after="0"/>
    </w:pPr>
  </w:style>
  <w:style w:type="character" w:customStyle="1" w:styleId="NoteHeadingChar">
    <w:name w:val="Note Heading Char"/>
    <w:link w:val="NoteHeading"/>
    <w:uiPriority w:val="99"/>
    <w:rsid w:val="001C1D1A"/>
    <w:rPr>
      <w:rFonts w:ascii="Calibri" w:hAnsi="Calibri"/>
      <w:sz w:val="22"/>
    </w:rPr>
  </w:style>
  <w:style w:type="character" w:styleId="PageNumber">
    <w:name w:val="page number"/>
    <w:uiPriority w:val="99"/>
    <w:unhideWhenUsed/>
    <w:rsid w:val="001C1D1A"/>
    <w:rPr>
      <w:rFonts w:ascii="Calibri" w:hAnsi="Calibri"/>
    </w:rPr>
  </w:style>
  <w:style w:type="character" w:styleId="PlaceholderText">
    <w:name w:val="Placeholder Text"/>
    <w:uiPriority w:val="99"/>
    <w:semiHidden/>
    <w:rsid w:val="001C1D1A"/>
    <w:rPr>
      <w:rFonts w:ascii="Calibri" w:hAnsi="Calibri"/>
      <w:color w:val="808080"/>
    </w:rPr>
  </w:style>
  <w:style w:type="paragraph" w:styleId="PlainText">
    <w:name w:val="Plain Text"/>
    <w:basedOn w:val="Normal"/>
    <w:link w:val="PlainTextChar"/>
    <w:uiPriority w:val="99"/>
    <w:unhideWhenUsed/>
    <w:rsid w:val="001C1D1A"/>
    <w:pPr>
      <w:spacing w:before="0" w:after="0"/>
    </w:pPr>
    <w:rPr>
      <w:rFonts w:ascii="Consolas" w:hAnsi="Consolas" w:cs="Consolas"/>
      <w:sz w:val="21"/>
      <w:szCs w:val="21"/>
    </w:rPr>
  </w:style>
  <w:style w:type="character" w:customStyle="1" w:styleId="PlainTextChar">
    <w:name w:val="Plain Text Char"/>
    <w:link w:val="PlainText"/>
    <w:uiPriority w:val="99"/>
    <w:rsid w:val="001C1D1A"/>
    <w:rPr>
      <w:rFonts w:ascii="Consolas" w:hAnsi="Consolas" w:cs="Consolas"/>
      <w:sz w:val="21"/>
      <w:szCs w:val="21"/>
    </w:rPr>
  </w:style>
  <w:style w:type="paragraph" w:styleId="Quote">
    <w:name w:val="Quote"/>
    <w:basedOn w:val="Normal"/>
    <w:next w:val="Normal"/>
    <w:link w:val="QuoteChar"/>
    <w:uiPriority w:val="29"/>
    <w:rsid w:val="001C1D1A"/>
    <w:rPr>
      <w:iCs/>
      <w:color w:val="000000"/>
    </w:rPr>
  </w:style>
  <w:style w:type="character" w:customStyle="1" w:styleId="QuoteChar">
    <w:name w:val="Quote Char"/>
    <w:link w:val="Quote"/>
    <w:uiPriority w:val="29"/>
    <w:rsid w:val="001C1D1A"/>
    <w:rPr>
      <w:rFonts w:ascii="Calibri" w:hAnsi="Calibri"/>
      <w:iCs/>
      <w:color w:val="000000"/>
      <w:sz w:val="22"/>
    </w:rPr>
  </w:style>
  <w:style w:type="paragraph" w:styleId="Salutation">
    <w:name w:val="Salutation"/>
    <w:basedOn w:val="Normal"/>
    <w:next w:val="Normal"/>
    <w:link w:val="SalutationChar"/>
    <w:uiPriority w:val="99"/>
    <w:unhideWhenUsed/>
    <w:rsid w:val="001C1D1A"/>
  </w:style>
  <w:style w:type="character" w:customStyle="1" w:styleId="SalutationChar">
    <w:name w:val="Salutation Char"/>
    <w:link w:val="Salutation"/>
    <w:uiPriority w:val="99"/>
    <w:rsid w:val="001C1D1A"/>
    <w:rPr>
      <w:rFonts w:ascii="Calibri" w:hAnsi="Calibri"/>
      <w:sz w:val="22"/>
    </w:rPr>
  </w:style>
  <w:style w:type="paragraph" w:styleId="Signature">
    <w:name w:val="Signature"/>
    <w:basedOn w:val="Normal"/>
    <w:link w:val="SignatureChar"/>
    <w:uiPriority w:val="99"/>
    <w:unhideWhenUsed/>
    <w:rsid w:val="001C1D1A"/>
    <w:pPr>
      <w:spacing w:before="0" w:after="0"/>
      <w:ind w:left="4252"/>
    </w:pPr>
  </w:style>
  <w:style w:type="character" w:customStyle="1" w:styleId="SignatureChar">
    <w:name w:val="Signature Char"/>
    <w:link w:val="Signature"/>
    <w:uiPriority w:val="99"/>
    <w:rsid w:val="001C1D1A"/>
    <w:rPr>
      <w:rFonts w:ascii="Calibri" w:hAnsi="Calibri"/>
      <w:sz w:val="22"/>
    </w:rPr>
  </w:style>
  <w:style w:type="character" w:styleId="Strong">
    <w:name w:val="Strong"/>
    <w:uiPriority w:val="22"/>
    <w:rsid w:val="001C1D1A"/>
    <w:rPr>
      <w:rFonts w:ascii="Calibri" w:hAnsi="Calibri"/>
      <w:b/>
      <w:bCs/>
    </w:rPr>
  </w:style>
  <w:style w:type="paragraph" w:styleId="Subtitle">
    <w:name w:val="Subtitle"/>
    <w:basedOn w:val="Normal"/>
    <w:next w:val="Normal"/>
    <w:link w:val="SubtitleChar"/>
    <w:uiPriority w:val="11"/>
    <w:rsid w:val="00ED208E"/>
    <w:pPr>
      <w:numPr>
        <w:ilvl w:val="1"/>
      </w:numPr>
    </w:pPr>
    <w:rPr>
      <w:iCs/>
      <w:color w:val="4F81BD"/>
      <w:spacing w:val="15"/>
      <w:sz w:val="24"/>
      <w:szCs w:val="24"/>
    </w:rPr>
  </w:style>
  <w:style w:type="character" w:customStyle="1" w:styleId="SubtitleChar">
    <w:name w:val="Subtitle Char"/>
    <w:link w:val="Subtitle"/>
    <w:uiPriority w:val="11"/>
    <w:rsid w:val="00ED208E"/>
    <w:rPr>
      <w:rFonts w:ascii="Calibri" w:eastAsia="Times New Roman" w:hAnsi="Calibri" w:cs="Times New Roman"/>
      <w:iCs/>
      <w:color w:val="4F81BD"/>
      <w:spacing w:val="15"/>
      <w:sz w:val="24"/>
      <w:szCs w:val="24"/>
    </w:rPr>
  </w:style>
  <w:style w:type="character" w:styleId="SubtleEmphasis">
    <w:name w:val="Subtle Emphasis"/>
    <w:uiPriority w:val="19"/>
    <w:rsid w:val="00ED208E"/>
    <w:rPr>
      <w:rFonts w:ascii="Calibri" w:hAnsi="Calibri"/>
      <w:i w:val="0"/>
      <w:iCs/>
      <w:color w:val="808080"/>
    </w:rPr>
  </w:style>
  <w:style w:type="character" w:styleId="SubtleReference">
    <w:name w:val="Subtle Reference"/>
    <w:uiPriority w:val="31"/>
    <w:rsid w:val="00ED208E"/>
    <w:rPr>
      <w:rFonts w:ascii="Calibri" w:hAnsi="Calibri"/>
      <w:smallCaps/>
      <w:color w:val="C0504D"/>
      <w:u w:val="single"/>
    </w:rPr>
  </w:style>
  <w:style w:type="paragraph" w:styleId="TableofAuthorities">
    <w:name w:val="table of authorities"/>
    <w:basedOn w:val="Normal"/>
    <w:next w:val="Normal"/>
    <w:uiPriority w:val="99"/>
    <w:unhideWhenUsed/>
    <w:rsid w:val="00ED208E"/>
    <w:pPr>
      <w:spacing w:after="0"/>
      <w:ind w:left="220" w:hanging="220"/>
    </w:pPr>
  </w:style>
  <w:style w:type="paragraph" w:styleId="TableofFigures">
    <w:name w:val="table of figures"/>
    <w:basedOn w:val="Normal"/>
    <w:next w:val="Normal"/>
    <w:uiPriority w:val="99"/>
    <w:unhideWhenUsed/>
    <w:rsid w:val="00ED208E"/>
    <w:pPr>
      <w:spacing w:after="0"/>
    </w:pPr>
  </w:style>
  <w:style w:type="paragraph" w:styleId="TOAHeading">
    <w:name w:val="toa heading"/>
    <w:basedOn w:val="Normal"/>
    <w:next w:val="Normal"/>
    <w:uiPriority w:val="99"/>
    <w:unhideWhenUsed/>
    <w:rsid w:val="00ED208E"/>
    <w:rPr>
      <w:rFonts w:ascii="Tahoma" w:hAnsi="Tahoma"/>
      <w:b/>
      <w:bCs/>
      <w:sz w:val="24"/>
      <w:szCs w:val="24"/>
    </w:rPr>
  </w:style>
  <w:style w:type="paragraph" w:styleId="TOCHeading">
    <w:name w:val="TOC Heading"/>
    <w:basedOn w:val="Heading1"/>
    <w:next w:val="Normal"/>
    <w:uiPriority w:val="39"/>
    <w:unhideWhenUsed/>
    <w:qFormat/>
    <w:rsid w:val="00C65816"/>
    <w:pPr>
      <w:pBdr>
        <w:bottom w:val="none" w:sz="0" w:space="0" w:color="auto"/>
      </w:pBdr>
      <w:spacing w:after="0"/>
      <w:outlineLvl w:val="9"/>
    </w:pPr>
    <w:rPr>
      <w:b/>
      <w:color w:val="auto"/>
      <w:sz w:val="28"/>
    </w:rPr>
  </w:style>
  <w:style w:type="table" w:styleId="LightShading-Accent4">
    <w:name w:val="Light Shading Accent 4"/>
    <w:basedOn w:val="TableNormal"/>
    <w:uiPriority w:val="60"/>
    <w:rsid w:val="00CD49D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A4">
    <w:name w:val="A4"/>
    <w:uiPriority w:val="99"/>
    <w:rsid w:val="00160526"/>
    <w:rPr>
      <w:rFonts w:cs="Proxima Nova A"/>
      <w:color w:val="211D1E"/>
      <w:sz w:val="18"/>
      <w:szCs w:val="18"/>
    </w:rPr>
  </w:style>
  <w:style w:type="paragraph" w:customStyle="1" w:styleId="Bullet">
    <w:name w:val="Bullet"/>
    <w:basedOn w:val="Normal"/>
    <w:qFormat/>
    <w:rsid w:val="00373BFD"/>
    <w:pPr>
      <w:numPr>
        <w:numId w:val="15"/>
      </w:numPr>
      <w:spacing w:before="0"/>
    </w:pPr>
    <w:rPr>
      <w:rFonts w:asciiTheme="minorHAnsi" w:hAnsiTheme="minorHAnsi"/>
      <w:sz w:val="24"/>
      <w:lang w:eastAsia="en-US"/>
    </w:rPr>
  </w:style>
  <w:style w:type="paragraph" w:customStyle="1" w:styleId="TableText">
    <w:name w:val="TableText"/>
    <w:link w:val="TableTextChar"/>
    <w:qFormat/>
    <w:rsid w:val="00041015"/>
    <w:pPr>
      <w:spacing w:before="60" w:after="60"/>
    </w:pPr>
    <w:rPr>
      <w:rFonts w:ascii="Arial" w:hAnsi="Arial"/>
      <w:sz w:val="18"/>
      <w:lang w:val="en-GB" w:eastAsia="en-US"/>
    </w:rPr>
  </w:style>
  <w:style w:type="character" w:customStyle="1" w:styleId="TableTextChar">
    <w:name w:val="TableText Char"/>
    <w:basedOn w:val="DefaultParagraphFont"/>
    <w:link w:val="TableText"/>
    <w:rsid w:val="00041015"/>
    <w:rPr>
      <w:rFonts w:ascii="Arial" w:hAnsi="Arial"/>
      <w:sz w:val="18"/>
      <w:lang w:val="en-GB" w:eastAsia="en-US"/>
    </w:rPr>
  </w:style>
  <w:style w:type="table" w:styleId="LightList-Accent4">
    <w:name w:val="Light List Accent 4"/>
    <w:basedOn w:val="TableNormal"/>
    <w:uiPriority w:val="61"/>
    <w:rsid w:val="00B2378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FooterText Char"/>
    <w:basedOn w:val="DefaultParagraphFont"/>
    <w:link w:val="ListParagraph"/>
    <w:uiPriority w:val="34"/>
    <w:qFormat/>
    <w:locked/>
    <w:rsid w:val="000B3A8F"/>
    <w:rPr>
      <w:rFonts w:ascii="Calibri" w:hAnsi="Calibri"/>
      <w:sz w:val="22"/>
    </w:rPr>
  </w:style>
  <w:style w:type="paragraph" w:customStyle="1" w:styleId="TableBullet">
    <w:name w:val="TableBullet"/>
    <w:qFormat/>
    <w:rsid w:val="00664D3E"/>
    <w:pPr>
      <w:keepNext/>
      <w:numPr>
        <w:numId w:val="25"/>
      </w:numPr>
      <w:tabs>
        <w:tab w:val="left" w:pos="284"/>
      </w:tabs>
      <w:spacing w:before="60" w:after="60"/>
    </w:pPr>
    <w:rPr>
      <w:rFonts w:ascii="Arial" w:hAnsi="Arial"/>
      <w:sz w:val="18"/>
      <w:lang w:val="en-GB" w:eastAsia="en-US"/>
    </w:rPr>
  </w:style>
  <w:style w:type="table" w:styleId="ColorfulGrid-Accent2">
    <w:name w:val="Colorful Grid Accent 2"/>
    <w:basedOn w:val="TableNormal"/>
    <w:uiPriority w:val="73"/>
    <w:rsid w:val="00664D3E"/>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BulletIntro">
    <w:name w:val="BulletIntro"/>
    <w:basedOn w:val="Normal"/>
    <w:next w:val="Bullet"/>
    <w:qFormat/>
    <w:rsid w:val="000E5B0E"/>
    <w:pPr>
      <w:keepNext/>
      <w:spacing w:before="0"/>
    </w:pPr>
    <w:rPr>
      <w:rFonts w:asciiTheme="minorHAnsi" w:hAnsiTheme="minorHAnsi"/>
      <w:noProof/>
      <w:sz w:val="24"/>
      <w:lang w:val="en-GB" w:eastAsia="en-US"/>
    </w:rPr>
  </w:style>
  <w:style w:type="paragraph" w:customStyle="1" w:styleId="BulletLast">
    <w:name w:val="BulletLast"/>
    <w:basedOn w:val="Bullet"/>
    <w:qFormat/>
    <w:rsid w:val="000E5B0E"/>
    <w:pPr>
      <w:numPr>
        <w:numId w:val="28"/>
      </w:numPr>
      <w:spacing w:after="240"/>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1847">
      <w:bodyDiv w:val="1"/>
      <w:marLeft w:val="0"/>
      <w:marRight w:val="0"/>
      <w:marTop w:val="0"/>
      <w:marBottom w:val="0"/>
      <w:divBdr>
        <w:top w:val="none" w:sz="0" w:space="0" w:color="auto"/>
        <w:left w:val="none" w:sz="0" w:space="0" w:color="auto"/>
        <w:bottom w:val="none" w:sz="0" w:space="0" w:color="auto"/>
        <w:right w:val="none" w:sz="0" w:space="0" w:color="auto"/>
      </w:divBdr>
    </w:div>
    <w:div w:id="298458108">
      <w:bodyDiv w:val="1"/>
      <w:marLeft w:val="0"/>
      <w:marRight w:val="0"/>
      <w:marTop w:val="0"/>
      <w:marBottom w:val="0"/>
      <w:divBdr>
        <w:top w:val="none" w:sz="0" w:space="0" w:color="auto"/>
        <w:left w:val="none" w:sz="0" w:space="0" w:color="auto"/>
        <w:bottom w:val="none" w:sz="0" w:space="0" w:color="auto"/>
        <w:right w:val="none" w:sz="0" w:space="0" w:color="auto"/>
      </w:divBdr>
    </w:div>
    <w:div w:id="6756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paustralia.gov.au/tools-resources/publications-report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paustralia.gov.au/about-us/doing-business-us/quality-management" TargetMode="External"/><Relationship Id="rId27" Type="http://schemas.openxmlformats.org/officeDocument/2006/relationships/fontTable" Target="fontTable.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cdd73b99-b600-467d-8b05-41f33179978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n99e4c9942c6404eb103464a00e6097b xmlns="cdd73b99-b600-467d-8b05-41f33179978b">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b7f3f697-63b0-4a64-a581-540e55f3baef</TermId>
        </TermInfo>
      </Terms>
    </n99e4c9942c6404eb103464a00e6097b>
    <adb9bed2e36e4a93af574aeb444da63e xmlns="cdd73b99-b600-467d-8b05-41f33179978b">
      <Terms xmlns="http://schemas.microsoft.com/office/infopath/2007/PartnerControls"/>
    </adb9bed2e36e4a93af574aeb444da63e>
    <TaxCatchAll xmlns="cdd73b99-b600-467d-8b05-41f33179978b">
      <Value>58</Value>
      <Value>1362</Value>
      <Value>30</Value>
    </TaxCatchAll>
    <aa25a1a23adf4c92a153145de6afe324 xmlns="cdd73b99-b600-467d-8b05-41f33179978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cdd73b99-b600-467d-8b05-41f33179978b">
      <Terms xmlns="http://schemas.microsoft.com/office/infopath/2007/PartnerControls"/>
    </g7bcb40ba23249a78edca7d43a67c1c9>
    <Comments xmlns="http://schemas.microsoft.com/sharepoint/v3" xsi:nil="true"/>
    <_dlc_DocId xmlns="cdd73b99-b600-467d-8b05-41f33179978b">2P6QMCT253UY-902866662-81</_dlc_DocId>
    <_dlc_DocIdUrl xmlns="cdd73b99-b600-467d-8b05-41f33179978b">
      <Url>https://dochub/div/portfoliostrategicpolicy/programmesprojectstaskforces/deregpolicy/regperfframework201617/_layouts/15/DocIdRedir.aspx?ID=2P6QMCT253UY-902866662-81</Url>
      <Description>2P6QMCT253UY-902866662-81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4BF4B45A72344EAA177C9F0621EBF5" ma:contentTypeVersion="14" ma:contentTypeDescription="Create a new document." ma:contentTypeScope="" ma:versionID="fa22e20d92e87f1e1a07c5a29d6e4ff8">
  <xsd:schema xmlns:xsd="http://www.w3.org/2001/XMLSchema" xmlns:xs="http://www.w3.org/2001/XMLSchema" xmlns:p="http://schemas.microsoft.com/office/2006/metadata/properties" xmlns:ns1="http://schemas.microsoft.com/sharepoint/v3" xmlns:ns2="cdd73b99-b600-467d-8b05-41f33179978b" targetNamespace="http://schemas.microsoft.com/office/2006/metadata/properties" ma:root="true" ma:fieldsID="aa398310465ecec7e163840dc710c54d" ns1:_="" ns2:_="">
    <xsd:import namespace="http://schemas.microsoft.com/sharepoint/v3"/>
    <xsd:import namespace="cdd73b99-b600-467d-8b05-41f33179978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CE75-3552-426B-98F6-262B64AEEB2F}">
  <ds:schemaRefs>
    <ds:schemaRef ds:uri="http://schemas.microsoft.com/sharepoint/events"/>
  </ds:schemaRefs>
</ds:datastoreItem>
</file>

<file path=customXml/itemProps2.xml><?xml version="1.0" encoding="utf-8"?>
<ds:datastoreItem xmlns:ds="http://schemas.openxmlformats.org/officeDocument/2006/customXml" ds:itemID="{015F1882-A8E5-485B-8CC4-E06625EF658C}">
  <ds:schemaRefs>
    <ds:schemaRef ds:uri="http://schemas.microsoft.com/sharepoint/v3/contenttype/forms"/>
  </ds:schemaRefs>
</ds:datastoreItem>
</file>

<file path=customXml/itemProps3.xml><?xml version="1.0" encoding="utf-8"?>
<ds:datastoreItem xmlns:ds="http://schemas.openxmlformats.org/officeDocument/2006/customXml" ds:itemID="{FADE6ED8-99C3-4CE5-B780-4EB0C6E72D31}">
  <ds:schemaRefs>
    <ds:schemaRef ds:uri="cdd73b99-b600-467d-8b05-41f3317997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CD0BE24-7816-448A-BFB5-123E9FE3D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738B6-63FA-42FA-96BD-0D8E8932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5025</Words>
  <Characters>29910</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Report Template</vt:lpstr>
    </vt:vector>
  </TitlesOfParts>
  <Company>IP Australia</Company>
  <LinksUpToDate>false</LinksUpToDate>
  <CharactersWithSpaces>34866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Holly Noble</dc:creator>
  <cp:lastModifiedBy>Francis, Sophie</cp:lastModifiedBy>
  <cp:revision>7</cp:revision>
  <cp:lastPrinted>2018-11-07T22:38:00Z</cp:lastPrinted>
  <dcterms:created xsi:type="dcterms:W3CDTF">2019-01-23T22:03:00Z</dcterms:created>
  <dcterms:modified xsi:type="dcterms:W3CDTF">2019-01-23T22:26:00Z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0x010100B74BF4B45A72344EAA177C9F0621EBF5</vt:lpwstr>
  </property>
  <property fmtid="{D5CDD505-2E9C-101B-9397-08002B2CF9AE}" pid="3" name="_dlc_DocIdItemGuid">
    <vt:lpwstr>e69acb54-b762-465f-b056-a4c89cd2d5c2</vt:lpwstr>
  </property>
  <property fmtid="{D5CDD505-2E9C-101B-9397-08002B2CF9AE}" pid="4" name="DocHub_Year">
    <vt:lpwstr>1362;#2017-18|b7f3f697-63b0-4a64-a581-540e55f3baef</vt:lpwstr>
  </property>
  <property fmtid="{D5CDD505-2E9C-101B-9397-08002B2CF9AE}" pid="5" name="DocHub_DocumentType">
    <vt:lpwstr>58;#Report|116a9244-cef6-47ce-a9a5-088c9cf21292</vt:lpwstr>
  </property>
  <property fmtid="{D5CDD505-2E9C-101B-9397-08002B2CF9AE}" pid="6" name="DocHub_SecurityClassification">
    <vt:lpwstr>30;#UNCLASSIFIED|6106d03b-a1a0-4e30-9d91-d5e9fb4314f9</vt:lpwstr>
  </property>
  <property fmtid="{D5CDD505-2E9C-101B-9397-08002B2CF9AE}" pid="7" name="DocHub_Keywords">
    <vt:lpwstr/>
  </property>
  <property fmtid="{D5CDD505-2E9C-101B-9397-08002B2CF9AE}" pid="8" name="DocHub_WorkActivity">
    <vt:lpwstr/>
  </property>
</Properties>
</file>