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193" w:rsidRDefault="000B6193" w:rsidP="00A50DA3">
      <w:pPr>
        <w:ind w:left="-426"/>
        <w:rPr>
          <w:w w:val="125"/>
        </w:rPr>
      </w:pPr>
      <w:bookmarkStart w:id="0" w:name="_GoBack"/>
      <w:bookmarkEnd w:id="0"/>
      <w:r w:rsidRPr="000B6193">
        <w:rPr>
          <w:noProof/>
          <w:lang w:val="en-AU" w:eastAsia="en-AU"/>
        </w:rPr>
        <w:drawing>
          <wp:inline distT="0" distB="0" distL="0" distR="0" wp14:anchorId="798ED7E3" wp14:editId="77FD1446">
            <wp:extent cx="3562350" cy="942975"/>
            <wp:effectExtent l="0" t="0" r="0" b="9525"/>
            <wp:docPr id="1" name="Picture 1" descr="Australian Government Crest for the Department of Industry and Sci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2350" cy="942975"/>
                    </a:xfrm>
                    <a:prstGeom prst="rect">
                      <a:avLst/>
                    </a:prstGeom>
                    <a:noFill/>
                    <a:ln>
                      <a:noFill/>
                    </a:ln>
                  </pic:spPr>
                </pic:pic>
              </a:graphicData>
            </a:graphic>
          </wp:inline>
        </w:drawing>
      </w:r>
    </w:p>
    <w:p w:rsidR="00E46BBC" w:rsidRPr="00A50DA3" w:rsidRDefault="00822AD3" w:rsidP="00A50DA3">
      <w:pPr>
        <w:pStyle w:val="Heading1"/>
      </w:pPr>
      <w:bookmarkStart w:id="1" w:name="_Toc414449036"/>
      <w:bookmarkStart w:id="2" w:name="_Toc414449093"/>
      <w:bookmarkStart w:id="3" w:name="_Toc414449227"/>
      <w:bookmarkStart w:id="4" w:name="_Toc414449403"/>
      <w:r w:rsidRPr="00A50DA3">
        <w:rPr>
          <w:sz w:val="44"/>
          <w:szCs w:val="44"/>
        </w:rPr>
        <w:t>Industry and Science Portfolio</w:t>
      </w:r>
      <w:r w:rsidR="00F20B31" w:rsidRPr="00A50DA3">
        <w:br/>
      </w:r>
      <w:r w:rsidRPr="00A50DA3">
        <w:rPr>
          <w:rFonts w:hAnsi="Tahoma"/>
        </w:rPr>
        <w:t>Annual</w:t>
      </w:r>
      <w:r w:rsidRPr="00A50DA3">
        <w:t xml:space="preserve"> Deregulation Report 2014</w:t>
      </w:r>
      <w:bookmarkEnd w:id="1"/>
      <w:bookmarkEnd w:id="2"/>
      <w:bookmarkEnd w:id="3"/>
      <w:bookmarkEnd w:id="4"/>
    </w:p>
    <w:p w:rsidR="00E46BBC" w:rsidRPr="00A50DA3" w:rsidRDefault="00822AD3" w:rsidP="00A50DA3">
      <w:r w:rsidRPr="00A50DA3">
        <w:t>Reducing regulatory burden, improving Australia’s productivity</w:t>
      </w:r>
    </w:p>
    <w:p w:rsidR="00E46BBC" w:rsidRPr="00A50DA3" w:rsidRDefault="00822AD3" w:rsidP="00A50DA3">
      <w:r w:rsidRPr="00A50DA3">
        <w:t>March</w:t>
      </w:r>
      <w:r w:rsidR="00A50DA3" w:rsidRPr="00A50DA3">
        <w:t xml:space="preserve"> </w:t>
      </w:r>
      <w:r w:rsidRPr="00A50DA3">
        <w:t>2015</w:t>
      </w:r>
    </w:p>
    <w:p w:rsidR="00FF2998" w:rsidRDefault="00A8204B" w:rsidP="00FF2998">
      <w:pPr>
        <w:spacing w:before="2400"/>
        <w:ind w:right="45"/>
        <w:rPr>
          <w:rFonts w:eastAsia="Calibri" w:hAnsi="Calibri" w:cs="Calibri"/>
          <w:szCs w:val="28"/>
        </w:rPr>
      </w:pPr>
      <w:r w:rsidRPr="00A8204B">
        <w:rPr>
          <w:rFonts w:eastAsia="Calibri" w:hAnsi="Calibri" w:cs="Calibri"/>
          <w:szCs w:val="28"/>
        </w:rPr>
        <w:t xml:space="preserve">This is a text </w:t>
      </w:r>
      <w:r>
        <w:rPr>
          <w:rFonts w:eastAsia="Calibri" w:hAnsi="Calibri" w:cs="Calibri"/>
          <w:szCs w:val="28"/>
        </w:rPr>
        <w:t>only v</w:t>
      </w:r>
      <w:r w:rsidRPr="00A8204B">
        <w:rPr>
          <w:rFonts w:eastAsia="Calibri" w:hAnsi="Calibri" w:cs="Calibri"/>
          <w:szCs w:val="28"/>
        </w:rPr>
        <w:t>ersion</w:t>
      </w:r>
      <w:r>
        <w:rPr>
          <w:rFonts w:eastAsia="Calibri" w:hAnsi="Calibri" w:cs="Calibri"/>
          <w:szCs w:val="28"/>
        </w:rPr>
        <w:t xml:space="preserve"> of the report. </w:t>
      </w:r>
    </w:p>
    <w:p w:rsidR="00A8204B" w:rsidRDefault="00A8204B" w:rsidP="00A8204B">
      <w:pPr>
        <w:ind w:right="45"/>
        <w:rPr>
          <w:rFonts w:eastAsia="Calibri" w:hAnsi="Calibri" w:cs="Calibri"/>
          <w:szCs w:val="28"/>
        </w:rPr>
      </w:pPr>
      <w:r>
        <w:rPr>
          <w:rFonts w:eastAsia="Calibri" w:hAnsi="Calibri" w:cs="Calibri"/>
          <w:szCs w:val="28"/>
        </w:rPr>
        <w:t>All</w:t>
      </w:r>
      <w:r w:rsidRPr="00A8204B">
        <w:rPr>
          <w:rFonts w:eastAsia="Calibri" w:hAnsi="Calibri" w:cs="Calibri"/>
          <w:szCs w:val="28"/>
        </w:rPr>
        <w:t xml:space="preserve"> images/graphs </w:t>
      </w:r>
      <w:r>
        <w:rPr>
          <w:rFonts w:eastAsia="Calibri" w:hAnsi="Calibri" w:cs="Calibri"/>
          <w:szCs w:val="28"/>
        </w:rPr>
        <w:t xml:space="preserve">that were </w:t>
      </w:r>
      <w:r w:rsidR="00FF2998">
        <w:rPr>
          <w:rFonts w:eastAsia="Calibri" w:hAnsi="Calibri" w:cs="Calibri"/>
          <w:szCs w:val="28"/>
        </w:rPr>
        <w:t xml:space="preserve">designed </w:t>
      </w:r>
      <w:r>
        <w:rPr>
          <w:rFonts w:eastAsia="Calibri" w:hAnsi="Calibri" w:cs="Calibri"/>
          <w:szCs w:val="28"/>
        </w:rPr>
        <w:t>for visual enhancements</w:t>
      </w:r>
      <w:r w:rsidR="00FF2998">
        <w:rPr>
          <w:rFonts w:eastAsia="Calibri" w:hAnsi="Calibri" w:cs="Calibri"/>
          <w:szCs w:val="28"/>
        </w:rPr>
        <w:t xml:space="preserve"> only</w:t>
      </w:r>
      <w:r>
        <w:rPr>
          <w:rFonts w:eastAsia="Calibri" w:hAnsi="Calibri" w:cs="Calibri"/>
          <w:szCs w:val="28"/>
        </w:rPr>
        <w:t xml:space="preserve"> have </w:t>
      </w:r>
      <w:r w:rsidRPr="00A8204B">
        <w:rPr>
          <w:rFonts w:eastAsia="Calibri" w:hAnsi="Calibri" w:cs="Calibri"/>
          <w:szCs w:val="28"/>
        </w:rPr>
        <w:t xml:space="preserve">omitted from this </w:t>
      </w:r>
      <w:r>
        <w:rPr>
          <w:rFonts w:eastAsia="Calibri" w:hAnsi="Calibri" w:cs="Calibri"/>
          <w:szCs w:val="28"/>
        </w:rPr>
        <w:t>report.</w:t>
      </w:r>
    </w:p>
    <w:p w:rsidR="00A8204B" w:rsidRDefault="00A8204B" w:rsidP="00A8204B">
      <w:pPr>
        <w:ind w:right="45"/>
        <w:rPr>
          <w:rFonts w:eastAsia="Calibri" w:hAnsi="Calibri" w:cs="Calibri"/>
          <w:szCs w:val="28"/>
        </w:rPr>
      </w:pPr>
      <w:r>
        <w:rPr>
          <w:rFonts w:eastAsia="Calibri" w:hAnsi="Calibri" w:cs="Calibri"/>
          <w:szCs w:val="28"/>
        </w:rPr>
        <w:t xml:space="preserve">You can </w:t>
      </w:r>
      <w:r w:rsidR="00FF2998">
        <w:rPr>
          <w:rFonts w:eastAsia="Calibri" w:hAnsi="Calibri" w:cs="Calibri"/>
          <w:szCs w:val="28"/>
        </w:rPr>
        <w:t>download the</w:t>
      </w:r>
      <w:r>
        <w:rPr>
          <w:rFonts w:eastAsia="Calibri" w:hAnsi="Calibri" w:cs="Calibri"/>
          <w:szCs w:val="28"/>
        </w:rPr>
        <w:t xml:space="preserve"> </w:t>
      </w:r>
      <w:r w:rsidR="00FF2998">
        <w:rPr>
          <w:rFonts w:eastAsia="Calibri" w:hAnsi="Calibri" w:cs="Calibri"/>
          <w:szCs w:val="28"/>
        </w:rPr>
        <w:t xml:space="preserve">designed </w:t>
      </w:r>
      <w:r>
        <w:rPr>
          <w:rFonts w:eastAsia="Calibri" w:hAnsi="Calibri" w:cs="Calibri"/>
          <w:szCs w:val="28"/>
        </w:rPr>
        <w:t>PDF version</w:t>
      </w:r>
      <w:r w:rsidR="00FF2998">
        <w:rPr>
          <w:rFonts w:eastAsia="Calibri" w:hAnsi="Calibri" w:cs="Calibri"/>
          <w:szCs w:val="28"/>
        </w:rPr>
        <w:t xml:space="preserve"> from the </w:t>
      </w:r>
      <w:hyperlink r:id="rId12" w:history="1">
        <w:r w:rsidR="00FF2998" w:rsidRPr="00FF2998">
          <w:rPr>
            <w:rStyle w:val="Hyperlink"/>
            <w:rFonts w:eastAsia="Calibri" w:hAnsi="Calibri" w:cs="Calibri"/>
            <w:szCs w:val="28"/>
          </w:rPr>
          <w:t>Portfolio Regulation Reform web page</w:t>
        </w:r>
      </w:hyperlink>
      <w:r w:rsidR="00FF2998">
        <w:rPr>
          <w:rFonts w:eastAsia="Calibri" w:hAnsi="Calibri" w:cs="Calibri"/>
          <w:szCs w:val="28"/>
        </w:rPr>
        <w:t>.</w:t>
      </w:r>
    </w:p>
    <w:p w:rsidR="00A8204B" w:rsidRDefault="00A8204B" w:rsidP="00A8204B">
      <w:pPr>
        <w:ind w:right="45"/>
        <w:rPr>
          <w:rFonts w:eastAsia="Calibri" w:hAnsi="Calibri" w:cs="Calibri"/>
          <w:szCs w:val="28"/>
        </w:rPr>
      </w:pPr>
      <w:r w:rsidRPr="00A8204B">
        <w:rPr>
          <w:rFonts w:eastAsia="Calibri" w:hAnsi="Calibri" w:cs="Calibri"/>
          <w:szCs w:val="28"/>
        </w:rPr>
        <w:t xml:space="preserve">If you have trouble accessing </w:t>
      </w:r>
      <w:r>
        <w:rPr>
          <w:rFonts w:eastAsia="Calibri" w:hAnsi="Calibri" w:cs="Calibri"/>
          <w:szCs w:val="28"/>
        </w:rPr>
        <w:t xml:space="preserve">information within this document please email </w:t>
      </w:r>
      <w:hyperlink r:id="rId13" w:history="1">
        <w:r w:rsidRPr="00763BED">
          <w:rPr>
            <w:rStyle w:val="Hyperlink"/>
            <w:rFonts w:eastAsia="Calibri" w:hAnsi="Calibri" w:cs="Calibri"/>
            <w:szCs w:val="28"/>
          </w:rPr>
          <w:t>deregulation@industry.gov.au</w:t>
        </w:r>
      </w:hyperlink>
      <w:r w:rsidRPr="00A8204B">
        <w:rPr>
          <w:rFonts w:eastAsia="Calibri" w:hAnsi="Calibri" w:cs="Calibri"/>
          <w:szCs w:val="28"/>
        </w:rPr>
        <w:t>.</w:t>
      </w:r>
    </w:p>
    <w:p w:rsidR="00E46BBC" w:rsidRDefault="00E46BBC" w:rsidP="000908D2"/>
    <w:p w:rsidR="000C7648" w:rsidRPr="000908D2" w:rsidRDefault="000C7648" w:rsidP="000908D2">
      <w:pPr>
        <w:sectPr w:rsidR="000C7648" w:rsidRPr="000908D2" w:rsidSect="00FF2998">
          <w:type w:val="continuous"/>
          <w:pgSz w:w="11910" w:h="16840" w:code="9"/>
          <w:pgMar w:top="1134" w:right="1440" w:bottom="1134" w:left="1440" w:header="720" w:footer="720" w:gutter="0"/>
          <w:cols w:space="720"/>
          <w:titlePg/>
          <w:docGrid w:linePitch="299"/>
        </w:sectPr>
      </w:pPr>
    </w:p>
    <w:p w:rsidR="00A50DA3" w:rsidRPr="00A50DA3" w:rsidRDefault="00822AD3" w:rsidP="00A50DA3">
      <w:pPr>
        <w:pStyle w:val="Heading1"/>
        <w:ind w:right="45"/>
        <w:rPr>
          <w:noProof/>
          <w:sz w:val="46"/>
        </w:rPr>
      </w:pPr>
      <w:bookmarkStart w:id="5" w:name="_Toc414449037"/>
      <w:bookmarkStart w:id="6" w:name="_Toc414449094"/>
      <w:bookmarkStart w:id="7" w:name="_Toc414449228"/>
      <w:bookmarkStart w:id="8" w:name="_Toc414449404"/>
      <w:r w:rsidRPr="00DD6581">
        <w:lastRenderedPageBreak/>
        <w:t>Contents</w:t>
      </w:r>
      <w:bookmarkEnd w:id="5"/>
      <w:bookmarkEnd w:id="6"/>
      <w:bookmarkEnd w:id="7"/>
      <w:bookmarkEnd w:id="8"/>
      <w:r w:rsidR="00A50DA3">
        <w:fldChar w:fldCharType="begin"/>
      </w:r>
      <w:r w:rsidR="00A50DA3">
        <w:instrText xml:space="preserve"> TOC \o "1-3" \h \z \u </w:instrText>
      </w:r>
      <w:r w:rsidR="00A50DA3">
        <w:fldChar w:fldCharType="separate"/>
      </w:r>
    </w:p>
    <w:p w:rsidR="00A50DA3" w:rsidRDefault="000E0416">
      <w:pPr>
        <w:pStyle w:val="TOC1"/>
        <w:tabs>
          <w:tab w:val="right" w:leader="dot" w:pos="9020"/>
        </w:tabs>
        <w:rPr>
          <w:rFonts w:asciiTheme="minorHAnsi" w:eastAsiaTheme="minorEastAsia" w:hAnsiTheme="minorHAnsi" w:cstheme="minorBidi"/>
          <w:b w:val="0"/>
          <w:bCs w:val="0"/>
          <w:noProof/>
          <w:color w:val="auto"/>
          <w:sz w:val="22"/>
          <w:szCs w:val="22"/>
          <w:lang w:val="en-AU" w:eastAsia="en-AU"/>
        </w:rPr>
      </w:pPr>
      <w:hyperlink w:anchor="_Toc414449405" w:history="1">
        <w:r w:rsidR="00A50DA3" w:rsidRPr="00815812">
          <w:rPr>
            <w:rStyle w:val="Hyperlink"/>
            <w:noProof/>
            <w:spacing w:val="-12"/>
          </w:rPr>
          <w:t>F</w:t>
        </w:r>
        <w:r w:rsidR="00A50DA3" w:rsidRPr="00815812">
          <w:rPr>
            <w:rStyle w:val="Hyperlink"/>
            <w:noProof/>
          </w:rPr>
          <w:t>or</w:t>
        </w:r>
        <w:r w:rsidR="00A50DA3" w:rsidRPr="00815812">
          <w:rPr>
            <w:rStyle w:val="Hyperlink"/>
            <w:noProof/>
            <w:spacing w:val="-14"/>
          </w:rPr>
          <w:t>e</w:t>
        </w:r>
        <w:r w:rsidR="00A50DA3" w:rsidRPr="00815812">
          <w:rPr>
            <w:rStyle w:val="Hyperlink"/>
            <w:noProof/>
          </w:rPr>
          <w:t>word</w:t>
        </w:r>
        <w:r w:rsidR="00A50DA3">
          <w:rPr>
            <w:noProof/>
            <w:webHidden/>
          </w:rPr>
          <w:tab/>
        </w:r>
        <w:r w:rsidR="00A50DA3">
          <w:rPr>
            <w:noProof/>
            <w:webHidden/>
          </w:rPr>
          <w:fldChar w:fldCharType="begin"/>
        </w:r>
        <w:r w:rsidR="00A50DA3">
          <w:rPr>
            <w:noProof/>
            <w:webHidden/>
          </w:rPr>
          <w:instrText xml:space="preserve"> PAGEREF _Toc414449405 \h </w:instrText>
        </w:r>
        <w:r w:rsidR="00A50DA3">
          <w:rPr>
            <w:noProof/>
            <w:webHidden/>
          </w:rPr>
        </w:r>
        <w:r w:rsidR="00A50DA3">
          <w:rPr>
            <w:noProof/>
            <w:webHidden/>
          </w:rPr>
          <w:fldChar w:fldCharType="separate"/>
        </w:r>
        <w:r w:rsidR="00A50DA3">
          <w:rPr>
            <w:noProof/>
            <w:webHidden/>
          </w:rPr>
          <w:t>3</w:t>
        </w:r>
        <w:r w:rsidR="00A50DA3">
          <w:rPr>
            <w:noProof/>
            <w:webHidden/>
          </w:rPr>
          <w:fldChar w:fldCharType="end"/>
        </w:r>
      </w:hyperlink>
    </w:p>
    <w:p w:rsidR="00A50DA3" w:rsidRDefault="000E0416">
      <w:pPr>
        <w:pStyle w:val="TOC1"/>
        <w:tabs>
          <w:tab w:val="right" w:leader="dot" w:pos="9020"/>
        </w:tabs>
        <w:rPr>
          <w:rFonts w:asciiTheme="minorHAnsi" w:eastAsiaTheme="minorEastAsia" w:hAnsiTheme="minorHAnsi" w:cstheme="minorBidi"/>
          <w:b w:val="0"/>
          <w:bCs w:val="0"/>
          <w:noProof/>
          <w:color w:val="auto"/>
          <w:sz w:val="22"/>
          <w:szCs w:val="22"/>
          <w:lang w:val="en-AU" w:eastAsia="en-AU"/>
        </w:rPr>
      </w:pPr>
      <w:hyperlink w:anchor="_Toc414449406" w:history="1">
        <w:r w:rsidR="00A50DA3" w:rsidRPr="00815812">
          <w:rPr>
            <w:rStyle w:val="Hyperlink"/>
            <w:noProof/>
            <w:spacing w:val="-17"/>
            <w:w w:val="110"/>
          </w:rPr>
          <w:t>I</w:t>
        </w:r>
        <w:r w:rsidR="00A50DA3" w:rsidRPr="00815812">
          <w:rPr>
            <w:rStyle w:val="Hyperlink"/>
            <w:noProof/>
            <w:spacing w:val="-12"/>
            <w:w w:val="110"/>
          </w:rPr>
          <w:t>n</w:t>
        </w:r>
        <w:r w:rsidR="00A50DA3" w:rsidRPr="00815812">
          <w:rPr>
            <w:rStyle w:val="Hyperlink"/>
            <w:noProof/>
            <w:w w:val="110"/>
          </w:rPr>
          <w:t>trod</w:t>
        </w:r>
        <w:r w:rsidR="00A50DA3" w:rsidRPr="00815812">
          <w:rPr>
            <w:rStyle w:val="Hyperlink"/>
            <w:noProof/>
            <w:spacing w:val="-12"/>
            <w:w w:val="110"/>
          </w:rPr>
          <w:t>u</w:t>
        </w:r>
        <w:r w:rsidR="00A50DA3" w:rsidRPr="00815812">
          <w:rPr>
            <w:rStyle w:val="Hyperlink"/>
            <w:noProof/>
            <w:spacing w:val="-10"/>
            <w:w w:val="110"/>
          </w:rPr>
          <w:t>c</w:t>
        </w:r>
        <w:r w:rsidR="00A50DA3" w:rsidRPr="00815812">
          <w:rPr>
            <w:rStyle w:val="Hyperlink"/>
            <w:noProof/>
            <w:w w:val="110"/>
          </w:rPr>
          <w:t>t</w:t>
        </w:r>
        <w:r w:rsidR="00A50DA3" w:rsidRPr="00815812">
          <w:rPr>
            <w:rStyle w:val="Hyperlink"/>
            <w:noProof/>
            <w:spacing w:val="-12"/>
            <w:w w:val="110"/>
          </w:rPr>
          <w:t>i</w:t>
        </w:r>
        <w:r w:rsidR="00A50DA3" w:rsidRPr="00815812">
          <w:rPr>
            <w:rStyle w:val="Hyperlink"/>
            <w:noProof/>
            <w:w w:val="110"/>
          </w:rPr>
          <w:t>on</w:t>
        </w:r>
        <w:r w:rsidR="00A50DA3">
          <w:rPr>
            <w:noProof/>
            <w:webHidden/>
          </w:rPr>
          <w:tab/>
        </w:r>
        <w:r w:rsidR="00A50DA3">
          <w:rPr>
            <w:noProof/>
            <w:webHidden/>
          </w:rPr>
          <w:fldChar w:fldCharType="begin"/>
        </w:r>
        <w:r w:rsidR="00A50DA3">
          <w:rPr>
            <w:noProof/>
            <w:webHidden/>
          </w:rPr>
          <w:instrText xml:space="preserve"> PAGEREF _Toc414449406 \h </w:instrText>
        </w:r>
        <w:r w:rsidR="00A50DA3">
          <w:rPr>
            <w:noProof/>
            <w:webHidden/>
          </w:rPr>
        </w:r>
        <w:r w:rsidR="00A50DA3">
          <w:rPr>
            <w:noProof/>
            <w:webHidden/>
          </w:rPr>
          <w:fldChar w:fldCharType="separate"/>
        </w:r>
        <w:r w:rsidR="00A50DA3">
          <w:rPr>
            <w:noProof/>
            <w:webHidden/>
          </w:rPr>
          <w:t>4</w:t>
        </w:r>
        <w:r w:rsidR="00A50DA3">
          <w:rPr>
            <w:noProof/>
            <w:webHidden/>
          </w:rPr>
          <w:fldChar w:fldCharType="end"/>
        </w:r>
      </w:hyperlink>
    </w:p>
    <w:p w:rsidR="00A50DA3" w:rsidRDefault="000E0416">
      <w:pPr>
        <w:pStyle w:val="TOC1"/>
        <w:tabs>
          <w:tab w:val="right" w:leader="dot" w:pos="9020"/>
        </w:tabs>
        <w:rPr>
          <w:rFonts w:asciiTheme="minorHAnsi" w:eastAsiaTheme="minorEastAsia" w:hAnsiTheme="minorHAnsi" w:cstheme="minorBidi"/>
          <w:b w:val="0"/>
          <w:bCs w:val="0"/>
          <w:noProof/>
          <w:color w:val="auto"/>
          <w:sz w:val="22"/>
          <w:szCs w:val="22"/>
          <w:lang w:val="en-AU" w:eastAsia="en-AU"/>
        </w:rPr>
      </w:pPr>
      <w:hyperlink w:anchor="_Toc414449407" w:history="1">
        <w:r w:rsidR="00A50DA3" w:rsidRPr="00815812">
          <w:rPr>
            <w:rStyle w:val="Hyperlink"/>
            <w:noProof/>
            <w:spacing w:val="-3"/>
            <w:w w:val="105"/>
          </w:rPr>
          <w:t>P</w:t>
        </w:r>
        <w:r w:rsidR="00A50DA3" w:rsidRPr="00815812">
          <w:rPr>
            <w:rStyle w:val="Hyperlink"/>
            <w:noProof/>
            <w:spacing w:val="-2"/>
            <w:w w:val="105"/>
          </w:rPr>
          <w:t>ortfolio</w:t>
        </w:r>
        <w:r w:rsidR="00A50DA3" w:rsidRPr="00815812">
          <w:rPr>
            <w:rStyle w:val="Hyperlink"/>
            <w:noProof/>
            <w:spacing w:val="62"/>
            <w:w w:val="105"/>
          </w:rPr>
          <w:t xml:space="preserve"> </w:t>
        </w:r>
        <w:r w:rsidR="00A50DA3" w:rsidRPr="00815812">
          <w:rPr>
            <w:rStyle w:val="Hyperlink"/>
            <w:noProof/>
            <w:w w:val="105"/>
          </w:rPr>
          <w:t>achievements</w:t>
        </w:r>
        <w:r w:rsidR="00A50DA3">
          <w:rPr>
            <w:noProof/>
            <w:webHidden/>
          </w:rPr>
          <w:tab/>
        </w:r>
        <w:r w:rsidR="00A50DA3">
          <w:rPr>
            <w:noProof/>
            <w:webHidden/>
          </w:rPr>
          <w:fldChar w:fldCharType="begin"/>
        </w:r>
        <w:r w:rsidR="00A50DA3">
          <w:rPr>
            <w:noProof/>
            <w:webHidden/>
          </w:rPr>
          <w:instrText xml:space="preserve"> PAGEREF _Toc414449407 \h </w:instrText>
        </w:r>
        <w:r w:rsidR="00A50DA3">
          <w:rPr>
            <w:noProof/>
            <w:webHidden/>
          </w:rPr>
        </w:r>
        <w:r w:rsidR="00A50DA3">
          <w:rPr>
            <w:noProof/>
            <w:webHidden/>
          </w:rPr>
          <w:fldChar w:fldCharType="separate"/>
        </w:r>
        <w:r w:rsidR="00A50DA3">
          <w:rPr>
            <w:noProof/>
            <w:webHidden/>
          </w:rPr>
          <w:t>5</w:t>
        </w:r>
        <w:r w:rsidR="00A50DA3">
          <w:rPr>
            <w:noProof/>
            <w:webHidden/>
          </w:rPr>
          <w:fldChar w:fldCharType="end"/>
        </w:r>
      </w:hyperlink>
    </w:p>
    <w:p w:rsidR="00A50DA3" w:rsidRDefault="000E0416">
      <w:pPr>
        <w:pStyle w:val="TOC1"/>
        <w:tabs>
          <w:tab w:val="right" w:leader="dot" w:pos="9020"/>
        </w:tabs>
        <w:rPr>
          <w:rFonts w:asciiTheme="minorHAnsi" w:eastAsiaTheme="minorEastAsia" w:hAnsiTheme="minorHAnsi" w:cstheme="minorBidi"/>
          <w:b w:val="0"/>
          <w:bCs w:val="0"/>
          <w:noProof/>
          <w:color w:val="auto"/>
          <w:sz w:val="22"/>
          <w:szCs w:val="22"/>
          <w:lang w:val="en-AU" w:eastAsia="en-AU"/>
        </w:rPr>
      </w:pPr>
      <w:hyperlink w:anchor="_Toc414449416" w:history="1">
        <w:r w:rsidR="00A50DA3" w:rsidRPr="00815812">
          <w:rPr>
            <w:rStyle w:val="Hyperlink"/>
            <w:noProof/>
          </w:rPr>
          <w:t>Case Study – Streamlining environmental approvals for offshore petroleum activities</w:t>
        </w:r>
        <w:r w:rsidR="00A50DA3">
          <w:rPr>
            <w:noProof/>
            <w:webHidden/>
          </w:rPr>
          <w:tab/>
        </w:r>
        <w:r w:rsidR="00A50DA3">
          <w:rPr>
            <w:noProof/>
            <w:webHidden/>
          </w:rPr>
          <w:fldChar w:fldCharType="begin"/>
        </w:r>
        <w:r w:rsidR="00A50DA3">
          <w:rPr>
            <w:noProof/>
            <w:webHidden/>
          </w:rPr>
          <w:instrText xml:space="preserve"> PAGEREF _Toc414449416 \h </w:instrText>
        </w:r>
        <w:r w:rsidR="00A50DA3">
          <w:rPr>
            <w:noProof/>
            <w:webHidden/>
          </w:rPr>
        </w:r>
        <w:r w:rsidR="00A50DA3">
          <w:rPr>
            <w:noProof/>
            <w:webHidden/>
          </w:rPr>
          <w:fldChar w:fldCharType="separate"/>
        </w:r>
        <w:r w:rsidR="00A50DA3">
          <w:rPr>
            <w:noProof/>
            <w:webHidden/>
          </w:rPr>
          <w:t>7</w:t>
        </w:r>
        <w:r w:rsidR="00A50DA3">
          <w:rPr>
            <w:noProof/>
            <w:webHidden/>
          </w:rPr>
          <w:fldChar w:fldCharType="end"/>
        </w:r>
      </w:hyperlink>
    </w:p>
    <w:p w:rsidR="00A50DA3" w:rsidRDefault="000E0416">
      <w:pPr>
        <w:pStyle w:val="TOC1"/>
        <w:tabs>
          <w:tab w:val="right" w:leader="dot" w:pos="9020"/>
        </w:tabs>
        <w:rPr>
          <w:rFonts w:asciiTheme="minorHAnsi" w:eastAsiaTheme="minorEastAsia" w:hAnsiTheme="minorHAnsi" w:cstheme="minorBidi"/>
          <w:b w:val="0"/>
          <w:bCs w:val="0"/>
          <w:noProof/>
          <w:color w:val="auto"/>
          <w:sz w:val="22"/>
          <w:szCs w:val="22"/>
          <w:lang w:val="en-AU" w:eastAsia="en-AU"/>
        </w:rPr>
      </w:pPr>
      <w:hyperlink w:anchor="_Toc414449417" w:history="1">
        <w:r w:rsidR="00A50DA3" w:rsidRPr="00815812">
          <w:rPr>
            <w:rStyle w:val="Hyperlink"/>
            <w:noProof/>
            <w:w w:val="105"/>
          </w:rPr>
          <w:t>Und</w:t>
        </w:r>
        <w:r w:rsidR="00A50DA3" w:rsidRPr="00815812">
          <w:rPr>
            <w:rStyle w:val="Hyperlink"/>
            <w:noProof/>
            <w:spacing w:val="-1"/>
            <w:w w:val="105"/>
          </w:rPr>
          <w:t>erstanding</w:t>
        </w:r>
        <w:r w:rsidR="00A50DA3" w:rsidRPr="00815812">
          <w:rPr>
            <w:rStyle w:val="Hyperlink"/>
            <w:noProof/>
            <w:spacing w:val="-14"/>
            <w:w w:val="105"/>
          </w:rPr>
          <w:t xml:space="preserve"> </w:t>
        </w:r>
        <w:r w:rsidR="00A50DA3" w:rsidRPr="00815812">
          <w:rPr>
            <w:rStyle w:val="Hyperlink"/>
            <w:noProof/>
            <w:w w:val="105"/>
          </w:rPr>
          <w:t>the</w:t>
        </w:r>
        <w:r w:rsidR="00A50DA3" w:rsidRPr="00815812">
          <w:rPr>
            <w:rStyle w:val="Hyperlink"/>
            <w:noProof/>
            <w:spacing w:val="-13"/>
            <w:w w:val="105"/>
          </w:rPr>
          <w:t xml:space="preserve"> </w:t>
        </w:r>
        <w:r w:rsidR="00A50DA3" w:rsidRPr="00815812">
          <w:rPr>
            <w:rStyle w:val="Hyperlink"/>
            <w:noProof/>
            <w:spacing w:val="-3"/>
            <w:w w:val="105"/>
          </w:rPr>
          <w:t>r</w:t>
        </w:r>
        <w:r w:rsidR="00A50DA3" w:rsidRPr="00815812">
          <w:rPr>
            <w:rStyle w:val="Hyperlink"/>
            <w:noProof/>
            <w:w w:val="105"/>
          </w:rPr>
          <w:t>egulatory</w:t>
        </w:r>
        <w:r w:rsidR="00A50DA3" w:rsidRPr="00815812">
          <w:rPr>
            <w:rStyle w:val="Hyperlink"/>
            <w:noProof/>
            <w:spacing w:val="-14"/>
            <w:w w:val="105"/>
          </w:rPr>
          <w:t xml:space="preserve"> </w:t>
        </w:r>
        <w:r w:rsidR="00A50DA3" w:rsidRPr="00815812">
          <w:rPr>
            <w:rStyle w:val="Hyperlink"/>
            <w:noProof/>
            <w:w w:val="105"/>
          </w:rPr>
          <w:t>foo</w:t>
        </w:r>
        <w:r w:rsidR="00A50DA3" w:rsidRPr="00815812">
          <w:rPr>
            <w:rStyle w:val="Hyperlink"/>
            <w:noProof/>
            <w:spacing w:val="-3"/>
            <w:w w:val="105"/>
          </w:rPr>
          <w:t>tprint</w:t>
        </w:r>
        <w:r w:rsidR="00A50DA3">
          <w:rPr>
            <w:noProof/>
            <w:webHidden/>
          </w:rPr>
          <w:tab/>
        </w:r>
        <w:r w:rsidR="00A50DA3">
          <w:rPr>
            <w:noProof/>
            <w:webHidden/>
          </w:rPr>
          <w:fldChar w:fldCharType="begin"/>
        </w:r>
        <w:r w:rsidR="00A50DA3">
          <w:rPr>
            <w:noProof/>
            <w:webHidden/>
          </w:rPr>
          <w:instrText xml:space="preserve"> PAGEREF _Toc414449417 \h </w:instrText>
        </w:r>
        <w:r w:rsidR="00A50DA3">
          <w:rPr>
            <w:noProof/>
            <w:webHidden/>
          </w:rPr>
        </w:r>
        <w:r w:rsidR="00A50DA3">
          <w:rPr>
            <w:noProof/>
            <w:webHidden/>
          </w:rPr>
          <w:fldChar w:fldCharType="separate"/>
        </w:r>
        <w:r w:rsidR="00A50DA3">
          <w:rPr>
            <w:noProof/>
            <w:webHidden/>
          </w:rPr>
          <w:t>8</w:t>
        </w:r>
        <w:r w:rsidR="00A50DA3">
          <w:rPr>
            <w:noProof/>
            <w:webHidden/>
          </w:rPr>
          <w:fldChar w:fldCharType="end"/>
        </w:r>
      </w:hyperlink>
    </w:p>
    <w:p w:rsidR="00A50DA3" w:rsidRDefault="000E0416">
      <w:pPr>
        <w:pStyle w:val="TOC2"/>
        <w:tabs>
          <w:tab w:val="right" w:leader="dot" w:pos="9020"/>
        </w:tabs>
        <w:rPr>
          <w:rFonts w:asciiTheme="minorHAnsi" w:eastAsiaTheme="minorEastAsia" w:hAnsiTheme="minorHAnsi" w:cstheme="minorBidi"/>
          <w:noProof/>
          <w:color w:val="auto"/>
          <w:sz w:val="22"/>
          <w:szCs w:val="22"/>
          <w:lang w:val="en-AU" w:eastAsia="en-AU"/>
        </w:rPr>
      </w:pPr>
      <w:hyperlink w:anchor="_Toc414449418" w:history="1">
        <w:r w:rsidR="00A50DA3" w:rsidRPr="00815812">
          <w:rPr>
            <w:rStyle w:val="Hyperlink"/>
            <w:noProof/>
            <w:spacing w:val="-2"/>
            <w:w w:val="105"/>
          </w:rPr>
          <w:t>Eng</w:t>
        </w:r>
        <w:r w:rsidR="00A50DA3" w:rsidRPr="00815812">
          <w:rPr>
            <w:rStyle w:val="Hyperlink"/>
            <w:noProof/>
            <w:w w:val="105"/>
          </w:rPr>
          <w:t>aging</w:t>
        </w:r>
        <w:r w:rsidR="00A50DA3" w:rsidRPr="00815812">
          <w:rPr>
            <w:rStyle w:val="Hyperlink"/>
            <w:noProof/>
            <w:spacing w:val="-16"/>
            <w:w w:val="105"/>
          </w:rPr>
          <w:t xml:space="preserve"> </w:t>
        </w:r>
        <w:r w:rsidR="00A50DA3" w:rsidRPr="00815812">
          <w:rPr>
            <w:rStyle w:val="Hyperlink"/>
            <w:noProof/>
            <w:w w:val="105"/>
          </w:rPr>
          <w:t>with</w:t>
        </w:r>
        <w:r w:rsidR="00A50DA3" w:rsidRPr="00815812">
          <w:rPr>
            <w:rStyle w:val="Hyperlink"/>
            <w:noProof/>
            <w:spacing w:val="-15"/>
            <w:w w:val="105"/>
          </w:rPr>
          <w:t xml:space="preserve"> </w:t>
        </w:r>
        <w:r w:rsidR="00A50DA3" w:rsidRPr="00815812">
          <w:rPr>
            <w:rStyle w:val="Hyperlink"/>
            <w:noProof/>
            <w:w w:val="105"/>
          </w:rPr>
          <w:t>portfolio</w:t>
        </w:r>
        <w:r w:rsidR="00A50DA3" w:rsidRPr="00815812">
          <w:rPr>
            <w:rStyle w:val="Hyperlink"/>
            <w:noProof/>
            <w:spacing w:val="-15"/>
            <w:w w:val="105"/>
          </w:rPr>
          <w:t xml:space="preserve"> </w:t>
        </w:r>
        <w:r w:rsidR="00A50DA3" w:rsidRPr="00815812">
          <w:rPr>
            <w:rStyle w:val="Hyperlink"/>
            <w:noProof/>
            <w:spacing w:val="-3"/>
            <w:w w:val="105"/>
          </w:rPr>
          <w:t>r</w:t>
        </w:r>
        <w:r w:rsidR="00A50DA3" w:rsidRPr="00815812">
          <w:rPr>
            <w:rStyle w:val="Hyperlink"/>
            <w:noProof/>
            <w:spacing w:val="-2"/>
            <w:w w:val="105"/>
          </w:rPr>
          <w:t>egulators</w:t>
        </w:r>
        <w:r w:rsidR="00A50DA3">
          <w:rPr>
            <w:noProof/>
            <w:webHidden/>
          </w:rPr>
          <w:tab/>
        </w:r>
        <w:r w:rsidR="00A50DA3">
          <w:rPr>
            <w:noProof/>
            <w:webHidden/>
          </w:rPr>
          <w:fldChar w:fldCharType="begin"/>
        </w:r>
        <w:r w:rsidR="00A50DA3">
          <w:rPr>
            <w:noProof/>
            <w:webHidden/>
          </w:rPr>
          <w:instrText xml:space="preserve"> PAGEREF _Toc414449418 \h </w:instrText>
        </w:r>
        <w:r w:rsidR="00A50DA3">
          <w:rPr>
            <w:noProof/>
            <w:webHidden/>
          </w:rPr>
        </w:r>
        <w:r w:rsidR="00A50DA3">
          <w:rPr>
            <w:noProof/>
            <w:webHidden/>
          </w:rPr>
          <w:fldChar w:fldCharType="separate"/>
        </w:r>
        <w:r w:rsidR="00A50DA3">
          <w:rPr>
            <w:noProof/>
            <w:webHidden/>
          </w:rPr>
          <w:t>8</w:t>
        </w:r>
        <w:r w:rsidR="00A50DA3">
          <w:rPr>
            <w:noProof/>
            <w:webHidden/>
          </w:rPr>
          <w:fldChar w:fldCharType="end"/>
        </w:r>
      </w:hyperlink>
    </w:p>
    <w:p w:rsidR="00A50DA3" w:rsidRDefault="000E0416">
      <w:pPr>
        <w:pStyle w:val="TOC2"/>
        <w:tabs>
          <w:tab w:val="right" w:leader="dot" w:pos="9020"/>
        </w:tabs>
        <w:rPr>
          <w:rFonts w:asciiTheme="minorHAnsi" w:eastAsiaTheme="minorEastAsia" w:hAnsiTheme="minorHAnsi" w:cstheme="minorBidi"/>
          <w:noProof/>
          <w:color w:val="auto"/>
          <w:sz w:val="22"/>
          <w:szCs w:val="22"/>
          <w:lang w:val="en-AU" w:eastAsia="en-AU"/>
        </w:rPr>
      </w:pPr>
      <w:hyperlink w:anchor="_Toc414449419" w:history="1">
        <w:r w:rsidR="00A50DA3" w:rsidRPr="00815812">
          <w:rPr>
            <w:rStyle w:val="Hyperlink"/>
            <w:noProof/>
            <w:spacing w:val="-3"/>
            <w:w w:val="110"/>
          </w:rPr>
          <w:t>Coll</w:t>
        </w:r>
        <w:r w:rsidR="00A50DA3" w:rsidRPr="00815812">
          <w:rPr>
            <w:rStyle w:val="Hyperlink"/>
            <w:noProof/>
            <w:w w:val="110"/>
          </w:rPr>
          <w:t>aboration</w:t>
        </w:r>
        <w:r w:rsidR="00A50DA3">
          <w:rPr>
            <w:noProof/>
            <w:webHidden/>
          </w:rPr>
          <w:tab/>
        </w:r>
        <w:r w:rsidR="00A50DA3">
          <w:rPr>
            <w:noProof/>
            <w:webHidden/>
          </w:rPr>
          <w:fldChar w:fldCharType="begin"/>
        </w:r>
        <w:r w:rsidR="00A50DA3">
          <w:rPr>
            <w:noProof/>
            <w:webHidden/>
          </w:rPr>
          <w:instrText xml:space="preserve"> PAGEREF _Toc414449419 \h </w:instrText>
        </w:r>
        <w:r w:rsidR="00A50DA3">
          <w:rPr>
            <w:noProof/>
            <w:webHidden/>
          </w:rPr>
        </w:r>
        <w:r w:rsidR="00A50DA3">
          <w:rPr>
            <w:noProof/>
            <w:webHidden/>
          </w:rPr>
          <w:fldChar w:fldCharType="separate"/>
        </w:r>
        <w:r w:rsidR="00A50DA3">
          <w:rPr>
            <w:noProof/>
            <w:webHidden/>
          </w:rPr>
          <w:t>9</w:t>
        </w:r>
        <w:r w:rsidR="00A50DA3">
          <w:rPr>
            <w:noProof/>
            <w:webHidden/>
          </w:rPr>
          <w:fldChar w:fldCharType="end"/>
        </w:r>
      </w:hyperlink>
    </w:p>
    <w:p w:rsidR="00A50DA3" w:rsidRDefault="000E0416">
      <w:pPr>
        <w:pStyle w:val="TOC3"/>
        <w:tabs>
          <w:tab w:val="right" w:leader="dot" w:pos="9020"/>
        </w:tabs>
        <w:rPr>
          <w:rFonts w:asciiTheme="minorHAnsi" w:eastAsiaTheme="minorEastAsia" w:hAnsiTheme="minorHAnsi" w:cstheme="minorBidi"/>
          <w:noProof/>
          <w:color w:val="auto"/>
          <w:sz w:val="22"/>
          <w:szCs w:val="22"/>
          <w:lang w:val="en-AU" w:eastAsia="en-AU"/>
        </w:rPr>
      </w:pPr>
      <w:hyperlink w:anchor="_Toc414449420" w:history="1">
        <w:r w:rsidR="00A50DA3" w:rsidRPr="00815812">
          <w:rPr>
            <w:rStyle w:val="Hyperlink"/>
            <w:noProof/>
          </w:rPr>
          <w:t>Inter-jurisdictional reforms</w:t>
        </w:r>
        <w:r w:rsidR="00A50DA3">
          <w:rPr>
            <w:noProof/>
            <w:webHidden/>
          </w:rPr>
          <w:tab/>
        </w:r>
        <w:r w:rsidR="00A50DA3">
          <w:rPr>
            <w:noProof/>
            <w:webHidden/>
          </w:rPr>
          <w:fldChar w:fldCharType="begin"/>
        </w:r>
        <w:r w:rsidR="00A50DA3">
          <w:rPr>
            <w:noProof/>
            <w:webHidden/>
          </w:rPr>
          <w:instrText xml:space="preserve"> PAGEREF _Toc414449420 \h </w:instrText>
        </w:r>
        <w:r w:rsidR="00A50DA3">
          <w:rPr>
            <w:noProof/>
            <w:webHidden/>
          </w:rPr>
        </w:r>
        <w:r w:rsidR="00A50DA3">
          <w:rPr>
            <w:noProof/>
            <w:webHidden/>
          </w:rPr>
          <w:fldChar w:fldCharType="separate"/>
        </w:r>
        <w:r w:rsidR="00A50DA3">
          <w:rPr>
            <w:noProof/>
            <w:webHidden/>
          </w:rPr>
          <w:t>9</w:t>
        </w:r>
        <w:r w:rsidR="00A50DA3">
          <w:rPr>
            <w:noProof/>
            <w:webHidden/>
          </w:rPr>
          <w:fldChar w:fldCharType="end"/>
        </w:r>
      </w:hyperlink>
    </w:p>
    <w:p w:rsidR="00A50DA3" w:rsidRDefault="000E0416">
      <w:pPr>
        <w:pStyle w:val="TOC3"/>
        <w:tabs>
          <w:tab w:val="right" w:leader="dot" w:pos="9020"/>
        </w:tabs>
        <w:rPr>
          <w:rFonts w:asciiTheme="minorHAnsi" w:eastAsiaTheme="minorEastAsia" w:hAnsiTheme="minorHAnsi" w:cstheme="minorBidi"/>
          <w:noProof/>
          <w:color w:val="auto"/>
          <w:sz w:val="22"/>
          <w:szCs w:val="22"/>
          <w:lang w:val="en-AU" w:eastAsia="en-AU"/>
        </w:rPr>
      </w:pPr>
      <w:hyperlink w:anchor="_Toc414449421" w:history="1">
        <w:r w:rsidR="00A50DA3" w:rsidRPr="00815812">
          <w:rPr>
            <w:rStyle w:val="Hyperlink"/>
            <w:noProof/>
            <w:spacing w:val="-3"/>
            <w:w w:val="110"/>
          </w:rPr>
          <w:t>Cr</w:t>
        </w:r>
        <w:r w:rsidR="00A50DA3" w:rsidRPr="00815812">
          <w:rPr>
            <w:rStyle w:val="Hyperlink"/>
            <w:noProof/>
            <w:w w:val="110"/>
          </w:rPr>
          <w:t>oss</w:t>
        </w:r>
        <w:r w:rsidR="00A50DA3" w:rsidRPr="00815812">
          <w:rPr>
            <w:rStyle w:val="Hyperlink"/>
            <w:noProof/>
            <w:spacing w:val="-22"/>
            <w:w w:val="110"/>
          </w:rPr>
          <w:t xml:space="preserve"> </w:t>
        </w:r>
        <w:r w:rsidR="00A50DA3" w:rsidRPr="00815812">
          <w:rPr>
            <w:rStyle w:val="Hyperlink"/>
            <w:noProof/>
            <w:spacing w:val="-1"/>
            <w:w w:val="110"/>
          </w:rPr>
          <w:t>portf</w:t>
        </w:r>
        <w:r w:rsidR="00A50DA3" w:rsidRPr="00815812">
          <w:rPr>
            <w:rStyle w:val="Hyperlink"/>
            <w:noProof/>
            <w:w w:val="110"/>
          </w:rPr>
          <w:t>olio</w:t>
        </w:r>
        <w:r w:rsidR="00A50DA3" w:rsidRPr="00815812">
          <w:rPr>
            <w:rStyle w:val="Hyperlink"/>
            <w:noProof/>
            <w:spacing w:val="-22"/>
            <w:w w:val="110"/>
          </w:rPr>
          <w:t xml:space="preserve"> </w:t>
        </w:r>
        <w:r w:rsidR="00A50DA3" w:rsidRPr="00815812">
          <w:rPr>
            <w:rStyle w:val="Hyperlink"/>
            <w:noProof/>
            <w:w w:val="110"/>
          </w:rPr>
          <w:t>r</w:t>
        </w:r>
        <w:r w:rsidR="00A50DA3" w:rsidRPr="00815812">
          <w:rPr>
            <w:rStyle w:val="Hyperlink"/>
            <w:noProof/>
            <w:spacing w:val="-3"/>
            <w:w w:val="110"/>
          </w:rPr>
          <w:t>ef</w:t>
        </w:r>
        <w:r w:rsidR="00A50DA3" w:rsidRPr="00815812">
          <w:rPr>
            <w:rStyle w:val="Hyperlink"/>
            <w:noProof/>
            <w:w w:val="110"/>
          </w:rPr>
          <w:t>orms</w:t>
        </w:r>
        <w:r w:rsidR="00A50DA3">
          <w:rPr>
            <w:noProof/>
            <w:webHidden/>
          </w:rPr>
          <w:tab/>
        </w:r>
        <w:r w:rsidR="00A50DA3">
          <w:rPr>
            <w:noProof/>
            <w:webHidden/>
          </w:rPr>
          <w:fldChar w:fldCharType="begin"/>
        </w:r>
        <w:r w:rsidR="00A50DA3">
          <w:rPr>
            <w:noProof/>
            <w:webHidden/>
          </w:rPr>
          <w:instrText xml:space="preserve"> PAGEREF _Toc414449421 \h </w:instrText>
        </w:r>
        <w:r w:rsidR="00A50DA3">
          <w:rPr>
            <w:noProof/>
            <w:webHidden/>
          </w:rPr>
        </w:r>
        <w:r w:rsidR="00A50DA3">
          <w:rPr>
            <w:noProof/>
            <w:webHidden/>
          </w:rPr>
          <w:fldChar w:fldCharType="separate"/>
        </w:r>
        <w:r w:rsidR="00A50DA3">
          <w:rPr>
            <w:noProof/>
            <w:webHidden/>
          </w:rPr>
          <w:t>10</w:t>
        </w:r>
        <w:r w:rsidR="00A50DA3">
          <w:rPr>
            <w:noProof/>
            <w:webHidden/>
          </w:rPr>
          <w:fldChar w:fldCharType="end"/>
        </w:r>
      </w:hyperlink>
    </w:p>
    <w:p w:rsidR="00A50DA3" w:rsidRDefault="000E0416">
      <w:pPr>
        <w:pStyle w:val="TOC2"/>
        <w:tabs>
          <w:tab w:val="right" w:leader="dot" w:pos="9020"/>
        </w:tabs>
        <w:rPr>
          <w:rFonts w:asciiTheme="minorHAnsi" w:eastAsiaTheme="minorEastAsia" w:hAnsiTheme="minorHAnsi" w:cstheme="minorBidi"/>
          <w:noProof/>
          <w:color w:val="auto"/>
          <w:sz w:val="22"/>
          <w:szCs w:val="22"/>
          <w:lang w:val="en-AU" w:eastAsia="en-AU"/>
        </w:rPr>
      </w:pPr>
      <w:hyperlink w:anchor="_Toc414449423" w:history="1">
        <w:r w:rsidR="00A50DA3" w:rsidRPr="00815812">
          <w:rPr>
            <w:rStyle w:val="Hyperlink"/>
            <w:noProof/>
            <w:spacing w:val="-3"/>
            <w:w w:val="105"/>
          </w:rPr>
          <w:t>E</w:t>
        </w:r>
        <w:r w:rsidR="00A50DA3" w:rsidRPr="00815812">
          <w:rPr>
            <w:rStyle w:val="Hyperlink"/>
            <w:noProof/>
            <w:w w:val="105"/>
          </w:rPr>
          <w:t>nco</w:t>
        </w:r>
        <w:r w:rsidR="00A50DA3" w:rsidRPr="00815812">
          <w:rPr>
            <w:rStyle w:val="Hyperlink"/>
            <w:noProof/>
            <w:spacing w:val="-3"/>
            <w:w w:val="105"/>
          </w:rPr>
          <w:t>ur</w:t>
        </w:r>
        <w:r w:rsidR="00A50DA3" w:rsidRPr="00815812">
          <w:rPr>
            <w:rStyle w:val="Hyperlink"/>
            <w:noProof/>
            <w:w w:val="105"/>
          </w:rPr>
          <w:t>aging</w:t>
        </w:r>
        <w:r w:rsidR="00A50DA3" w:rsidRPr="00815812">
          <w:rPr>
            <w:rStyle w:val="Hyperlink"/>
            <w:noProof/>
            <w:spacing w:val="-38"/>
            <w:w w:val="105"/>
          </w:rPr>
          <w:t xml:space="preserve"> </w:t>
        </w:r>
        <w:r w:rsidR="00A50DA3" w:rsidRPr="00815812">
          <w:rPr>
            <w:rStyle w:val="Hyperlink"/>
            <w:noProof/>
            <w:spacing w:val="-3"/>
            <w:w w:val="105"/>
          </w:rPr>
          <w:t>innov</w:t>
        </w:r>
        <w:r w:rsidR="00A50DA3" w:rsidRPr="00815812">
          <w:rPr>
            <w:rStyle w:val="Hyperlink"/>
            <w:noProof/>
            <w:w w:val="105"/>
          </w:rPr>
          <w:t>ation</w:t>
        </w:r>
        <w:r w:rsidR="00A50DA3">
          <w:rPr>
            <w:noProof/>
            <w:webHidden/>
          </w:rPr>
          <w:tab/>
        </w:r>
        <w:r w:rsidR="00A50DA3">
          <w:rPr>
            <w:noProof/>
            <w:webHidden/>
          </w:rPr>
          <w:fldChar w:fldCharType="begin"/>
        </w:r>
        <w:r w:rsidR="00A50DA3">
          <w:rPr>
            <w:noProof/>
            <w:webHidden/>
          </w:rPr>
          <w:instrText xml:space="preserve"> PAGEREF _Toc414449423 \h </w:instrText>
        </w:r>
        <w:r w:rsidR="00A50DA3">
          <w:rPr>
            <w:noProof/>
            <w:webHidden/>
          </w:rPr>
        </w:r>
        <w:r w:rsidR="00A50DA3">
          <w:rPr>
            <w:noProof/>
            <w:webHidden/>
          </w:rPr>
          <w:fldChar w:fldCharType="separate"/>
        </w:r>
        <w:r w:rsidR="00A50DA3">
          <w:rPr>
            <w:noProof/>
            <w:webHidden/>
          </w:rPr>
          <w:t>11</w:t>
        </w:r>
        <w:r w:rsidR="00A50DA3">
          <w:rPr>
            <w:noProof/>
            <w:webHidden/>
          </w:rPr>
          <w:fldChar w:fldCharType="end"/>
        </w:r>
      </w:hyperlink>
    </w:p>
    <w:p w:rsidR="00A50DA3" w:rsidRDefault="000E0416">
      <w:pPr>
        <w:pStyle w:val="TOC3"/>
        <w:tabs>
          <w:tab w:val="right" w:leader="dot" w:pos="9020"/>
        </w:tabs>
        <w:rPr>
          <w:rFonts w:asciiTheme="minorHAnsi" w:eastAsiaTheme="minorEastAsia" w:hAnsiTheme="minorHAnsi" w:cstheme="minorBidi"/>
          <w:noProof/>
          <w:color w:val="auto"/>
          <w:sz w:val="22"/>
          <w:szCs w:val="22"/>
          <w:lang w:val="en-AU" w:eastAsia="en-AU"/>
        </w:rPr>
      </w:pPr>
      <w:hyperlink w:anchor="_Toc414449424" w:history="1">
        <w:r w:rsidR="00A50DA3" w:rsidRPr="00815812">
          <w:rPr>
            <w:rStyle w:val="Hyperlink"/>
            <w:noProof/>
            <w:spacing w:val="-1"/>
            <w:w w:val="105"/>
          </w:rPr>
          <w:t>Industry</w:t>
        </w:r>
        <w:r w:rsidR="00A50DA3" w:rsidRPr="00815812">
          <w:rPr>
            <w:rStyle w:val="Hyperlink"/>
            <w:noProof/>
            <w:spacing w:val="2"/>
            <w:w w:val="105"/>
          </w:rPr>
          <w:t xml:space="preserve"> </w:t>
        </w:r>
        <w:r w:rsidR="00A50DA3" w:rsidRPr="00815812">
          <w:rPr>
            <w:rStyle w:val="Hyperlink"/>
            <w:noProof/>
            <w:spacing w:val="-3"/>
            <w:w w:val="105"/>
          </w:rPr>
          <w:t>Gro</w:t>
        </w:r>
        <w:r w:rsidR="00A50DA3" w:rsidRPr="00815812">
          <w:rPr>
            <w:rStyle w:val="Hyperlink"/>
            <w:noProof/>
            <w:w w:val="105"/>
          </w:rPr>
          <w:t>wth</w:t>
        </w:r>
        <w:r w:rsidR="00A50DA3" w:rsidRPr="00815812">
          <w:rPr>
            <w:rStyle w:val="Hyperlink"/>
            <w:noProof/>
            <w:spacing w:val="3"/>
            <w:w w:val="105"/>
          </w:rPr>
          <w:t xml:space="preserve"> </w:t>
        </w:r>
        <w:r w:rsidR="00A50DA3" w:rsidRPr="00815812">
          <w:rPr>
            <w:rStyle w:val="Hyperlink"/>
            <w:noProof/>
            <w:spacing w:val="-3"/>
            <w:w w:val="105"/>
          </w:rPr>
          <w:t>C</w:t>
        </w:r>
        <w:r w:rsidR="00A50DA3" w:rsidRPr="00815812">
          <w:rPr>
            <w:rStyle w:val="Hyperlink"/>
            <w:noProof/>
            <w:w w:val="105"/>
          </w:rPr>
          <w:t>entres</w:t>
        </w:r>
        <w:r w:rsidR="00A50DA3">
          <w:rPr>
            <w:noProof/>
            <w:webHidden/>
          </w:rPr>
          <w:tab/>
        </w:r>
        <w:r w:rsidR="00A50DA3">
          <w:rPr>
            <w:noProof/>
            <w:webHidden/>
          </w:rPr>
          <w:fldChar w:fldCharType="begin"/>
        </w:r>
        <w:r w:rsidR="00A50DA3">
          <w:rPr>
            <w:noProof/>
            <w:webHidden/>
          </w:rPr>
          <w:instrText xml:space="preserve"> PAGEREF _Toc414449424 \h </w:instrText>
        </w:r>
        <w:r w:rsidR="00A50DA3">
          <w:rPr>
            <w:noProof/>
            <w:webHidden/>
          </w:rPr>
        </w:r>
        <w:r w:rsidR="00A50DA3">
          <w:rPr>
            <w:noProof/>
            <w:webHidden/>
          </w:rPr>
          <w:fldChar w:fldCharType="separate"/>
        </w:r>
        <w:r w:rsidR="00A50DA3">
          <w:rPr>
            <w:noProof/>
            <w:webHidden/>
          </w:rPr>
          <w:t>11</w:t>
        </w:r>
        <w:r w:rsidR="00A50DA3">
          <w:rPr>
            <w:noProof/>
            <w:webHidden/>
          </w:rPr>
          <w:fldChar w:fldCharType="end"/>
        </w:r>
      </w:hyperlink>
    </w:p>
    <w:p w:rsidR="00A50DA3" w:rsidRDefault="000E0416">
      <w:pPr>
        <w:pStyle w:val="TOC3"/>
        <w:tabs>
          <w:tab w:val="right" w:leader="dot" w:pos="9020"/>
        </w:tabs>
        <w:rPr>
          <w:rFonts w:asciiTheme="minorHAnsi" w:eastAsiaTheme="minorEastAsia" w:hAnsiTheme="minorHAnsi" w:cstheme="minorBidi"/>
          <w:noProof/>
          <w:color w:val="auto"/>
          <w:sz w:val="22"/>
          <w:szCs w:val="22"/>
          <w:lang w:val="en-AU" w:eastAsia="en-AU"/>
        </w:rPr>
      </w:pPr>
      <w:hyperlink w:anchor="_Toc414449425" w:history="1">
        <w:r w:rsidR="00A50DA3" w:rsidRPr="00815812">
          <w:rPr>
            <w:rStyle w:val="Hyperlink"/>
            <w:noProof/>
          </w:rPr>
          <w:t>Impr</w:t>
        </w:r>
        <w:r w:rsidR="00A50DA3" w:rsidRPr="00815812">
          <w:rPr>
            <w:rStyle w:val="Hyperlink"/>
            <w:noProof/>
            <w:spacing w:val="-3"/>
          </w:rPr>
          <w:t>o</w:t>
        </w:r>
        <w:r w:rsidR="00A50DA3" w:rsidRPr="00815812">
          <w:rPr>
            <w:rStyle w:val="Hyperlink"/>
            <w:noProof/>
          </w:rPr>
          <w:t>ving</w:t>
        </w:r>
        <w:r w:rsidR="00A50DA3" w:rsidRPr="00815812">
          <w:rPr>
            <w:rStyle w:val="Hyperlink"/>
            <w:noProof/>
            <w:spacing w:val="17"/>
          </w:rPr>
          <w:t xml:space="preserve"> </w:t>
        </w:r>
        <w:r w:rsidR="00A50DA3" w:rsidRPr="00815812">
          <w:rPr>
            <w:rStyle w:val="Hyperlink"/>
            <w:noProof/>
          </w:rPr>
          <w:t>the</w:t>
        </w:r>
        <w:r w:rsidR="00A50DA3" w:rsidRPr="00815812">
          <w:rPr>
            <w:rStyle w:val="Hyperlink"/>
            <w:noProof/>
            <w:spacing w:val="17"/>
          </w:rPr>
          <w:t xml:space="preserve"> </w:t>
        </w:r>
        <w:r w:rsidR="00A50DA3" w:rsidRPr="00815812">
          <w:rPr>
            <w:rStyle w:val="Hyperlink"/>
            <w:noProof/>
            <w:spacing w:val="-4"/>
          </w:rPr>
          <w:t>w</w:t>
        </w:r>
        <w:r w:rsidR="00A50DA3" w:rsidRPr="00815812">
          <w:rPr>
            <w:rStyle w:val="Hyperlink"/>
            <w:noProof/>
            <w:spacing w:val="-5"/>
          </w:rPr>
          <w:t>a</w:t>
        </w:r>
        <w:r w:rsidR="00A50DA3" w:rsidRPr="00815812">
          <w:rPr>
            <w:rStyle w:val="Hyperlink"/>
            <w:noProof/>
            <w:spacing w:val="-4"/>
          </w:rPr>
          <w:t>y</w:t>
        </w:r>
        <w:r w:rsidR="00A50DA3" w:rsidRPr="00815812">
          <w:rPr>
            <w:rStyle w:val="Hyperlink"/>
            <w:noProof/>
            <w:spacing w:val="17"/>
          </w:rPr>
          <w:t xml:space="preserve"> </w:t>
        </w:r>
        <w:r w:rsidR="00A50DA3" w:rsidRPr="00815812">
          <w:rPr>
            <w:rStyle w:val="Hyperlink"/>
            <w:noProof/>
            <w:spacing w:val="-3"/>
          </w:rPr>
          <w:t>you</w:t>
        </w:r>
        <w:r w:rsidR="00A50DA3" w:rsidRPr="00815812">
          <w:rPr>
            <w:rStyle w:val="Hyperlink"/>
            <w:noProof/>
            <w:spacing w:val="17"/>
          </w:rPr>
          <w:t xml:space="preserve"> </w:t>
        </w:r>
        <w:r w:rsidR="00A50DA3" w:rsidRPr="00815812">
          <w:rPr>
            <w:rStyle w:val="Hyperlink"/>
            <w:noProof/>
          </w:rPr>
          <w:t>c</w:t>
        </w:r>
        <w:r w:rsidR="00A50DA3" w:rsidRPr="00815812">
          <w:rPr>
            <w:rStyle w:val="Hyperlink"/>
            <w:noProof/>
            <w:spacing w:val="-1"/>
          </w:rPr>
          <w:t>onnect</w:t>
        </w:r>
        <w:r w:rsidR="00A50DA3" w:rsidRPr="00815812">
          <w:rPr>
            <w:rStyle w:val="Hyperlink"/>
            <w:noProof/>
            <w:spacing w:val="17"/>
          </w:rPr>
          <w:t xml:space="preserve"> </w:t>
        </w:r>
        <w:r w:rsidR="00A50DA3" w:rsidRPr="00815812">
          <w:rPr>
            <w:rStyle w:val="Hyperlink"/>
            <w:noProof/>
          </w:rPr>
          <w:t>with</w:t>
        </w:r>
        <w:r w:rsidR="00A50DA3" w:rsidRPr="00815812">
          <w:rPr>
            <w:rStyle w:val="Hyperlink"/>
            <w:noProof/>
            <w:spacing w:val="17"/>
          </w:rPr>
          <w:t xml:space="preserve"> </w:t>
        </w:r>
        <w:r w:rsidR="00A50DA3" w:rsidRPr="00815812">
          <w:rPr>
            <w:rStyle w:val="Hyperlink"/>
            <w:noProof/>
            <w:spacing w:val="-3"/>
          </w:rPr>
          <w:t>go</w:t>
        </w:r>
        <w:r w:rsidR="00A50DA3" w:rsidRPr="00815812">
          <w:rPr>
            <w:rStyle w:val="Hyperlink"/>
            <w:noProof/>
          </w:rPr>
          <w:t>vernment</w:t>
        </w:r>
        <w:r w:rsidR="00A50DA3">
          <w:rPr>
            <w:noProof/>
            <w:webHidden/>
          </w:rPr>
          <w:tab/>
        </w:r>
        <w:r w:rsidR="00A50DA3">
          <w:rPr>
            <w:noProof/>
            <w:webHidden/>
          </w:rPr>
          <w:fldChar w:fldCharType="begin"/>
        </w:r>
        <w:r w:rsidR="00A50DA3">
          <w:rPr>
            <w:noProof/>
            <w:webHidden/>
          </w:rPr>
          <w:instrText xml:space="preserve"> PAGEREF _Toc414449425 \h </w:instrText>
        </w:r>
        <w:r w:rsidR="00A50DA3">
          <w:rPr>
            <w:noProof/>
            <w:webHidden/>
          </w:rPr>
        </w:r>
        <w:r w:rsidR="00A50DA3">
          <w:rPr>
            <w:noProof/>
            <w:webHidden/>
          </w:rPr>
          <w:fldChar w:fldCharType="separate"/>
        </w:r>
        <w:r w:rsidR="00A50DA3">
          <w:rPr>
            <w:noProof/>
            <w:webHidden/>
          </w:rPr>
          <w:t>11</w:t>
        </w:r>
        <w:r w:rsidR="00A50DA3">
          <w:rPr>
            <w:noProof/>
            <w:webHidden/>
          </w:rPr>
          <w:fldChar w:fldCharType="end"/>
        </w:r>
      </w:hyperlink>
    </w:p>
    <w:p w:rsidR="00A50DA3" w:rsidRDefault="000E0416">
      <w:pPr>
        <w:pStyle w:val="TOC3"/>
        <w:tabs>
          <w:tab w:val="right" w:leader="dot" w:pos="9020"/>
        </w:tabs>
        <w:rPr>
          <w:rFonts w:asciiTheme="minorHAnsi" w:eastAsiaTheme="minorEastAsia" w:hAnsiTheme="minorHAnsi" w:cstheme="minorBidi"/>
          <w:noProof/>
          <w:color w:val="auto"/>
          <w:sz w:val="22"/>
          <w:szCs w:val="22"/>
          <w:lang w:val="en-AU" w:eastAsia="en-AU"/>
        </w:rPr>
      </w:pPr>
      <w:hyperlink w:anchor="_Toc414449426" w:history="1">
        <w:r w:rsidR="00A50DA3" w:rsidRPr="00815812">
          <w:rPr>
            <w:rStyle w:val="Hyperlink"/>
            <w:noProof/>
            <w:spacing w:val="-1"/>
            <w:w w:val="105"/>
          </w:rPr>
          <w:t>R</w:t>
        </w:r>
        <w:r w:rsidR="00A50DA3" w:rsidRPr="00815812">
          <w:rPr>
            <w:rStyle w:val="Hyperlink"/>
            <w:noProof/>
            <w:w w:val="105"/>
          </w:rPr>
          <w:t>egula</w:t>
        </w:r>
        <w:r w:rsidR="00A50DA3" w:rsidRPr="00815812">
          <w:rPr>
            <w:rStyle w:val="Hyperlink"/>
            <w:noProof/>
            <w:spacing w:val="-1"/>
            <w:w w:val="105"/>
          </w:rPr>
          <w:t>tion</w:t>
        </w:r>
        <w:r w:rsidR="00A50DA3" w:rsidRPr="00815812">
          <w:rPr>
            <w:rStyle w:val="Hyperlink"/>
            <w:noProof/>
            <w:spacing w:val="16"/>
            <w:w w:val="105"/>
          </w:rPr>
          <w:t xml:space="preserve"> </w:t>
        </w:r>
        <w:r w:rsidR="00A50DA3" w:rsidRPr="00815812">
          <w:rPr>
            <w:rStyle w:val="Hyperlink"/>
            <w:noProof/>
            <w:spacing w:val="-1"/>
            <w:w w:val="105"/>
          </w:rPr>
          <w:t>R</w:t>
        </w:r>
        <w:r w:rsidR="00A50DA3" w:rsidRPr="00815812">
          <w:rPr>
            <w:rStyle w:val="Hyperlink"/>
            <w:noProof/>
            <w:w w:val="105"/>
          </w:rPr>
          <w:t>ef</w:t>
        </w:r>
        <w:r w:rsidR="00A50DA3" w:rsidRPr="00815812">
          <w:rPr>
            <w:rStyle w:val="Hyperlink"/>
            <w:noProof/>
            <w:spacing w:val="-1"/>
            <w:w w:val="105"/>
          </w:rPr>
          <w:t>orm</w:t>
        </w:r>
        <w:r w:rsidR="00A50DA3" w:rsidRPr="00815812">
          <w:rPr>
            <w:rStyle w:val="Hyperlink"/>
            <w:noProof/>
            <w:spacing w:val="17"/>
            <w:w w:val="105"/>
          </w:rPr>
          <w:t xml:space="preserve"> </w:t>
        </w:r>
        <w:r w:rsidR="00A50DA3" w:rsidRPr="00815812">
          <w:rPr>
            <w:rStyle w:val="Hyperlink"/>
            <w:noProof/>
            <w:w w:val="105"/>
          </w:rPr>
          <w:t>Workshops</w:t>
        </w:r>
        <w:r w:rsidR="00A50DA3">
          <w:rPr>
            <w:noProof/>
            <w:webHidden/>
          </w:rPr>
          <w:tab/>
        </w:r>
        <w:r w:rsidR="00A50DA3">
          <w:rPr>
            <w:noProof/>
            <w:webHidden/>
          </w:rPr>
          <w:fldChar w:fldCharType="begin"/>
        </w:r>
        <w:r w:rsidR="00A50DA3">
          <w:rPr>
            <w:noProof/>
            <w:webHidden/>
          </w:rPr>
          <w:instrText xml:space="preserve"> PAGEREF _Toc414449426 \h </w:instrText>
        </w:r>
        <w:r w:rsidR="00A50DA3">
          <w:rPr>
            <w:noProof/>
            <w:webHidden/>
          </w:rPr>
        </w:r>
        <w:r w:rsidR="00A50DA3">
          <w:rPr>
            <w:noProof/>
            <w:webHidden/>
          </w:rPr>
          <w:fldChar w:fldCharType="separate"/>
        </w:r>
        <w:r w:rsidR="00A50DA3">
          <w:rPr>
            <w:noProof/>
            <w:webHidden/>
          </w:rPr>
          <w:t>12</w:t>
        </w:r>
        <w:r w:rsidR="00A50DA3">
          <w:rPr>
            <w:noProof/>
            <w:webHidden/>
          </w:rPr>
          <w:fldChar w:fldCharType="end"/>
        </w:r>
      </w:hyperlink>
    </w:p>
    <w:p w:rsidR="00A50DA3" w:rsidRDefault="000E0416">
      <w:pPr>
        <w:pStyle w:val="TOC2"/>
        <w:tabs>
          <w:tab w:val="right" w:leader="dot" w:pos="9020"/>
        </w:tabs>
        <w:rPr>
          <w:rFonts w:asciiTheme="minorHAnsi" w:eastAsiaTheme="minorEastAsia" w:hAnsiTheme="minorHAnsi" w:cstheme="minorBidi"/>
          <w:noProof/>
          <w:color w:val="auto"/>
          <w:sz w:val="22"/>
          <w:szCs w:val="22"/>
          <w:lang w:val="en-AU" w:eastAsia="en-AU"/>
        </w:rPr>
      </w:pPr>
      <w:hyperlink w:anchor="_Toc414449427" w:history="1">
        <w:r w:rsidR="00A50DA3" w:rsidRPr="00815812">
          <w:rPr>
            <w:rStyle w:val="Hyperlink"/>
            <w:noProof/>
            <w:w w:val="105"/>
          </w:rPr>
          <w:t>Open</w:t>
        </w:r>
        <w:r w:rsidR="00A50DA3" w:rsidRPr="00815812">
          <w:rPr>
            <w:rStyle w:val="Hyperlink"/>
            <w:noProof/>
            <w:spacing w:val="-23"/>
            <w:w w:val="105"/>
          </w:rPr>
          <w:t xml:space="preserve"> </w:t>
        </w:r>
        <w:r w:rsidR="00A50DA3" w:rsidRPr="00815812">
          <w:rPr>
            <w:rStyle w:val="Hyperlink"/>
            <w:noProof/>
            <w:w w:val="105"/>
          </w:rPr>
          <w:t>and</w:t>
        </w:r>
        <w:r w:rsidR="00A50DA3" w:rsidRPr="00815812">
          <w:rPr>
            <w:rStyle w:val="Hyperlink"/>
            <w:noProof/>
            <w:spacing w:val="-23"/>
            <w:w w:val="105"/>
          </w:rPr>
          <w:t xml:space="preserve"> </w:t>
        </w:r>
        <w:r w:rsidR="00A50DA3" w:rsidRPr="00815812">
          <w:rPr>
            <w:rStyle w:val="Hyperlink"/>
            <w:noProof/>
            <w:spacing w:val="-3"/>
            <w:w w:val="105"/>
          </w:rPr>
          <w:t>tr</w:t>
        </w:r>
        <w:r w:rsidR="00A50DA3" w:rsidRPr="00815812">
          <w:rPr>
            <w:rStyle w:val="Hyperlink"/>
            <w:noProof/>
            <w:spacing w:val="-2"/>
            <w:w w:val="105"/>
          </w:rPr>
          <w:t>ansparen</w:t>
        </w:r>
        <w:r w:rsidR="00A50DA3" w:rsidRPr="00815812">
          <w:rPr>
            <w:rStyle w:val="Hyperlink"/>
            <w:noProof/>
            <w:spacing w:val="-3"/>
            <w:w w:val="105"/>
          </w:rPr>
          <w:t>t</w:t>
        </w:r>
        <w:r w:rsidR="00A50DA3" w:rsidRPr="00815812">
          <w:rPr>
            <w:rStyle w:val="Hyperlink"/>
            <w:noProof/>
            <w:spacing w:val="-23"/>
            <w:w w:val="105"/>
          </w:rPr>
          <w:t xml:space="preserve"> </w:t>
        </w:r>
        <w:r w:rsidR="00A50DA3" w:rsidRPr="00815812">
          <w:rPr>
            <w:rStyle w:val="Hyperlink"/>
            <w:noProof/>
            <w:w w:val="105"/>
          </w:rPr>
          <w:t>consultation</w:t>
        </w:r>
        <w:r w:rsidR="00A50DA3" w:rsidRPr="00815812">
          <w:rPr>
            <w:rStyle w:val="Hyperlink"/>
            <w:noProof/>
            <w:spacing w:val="-23"/>
            <w:w w:val="105"/>
          </w:rPr>
          <w:t xml:space="preserve"> </w:t>
        </w:r>
        <w:r w:rsidR="00A50DA3" w:rsidRPr="00815812">
          <w:rPr>
            <w:rStyle w:val="Hyperlink"/>
            <w:noProof/>
            <w:w w:val="105"/>
          </w:rPr>
          <w:t>with</w:t>
        </w:r>
        <w:r w:rsidR="00A50DA3" w:rsidRPr="00815812">
          <w:rPr>
            <w:rStyle w:val="Hyperlink"/>
            <w:noProof/>
            <w:spacing w:val="-23"/>
            <w:w w:val="105"/>
          </w:rPr>
          <w:t xml:space="preserve"> </w:t>
        </w:r>
        <w:r w:rsidR="00A50DA3" w:rsidRPr="00815812">
          <w:rPr>
            <w:rStyle w:val="Hyperlink"/>
            <w:noProof/>
            <w:w w:val="105"/>
          </w:rPr>
          <w:t>industry</w:t>
        </w:r>
        <w:r w:rsidR="00A50DA3">
          <w:rPr>
            <w:noProof/>
            <w:webHidden/>
          </w:rPr>
          <w:tab/>
        </w:r>
        <w:r w:rsidR="00A50DA3">
          <w:rPr>
            <w:noProof/>
            <w:webHidden/>
          </w:rPr>
          <w:fldChar w:fldCharType="begin"/>
        </w:r>
        <w:r w:rsidR="00A50DA3">
          <w:rPr>
            <w:noProof/>
            <w:webHidden/>
          </w:rPr>
          <w:instrText xml:space="preserve"> PAGEREF _Toc414449427 \h </w:instrText>
        </w:r>
        <w:r w:rsidR="00A50DA3">
          <w:rPr>
            <w:noProof/>
            <w:webHidden/>
          </w:rPr>
        </w:r>
        <w:r w:rsidR="00A50DA3">
          <w:rPr>
            <w:noProof/>
            <w:webHidden/>
          </w:rPr>
          <w:fldChar w:fldCharType="separate"/>
        </w:r>
        <w:r w:rsidR="00A50DA3">
          <w:rPr>
            <w:noProof/>
            <w:webHidden/>
          </w:rPr>
          <w:t>13</w:t>
        </w:r>
        <w:r w:rsidR="00A50DA3">
          <w:rPr>
            <w:noProof/>
            <w:webHidden/>
          </w:rPr>
          <w:fldChar w:fldCharType="end"/>
        </w:r>
      </w:hyperlink>
    </w:p>
    <w:p w:rsidR="00A50DA3" w:rsidRDefault="000E0416">
      <w:pPr>
        <w:pStyle w:val="TOC3"/>
        <w:tabs>
          <w:tab w:val="right" w:leader="dot" w:pos="9020"/>
        </w:tabs>
        <w:rPr>
          <w:rFonts w:asciiTheme="minorHAnsi" w:eastAsiaTheme="minorEastAsia" w:hAnsiTheme="minorHAnsi" w:cstheme="minorBidi"/>
          <w:noProof/>
          <w:color w:val="auto"/>
          <w:sz w:val="22"/>
          <w:szCs w:val="22"/>
          <w:lang w:val="en-AU" w:eastAsia="en-AU"/>
        </w:rPr>
      </w:pPr>
      <w:hyperlink w:anchor="_Toc414449428" w:history="1">
        <w:r w:rsidR="00A50DA3" w:rsidRPr="00815812">
          <w:rPr>
            <w:rStyle w:val="Hyperlink"/>
            <w:noProof/>
            <w:w w:val="105"/>
          </w:rPr>
          <w:t>Raising</w:t>
        </w:r>
        <w:r w:rsidR="00A50DA3" w:rsidRPr="00815812">
          <w:rPr>
            <w:rStyle w:val="Hyperlink"/>
            <w:noProof/>
            <w:spacing w:val="-31"/>
            <w:w w:val="105"/>
          </w:rPr>
          <w:t xml:space="preserve"> </w:t>
        </w:r>
        <w:r w:rsidR="00A50DA3" w:rsidRPr="00815812">
          <w:rPr>
            <w:rStyle w:val="Hyperlink"/>
            <w:noProof/>
            <w:spacing w:val="-4"/>
            <w:w w:val="105"/>
          </w:rPr>
          <w:t>awarenes</w:t>
        </w:r>
        <w:r w:rsidR="00A50DA3" w:rsidRPr="00815812">
          <w:rPr>
            <w:rStyle w:val="Hyperlink"/>
            <w:noProof/>
            <w:spacing w:val="-3"/>
            <w:w w:val="105"/>
          </w:rPr>
          <w:t>s</w:t>
        </w:r>
        <w:r w:rsidR="00A50DA3">
          <w:rPr>
            <w:noProof/>
            <w:webHidden/>
          </w:rPr>
          <w:tab/>
        </w:r>
        <w:r w:rsidR="00A50DA3">
          <w:rPr>
            <w:noProof/>
            <w:webHidden/>
          </w:rPr>
          <w:fldChar w:fldCharType="begin"/>
        </w:r>
        <w:r w:rsidR="00A50DA3">
          <w:rPr>
            <w:noProof/>
            <w:webHidden/>
          </w:rPr>
          <w:instrText xml:space="preserve"> PAGEREF _Toc414449428 \h </w:instrText>
        </w:r>
        <w:r w:rsidR="00A50DA3">
          <w:rPr>
            <w:noProof/>
            <w:webHidden/>
          </w:rPr>
        </w:r>
        <w:r w:rsidR="00A50DA3">
          <w:rPr>
            <w:noProof/>
            <w:webHidden/>
          </w:rPr>
          <w:fldChar w:fldCharType="separate"/>
        </w:r>
        <w:r w:rsidR="00A50DA3">
          <w:rPr>
            <w:noProof/>
            <w:webHidden/>
          </w:rPr>
          <w:t>13</w:t>
        </w:r>
        <w:r w:rsidR="00A50DA3">
          <w:rPr>
            <w:noProof/>
            <w:webHidden/>
          </w:rPr>
          <w:fldChar w:fldCharType="end"/>
        </w:r>
      </w:hyperlink>
    </w:p>
    <w:p w:rsidR="00A50DA3" w:rsidRDefault="000E0416">
      <w:pPr>
        <w:pStyle w:val="TOC2"/>
        <w:tabs>
          <w:tab w:val="right" w:leader="dot" w:pos="9020"/>
        </w:tabs>
        <w:rPr>
          <w:rFonts w:asciiTheme="minorHAnsi" w:eastAsiaTheme="minorEastAsia" w:hAnsiTheme="minorHAnsi" w:cstheme="minorBidi"/>
          <w:noProof/>
          <w:color w:val="auto"/>
          <w:sz w:val="22"/>
          <w:szCs w:val="22"/>
          <w:lang w:val="en-AU" w:eastAsia="en-AU"/>
        </w:rPr>
      </w:pPr>
      <w:hyperlink w:anchor="_Toc414449429" w:history="1">
        <w:r w:rsidR="00A50DA3" w:rsidRPr="00815812">
          <w:rPr>
            <w:rStyle w:val="Hyperlink"/>
            <w:noProof/>
            <w:spacing w:val="-6"/>
            <w:w w:val="105"/>
          </w:rPr>
          <w:t>Futur</w:t>
        </w:r>
        <w:r w:rsidR="00A50DA3" w:rsidRPr="00815812">
          <w:rPr>
            <w:rStyle w:val="Hyperlink"/>
            <w:noProof/>
            <w:spacing w:val="-5"/>
            <w:w w:val="105"/>
          </w:rPr>
          <w:t>e</w:t>
        </w:r>
        <w:r w:rsidR="00A50DA3" w:rsidRPr="00815812">
          <w:rPr>
            <w:rStyle w:val="Hyperlink"/>
            <w:noProof/>
            <w:spacing w:val="-19"/>
            <w:w w:val="105"/>
          </w:rPr>
          <w:t xml:space="preserve"> </w:t>
        </w:r>
        <w:r w:rsidR="00A50DA3" w:rsidRPr="00815812">
          <w:rPr>
            <w:rStyle w:val="Hyperlink"/>
            <w:noProof/>
            <w:w w:val="105"/>
          </w:rPr>
          <w:t>priorities</w:t>
        </w:r>
        <w:r w:rsidR="00A50DA3">
          <w:rPr>
            <w:noProof/>
            <w:webHidden/>
          </w:rPr>
          <w:tab/>
        </w:r>
        <w:r w:rsidR="00A50DA3">
          <w:rPr>
            <w:noProof/>
            <w:webHidden/>
          </w:rPr>
          <w:fldChar w:fldCharType="begin"/>
        </w:r>
        <w:r w:rsidR="00A50DA3">
          <w:rPr>
            <w:noProof/>
            <w:webHidden/>
          </w:rPr>
          <w:instrText xml:space="preserve"> PAGEREF _Toc414449429 \h </w:instrText>
        </w:r>
        <w:r w:rsidR="00A50DA3">
          <w:rPr>
            <w:noProof/>
            <w:webHidden/>
          </w:rPr>
        </w:r>
        <w:r w:rsidR="00A50DA3">
          <w:rPr>
            <w:noProof/>
            <w:webHidden/>
          </w:rPr>
          <w:fldChar w:fldCharType="separate"/>
        </w:r>
        <w:r w:rsidR="00A50DA3">
          <w:rPr>
            <w:noProof/>
            <w:webHidden/>
          </w:rPr>
          <w:t>14</w:t>
        </w:r>
        <w:r w:rsidR="00A50DA3">
          <w:rPr>
            <w:noProof/>
            <w:webHidden/>
          </w:rPr>
          <w:fldChar w:fldCharType="end"/>
        </w:r>
      </w:hyperlink>
    </w:p>
    <w:p w:rsidR="00A50DA3" w:rsidRDefault="000E0416">
      <w:pPr>
        <w:pStyle w:val="TOC1"/>
        <w:tabs>
          <w:tab w:val="right" w:leader="dot" w:pos="9020"/>
        </w:tabs>
        <w:rPr>
          <w:rFonts w:asciiTheme="minorHAnsi" w:eastAsiaTheme="minorEastAsia" w:hAnsiTheme="minorHAnsi" w:cstheme="minorBidi"/>
          <w:b w:val="0"/>
          <w:bCs w:val="0"/>
          <w:noProof/>
          <w:color w:val="auto"/>
          <w:sz w:val="22"/>
          <w:szCs w:val="22"/>
          <w:lang w:val="en-AU" w:eastAsia="en-AU"/>
        </w:rPr>
      </w:pPr>
      <w:hyperlink w:anchor="_Toc414449430" w:history="1">
        <w:r w:rsidR="00A50DA3" w:rsidRPr="00815812">
          <w:rPr>
            <w:rStyle w:val="Hyperlink"/>
            <w:noProof/>
            <w:spacing w:val="-3"/>
            <w:w w:val="105"/>
          </w:rPr>
          <w:t>A</w:t>
        </w:r>
        <w:r w:rsidR="00A50DA3" w:rsidRPr="00815812">
          <w:rPr>
            <w:rStyle w:val="Hyperlink"/>
            <w:noProof/>
            <w:w w:val="105"/>
          </w:rPr>
          <w:t>ppendix</w:t>
        </w:r>
        <w:r w:rsidR="00A50DA3" w:rsidRPr="00815812">
          <w:rPr>
            <w:rStyle w:val="Hyperlink"/>
            <w:noProof/>
            <w:spacing w:val="-47"/>
            <w:w w:val="105"/>
          </w:rPr>
          <w:t xml:space="preserve"> </w:t>
        </w:r>
        <w:r w:rsidR="00A50DA3" w:rsidRPr="00815812">
          <w:rPr>
            <w:rStyle w:val="Hyperlink"/>
            <w:noProof/>
            <w:spacing w:val="4"/>
            <w:w w:val="105"/>
          </w:rPr>
          <w:t xml:space="preserve">A: </w:t>
        </w:r>
        <w:r w:rsidR="00A50DA3" w:rsidRPr="00815812">
          <w:rPr>
            <w:rStyle w:val="Hyperlink"/>
            <w:noProof/>
            <w:spacing w:val="-2"/>
            <w:w w:val="105"/>
          </w:rPr>
          <w:t>Regul</w:t>
        </w:r>
        <w:r w:rsidR="00A50DA3" w:rsidRPr="00815812">
          <w:rPr>
            <w:rStyle w:val="Hyperlink"/>
            <w:noProof/>
            <w:w w:val="105"/>
          </w:rPr>
          <w:t>ation</w:t>
        </w:r>
        <w:r w:rsidR="00A50DA3" w:rsidRPr="00815812">
          <w:rPr>
            <w:rStyle w:val="Hyperlink"/>
            <w:noProof/>
            <w:spacing w:val="21"/>
            <w:w w:val="105"/>
          </w:rPr>
          <w:t xml:space="preserve"> </w:t>
        </w:r>
        <w:r w:rsidR="00A50DA3" w:rsidRPr="00815812">
          <w:rPr>
            <w:rStyle w:val="Hyperlink"/>
            <w:noProof/>
            <w:w w:val="105"/>
          </w:rPr>
          <w:t>Impact</w:t>
        </w:r>
        <w:r w:rsidR="00A50DA3" w:rsidRPr="00815812">
          <w:rPr>
            <w:rStyle w:val="Hyperlink"/>
            <w:noProof/>
            <w:spacing w:val="21"/>
            <w:w w:val="105"/>
          </w:rPr>
          <w:t xml:space="preserve"> </w:t>
        </w:r>
        <w:r w:rsidR="00A50DA3" w:rsidRPr="00815812">
          <w:rPr>
            <w:rStyle w:val="Hyperlink"/>
            <w:noProof/>
            <w:spacing w:val="-2"/>
            <w:w w:val="105"/>
          </w:rPr>
          <w:t>S</w:t>
        </w:r>
        <w:r w:rsidR="00A50DA3" w:rsidRPr="00815812">
          <w:rPr>
            <w:rStyle w:val="Hyperlink"/>
            <w:noProof/>
            <w:w w:val="105"/>
          </w:rPr>
          <w:t>tatements</w:t>
        </w:r>
        <w:r w:rsidR="00A50DA3">
          <w:rPr>
            <w:noProof/>
            <w:webHidden/>
          </w:rPr>
          <w:tab/>
        </w:r>
        <w:r w:rsidR="00A50DA3">
          <w:rPr>
            <w:noProof/>
            <w:webHidden/>
          </w:rPr>
          <w:fldChar w:fldCharType="begin"/>
        </w:r>
        <w:r w:rsidR="00A50DA3">
          <w:rPr>
            <w:noProof/>
            <w:webHidden/>
          </w:rPr>
          <w:instrText xml:space="preserve"> PAGEREF _Toc414449430 \h </w:instrText>
        </w:r>
        <w:r w:rsidR="00A50DA3">
          <w:rPr>
            <w:noProof/>
            <w:webHidden/>
          </w:rPr>
        </w:r>
        <w:r w:rsidR="00A50DA3">
          <w:rPr>
            <w:noProof/>
            <w:webHidden/>
          </w:rPr>
          <w:fldChar w:fldCharType="separate"/>
        </w:r>
        <w:r w:rsidR="00A50DA3">
          <w:rPr>
            <w:noProof/>
            <w:webHidden/>
          </w:rPr>
          <w:t>15</w:t>
        </w:r>
        <w:r w:rsidR="00A50DA3">
          <w:rPr>
            <w:noProof/>
            <w:webHidden/>
          </w:rPr>
          <w:fldChar w:fldCharType="end"/>
        </w:r>
      </w:hyperlink>
    </w:p>
    <w:p w:rsidR="00A50DA3" w:rsidRDefault="000E0416">
      <w:pPr>
        <w:pStyle w:val="TOC1"/>
        <w:tabs>
          <w:tab w:val="right" w:leader="dot" w:pos="9020"/>
        </w:tabs>
        <w:rPr>
          <w:rFonts w:asciiTheme="minorHAnsi" w:eastAsiaTheme="minorEastAsia" w:hAnsiTheme="minorHAnsi" w:cstheme="minorBidi"/>
          <w:b w:val="0"/>
          <w:bCs w:val="0"/>
          <w:noProof/>
          <w:color w:val="auto"/>
          <w:sz w:val="22"/>
          <w:szCs w:val="22"/>
          <w:lang w:val="en-AU" w:eastAsia="en-AU"/>
        </w:rPr>
      </w:pPr>
      <w:hyperlink w:anchor="_Toc414449431" w:history="1">
        <w:r w:rsidR="00A50DA3" w:rsidRPr="00815812">
          <w:rPr>
            <w:rStyle w:val="Hyperlink"/>
            <w:noProof/>
            <w:spacing w:val="-3"/>
            <w:w w:val="105"/>
          </w:rPr>
          <w:t>A</w:t>
        </w:r>
        <w:r w:rsidR="00A50DA3" w:rsidRPr="00815812">
          <w:rPr>
            <w:rStyle w:val="Hyperlink"/>
            <w:noProof/>
            <w:w w:val="105"/>
          </w:rPr>
          <w:t>ppendix</w:t>
        </w:r>
        <w:r w:rsidR="00A50DA3" w:rsidRPr="00815812">
          <w:rPr>
            <w:rStyle w:val="Hyperlink"/>
            <w:noProof/>
            <w:spacing w:val="-41"/>
            <w:w w:val="105"/>
          </w:rPr>
          <w:t xml:space="preserve"> </w:t>
        </w:r>
        <w:r w:rsidR="00A50DA3" w:rsidRPr="00815812">
          <w:rPr>
            <w:rStyle w:val="Hyperlink"/>
            <w:noProof/>
            <w:w w:val="105"/>
          </w:rPr>
          <w:t>B: The</w:t>
        </w:r>
        <w:r w:rsidR="00A50DA3" w:rsidRPr="00815812">
          <w:rPr>
            <w:rStyle w:val="Hyperlink"/>
            <w:noProof/>
            <w:spacing w:val="-35"/>
            <w:w w:val="105"/>
          </w:rPr>
          <w:t xml:space="preserve"> </w:t>
        </w:r>
        <w:r w:rsidR="00A50DA3" w:rsidRPr="00815812">
          <w:rPr>
            <w:rStyle w:val="Hyperlink"/>
            <w:noProof/>
            <w:spacing w:val="-4"/>
            <w:w w:val="105"/>
          </w:rPr>
          <w:t>A</w:t>
        </w:r>
        <w:r w:rsidR="00A50DA3" w:rsidRPr="00815812">
          <w:rPr>
            <w:rStyle w:val="Hyperlink"/>
            <w:noProof/>
            <w:spacing w:val="-3"/>
            <w:w w:val="105"/>
          </w:rPr>
          <w:t>udit</w:t>
        </w:r>
        <w:r w:rsidR="00A50DA3" w:rsidRPr="00815812">
          <w:rPr>
            <w:rStyle w:val="Hyperlink"/>
            <w:noProof/>
            <w:spacing w:val="-35"/>
            <w:w w:val="105"/>
          </w:rPr>
          <w:t xml:space="preserve"> </w:t>
        </w:r>
        <w:r w:rsidR="00A50DA3" w:rsidRPr="00815812">
          <w:rPr>
            <w:rStyle w:val="Hyperlink"/>
            <w:noProof/>
            <w:spacing w:val="-3"/>
            <w:w w:val="105"/>
          </w:rPr>
          <w:t>of</w:t>
        </w:r>
        <w:r w:rsidR="00A50DA3" w:rsidRPr="00815812">
          <w:rPr>
            <w:rStyle w:val="Hyperlink"/>
            <w:noProof/>
            <w:spacing w:val="-35"/>
            <w:w w:val="105"/>
          </w:rPr>
          <w:t xml:space="preserve"> </w:t>
        </w:r>
        <w:r w:rsidR="00A50DA3" w:rsidRPr="00815812">
          <w:rPr>
            <w:rStyle w:val="Hyperlink"/>
            <w:noProof/>
            <w:spacing w:val="-2"/>
            <w:w w:val="105"/>
          </w:rPr>
          <w:t>Regul</w:t>
        </w:r>
        <w:r w:rsidR="00A50DA3" w:rsidRPr="00815812">
          <w:rPr>
            <w:rStyle w:val="Hyperlink"/>
            <w:noProof/>
            <w:spacing w:val="-1"/>
            <w:w w:val="105"/>
          </w:rPr>
          <w:t>ations</w:t>
        </w:r>
        <w:r w:rsidR="00A50DA3" w:rsidRPr="00815812">
          <w:rPr>
            <w:rStyle w:val="Hyperlink"/>
            <w:noProof/>
            <w:spacing w:val="-35"/>
            <w:w w:val="105"/>
          </w:rPr>
          <w:t xml:space="preserve"> </w:t>
        </w:r>
        <w:r w:rsidR="00A50DA3" w:rsidRPr="00815812">
          <w:rPr>
            <w:rStyle w:val="Hyperlink"/>
            <w:noProof/>
            <w:w w:val="105"/>
          </w:rPr>
          <w:t>–</w:t>
        </w:r>
        <w:r w:rsidR="00A50DA3" w:rsidRPr="00815812">
          <w:rPr>
            <w:rStyle w:val="Hyperlink"/>
            <w:noProof/>
            <w:spacing w:val="-35"/>
            <w:w w:val="105"/>
          </w:rPr>
          <w:t xml:space="preserve"> </w:t>
        </w:r>
        <w:r w:rsidR="00A50DA3" w:rsidRPr="00815812">
          <w:rPr>
            <w:rStyle w:val="Hyperlink"/>
            <w:noProof/>
            <w:w w:val="105"/>
          </w:rPr>
          <w:t>Major</w:t>
        </w:r>
        <w:r w:rsidR="00A50DA3" w:rsidRPr="00815812">
          <w:rPr>
            <w:rStyle w:val="Hyperlink"/>
            <w:noProof/>
            <w:spacing w:val="-35"/>
            <w:w w:val="105"/>
          </w:rPr>
          <w:t xml:space="preserve"> </w:t>
        </w:r>
        <w:r w:rsidR="00A50DA3" w:rsidRPr="00815812">
          <w:rPr>
            <w:rStyle w:val="Hyperlink"/>
            <w:noProof/>
            <w:w w:val="105"/>
          </w:rPr>
          <w:t>Findings</w:t>
        </w:r>
        <w:r w:rsidR="00A50DA3">
          <w:rPr>
            <w:noProof/>
            <w:webHidden/>
          </w:rPr>
          <w:tab/>
        </w:r>
        <w:r w:rsidR="00A50DA3">
          <w:rPr>
            <w:noProof/>
            <w:webHidden/>
          </w:rPr>
          <w:fldChar w:fldCharType="begin"/>
        </w:r>
        <w:r w:rsidR="00A50DA3">
          <w:rPr>
            <w:noProof/>
            <w:webHidden/>
          </w:rPr>
          <w:instrText xml:space="preserve"> PAGEREF _Toc414449431 \h </w:instrText>
        </w:r>
        <w:r w:rsidR="00A50DA3">
          <w:rPr>
            <w:noProof/>
            <w:webHidden/>
          </w:rPr>
        </w:r>
        <w:r w:rsidR="00A50DA3">
          <w:rPr>
            <w:noProof/>
            <w:webHidden/>
          </w:rPr>
          <w:fldChar w:fldCharType="separate"/>
        </w:r>
        <w:r w:rsidR="00A50DA3">
          <w:rPr>
            <w:noProof/>
            <w:webHidden/>
          </w:rPr>
          <w:t>16</w:t>
        </w:r>
        <w:r w:rsidR="00A50DA3">
          <w:rPr>
            <w:noProof/>
            <w:webHidden/>
          </w:rPr>
          <w:fldChar w:fldCharType="end"/>
        </w:r>
      </w:hyperlink>
    </w:p>
    <w:p w:rsidR="00A50DA3" w:rsidRDefault="000E0416">
      <w:pPr>
        <w:pStyle w:val="TOC1"/>
        <w:tabs>
          <w:tab w:val="right" w:leader="dot" w:pos="9020"/>
        </w:tabs>
        <w:rPr>
          <w:rFonts w:asciiTheme="minorHAnsi" w:eastAsiaTheme="minorEastAsia" w:hAnsiTheme="minorHAnsi" w:cstheme="minorBidi"/>
          <w:b w:val="0"/>
          <w:bCs w:val="0"/>
          <w:noProof/>
          <w:color w:val="auto"/>
          <w:sz w:val="22"/>
          <w:szCs w:val="22"/>
          <w:lang w:val="en-AU" w:eastAsia="en-AU"/>
        </w:rPr>
      </w:pPr>
      <w:hyperlink w:anchor="_Toc414449434" w:history="1">
        <w:r w:rsidR="00A50DA3" w:rsidRPr="00815812">
          <w:rPr>
            <w:rStyle w:val="Hyperlink"/>
            <w:noProof/>
            <w:spacing w:val="-3"/>
            <w:w w:val="105"/>
          </w:rPr>
          <w:t>A</w:t>
        </w:r>
        <w:r w:rsidR="00A50DA3" w:rsidRPr="00815812">
          <w:rPr>
            <w:rStyle w:val="Hyperlink"/>
            <w:noProof/>
            <w:w w:val="105"/>
          </w:rPr>
          <w:t>ppendix</w:t>
        </w:r>
        <w:r w:rsidR="00A50DA3" w:rsidRPr="00815812">
          <w:rPr>
            <w:rStyle w:val="Hyperlink"/>
            <w:noProof/>
            <w:spacing w:val="-27"/>
            <w:w w:val="105"/>
          </w:rPr>
          <w:t xml:space="preserve"> </w:t>
        </w:r>
        <w:r w:rsidR="00A50DA3" w:rsidRPr="00815812">
          <w:rPr>
            <w:rStyle w:val="Hyperlink"/>
            <w:noProof/>
            <w:w w:val="105"/>
          </w:rPr>
          <w:t xml:space="preserve">C: </w:t>
        </w:r>
        <w:r w:rsidR="00A50DA3" w:rsidRPr="00815812">
          <w:rPr>
            <w:rStyle w:val="Hyperlink"/>
            <w:noProof/>
            <w:spacing w:val="-2"/>
          </w:rPr>
          <w:t>Measures</w:t>
        </w:r>
        <w:r w:rsidR="00A50DA3" w:rsidRPr="00815812">
          <w:rPr>
            <w:rStyle w:val="Hyperlink"/>
            <w:noProof/>
            <w:spacing w:val="23"/>
          </w:rPr>
          <w:t xml:space="preserve"> </w:t>
        </w:r>
        <w:r w:rsidR="00A50DA3" w:rsidRPr="00815812">
          <w:rPr>
            <w:rStyle w:val="Hyperlink"/>
            <w:noProof/>
          </w:rPr>
          <w:t>announced</w:t>
        </w:r>
        <w:r w:rsidR="00A50DA3" w:rsidRPr="00815812">
          <w:rPr>
            <w:rStyle w:val="Hyperlink"/>
            <w:noProof/>
            <w:spacing w:val="24"/>
          </w:rPr>
          <w:t xml:space="preserve"> </w:t>
        </w:r>
        <w:r w:rsidR="00A50DA3" w:rsidRPr="00815812">
          <w:rPr>
            <w:rStyle w:val="Hyperlink"/>
            <w:noProof/>
          </w:rPr>
          <w:t>in</w:t>
        </w:r>
        <w:r w:rsidR="00A50DA3" w:rsidRPr="00815812">
          <w:rPr>
            <w:rStyle w:val="Hyperlink"/>
            <w:noProof/>
            <w:spacing w:val="24"/>
          </w:rPr>
          <w:t xml:space="preserve"> </w:t>
        </w:r>
        <w:r w:rsidR="00A50DA3" w:rsidRPr="00815812">
          <w:rPr>
            <w:rStyle w:val="Hyperlink"/>
            <w:noProof/>
          </w:rPr>
          <w:t>2014</w:t>
        </w:r>
        <w:r w:rsidR="00A50DA3" w:rsidRPr="00815812">
          <w:rPr>
            <w:rStyle w:val="Hyperlink"/>
            <w:noProof/>
            <w:spacing w:val="24"/>
          </w:rPr>
          <w:t xml:space="preserve"> </w:t>
        </w:r>
        <w:r w:rsidR="00A50DA3" w:rsidRPr="00815812">
          <w:rPr>
            <w:rStyle w:val="Hyperlink"/>
            <w:noProof/>
          </w:rPr>
          <w:t>—</w:t>
        </w:r>
        <w:r w:rsidR="00A50DA3" w:rsidRPr="00815812">
          <w:rPr>
            <w:rStyle w:val="Hyperlink"/>
            <w:noProof/>
            <w:spacing w:val="24"/>
          </w:rPr>
          <w:t xml:space="preserve"> </w:t>
        </w:r>
        <w:r w:rsidR="00A50DA3" w:rsidRPr="00815812">
          <w:rPr>
            <w:rStyle w:val="Hyperlink"/>
            <w:noProof/>
          </w:rPr>
          <w:t>delivering</w:t>
        </w:r>
        <w:r w:rsidR="00A50DA3" w:rsidRPr="00815812">
          <w:rPr>
            <w:rStyle w:val="Hyperlink"/>
            <w:noProof/>
            <w:spacing w:val="29"/>
            <w:w w:val="105"/>
          </w:rPr>
          <w:t xml:space="preserve"> </w:t>
        </w:r>
        <w:r w:rsidR="00A50DA3" w:rsidRPr="00815812">
          <w:rPr>
            <w:rStyle w:val="Hyperlink"/>
            <w:noProof/>
          </w:rPr>
          <w:t>near</w:t>
        </w:r>
        <w:r w:rsidR="00A50DA3" w:rsidRPr="00815812">
          <w:rPr>
            <w:rStyle w:val="Hyperlink"/>
            <w:noProof/>
            <w:spacing w:val="-2"/>
          </w:rPr>
          <w:t>ly</w:t>
        </w:r>
        <w:r w:rsidR="00A50DA3" w:rsidRPr="00815812">
          <w:rPr>
            <w:rStyle w:val="Hyperlink"/>
            <w:noProof/>
            <w:spacing w:val="30"/>
          </w:rPr>
          <w:t xml:space="preserve"> </w:t>
        </w:r>
        <w:r w:rsidR="00A50DA3" w:rsidRPr="00815812">
          <w:rPr>
            <w:rStyle w:val="Hyperlink"/>
            <w:noProof/>
          </w:rPr>
          <w:t>$220</w:t>
        </w:r>
        <w:r w:rsidR="00A50DA3" w:rsidRPr="00815812">
          <w:rPr>
            <w:rStyle w:val="Hyperlink"/>
            <w:noProof/>
            <w:spacing w:val="31"/>
          </w:rPr>
          <w:t xml:space="preserve"> </w:t>
        </w:r>
        <w:r w:rsidR="00A50DA3" w:rsidRPr="00815812">
          <w:rPr>
            <w:rStyle w:val="Hyperlink"/>
            <w:noProof/>
          </w:rPr>
          <w:t>million</w:t>
        </w:r>
        <w:r w:rsidR="00A50DA3" w:rsidRPr="00815812">
          <w:rPr>
            <w:rStyle w:val="Hyperlink"/>
            <w:noProof/>
            <w:spacing w:val="30"/>
          </w:rPr>
          <w:t xml:space="preserve"> </w:t>
        </w:r>
        <w:r w:rsidR="00A50DA3" w:rsidRPr="00815812">
          <w:rPr>
            <w:rStyle w:val="Hyperlink"/>
            <w:noProof/>
          </w:rPr>
          <w:t>in</w:t>
        </w:r>
        <w:r w:rsidR="00A50DA3" w:rsidRPr="00815812">
          <w:rPr>
            <w:rStyle w:val="Hyperlink"/>
            <w:noProof/>
            <w:spacing w:val="31"/>
          </w:rPr>
          <w:t xml:space="preserve"> </w:t>
        </w:r>
        <w:r w:rsidR="00A50DA3" w:rsidRPr="00815812">
          <w:rPr>
            <w:rStyle w:val="Hyperlink"/>
            <w:noProof/>
          </w:rPr>
          <w:t>savings</w:t>
        </w:r>
        <w:r w:rsidR="00A50DA3">
          <w:rPr>
            <w:noProof/>
            <w:webHidden/>
          </w:rPr>
          <w:tab/>
        </w:r>
        <w:r w:rsidR="00A50DA3">
          <w:rPr>
            <w:noProof/>
            <w:webHidden/>
          </w:rPr>
          <w:fldChar w:fldCharType="begin"/>
        </w:r>
        <w:r w:rsidR="00A50DA3">
          <w:rPr>
            <w:noProof/>
            <w:webHidden/>
          </w:rPr>
          <w:instrText xml:space="preserve"> PAGEREF _Toc414449434 \h </w:instrText>
        </w:r>
        <w:r w:rsidR="00A50DA3">
          <w:rPr>
            <w:noProof/>
            <w:webHidden/>
          </w:rPr>
        </w:r>
        <w:r w:rsidR="00A50DA3">
          <w:rPr>
            <w:noProof/>
            <w:webHidden/>
          </w:rPr>
          <w:fldChar w:fldCharType="separate"/>
        </w:r>
        <w:r w:rsidR="00A50DA3">
          <w:rPr>
            <w:noProof/>
            <w:webHidden/>
          </w:rPr>
          <w:t>17</w:t>
        </w:r>
        <w:r w:rsidR="00A50DA3">
          <w:rPr>
            <w:noProof/>
            <w:webHidden/>
          </w:rPr>
          <w:fldChar w:fldCharType="end"/>
        </w:r>
      </w:hyperlink>
    </w:p>
    <w:p w:rsidR="00A50DA3" w:rsidRDefault="000E0416">
      <w:pPr>
        <w:pStyle w:val="TOC1"/>
        <w:tabs>
          <w:tab w:val="right" w:leader="dot" w:pos="9020"/>
        </w:tabs>
        <w:rPr>
          <w:rFonts w:asciiTheme="minorHAnsi" w:eastAsiaTheme="minorEastAsia" w:hAnsiTheme="minorHAnsi" w:cstheme="minorBidi"/>
          <w:b w:val="0"/>
          <w:bCs w:val="0"/>
          <w:noProof/>
          <w:color w:val="auto"/>
          <w:sz w:val="22"/>
          <w:szCs w:val="22"/>
          <w:lang w:val="en-AU" w:eastAsia="en-AU"/>
        </w:rPr>
      </w:pPr>
      <w:hyperlink w:anchor="_Toc414449461" w:history="1">
        <w:r w:rsidR="00A50DA3" w:rsidRPr="00815812">
          <w:rPr>
            <w:rStyle w:val="Hyperlink"/>
            <w:noProof/>
            <w:spacing w:val="-3"/>
            <w:w w:val="105"/>
          </w:rPr>
          <w:t>A</w:t>
        </w:r>
        <w:r w:rsidR="00A50DA3" w:rsidRPr="00815812">
          <w:rPr>
            <w:rStyle w:val="Hyperlink"/>
            <w:noProof/>
            <w:w w:val="105"/>
          </w:rPr>
          <w:t>ppendix</w:t>
        </w:r>
        <w:r w:rsidR="00A50DA3" w:rsidRPr="00815812">
          <w:rPr>
            <w:rStyle w:val="Hyperlink"/>
            <w:noProof/>
            <w:spacing w:val="-70"/>
            <w:w w:val="105"/>
          </w:rPr>
          <w:t xml:space="preserve"> </w:t>
        </w:r>
        <w:r w:rsidR="00A50DA3" w:rsidRPr="00815812">
          <w:rPr>
            <w:rStyle w:val="Hyperlink"/>
            <w:noProof/>
            <w:w w:val="105"/>
          </w:rPr>
          <w:t xml:space="preserve">D: </w:t>
        </w:r>
        <w:r w:rsidR="00A50DA3" w:rsidRPr="00815812">
          <w:rPr>
            <w:rStyle w:val="Hyperlink"/>
            <w:noProof/>
            <w:spacing w:val="-2"/>
            <w:w w:val="105"/>
          </w:rPr>
          <w:t>L</w:t>
        </w:r>
        <w:r w:rsidR="00A50DA3" w:rsidRPr="00815812">
          <w:rPr>
            <w:rStyle w:val="Hyperlink"/>
            <w:noProof/>
            <w:w w:val="105"/>
          </w:rPr>
          <w:t>egislation</w:t>
        </w:r>
        <w:r w:rsidR="00A50DA3" w:rsidRPr="00815812">
          <w:rPr>
            <w:rStyle w:val="Hyperlink"/>
            <w:noProof/>
            <w:spacing w:val="100"/>
            <w:w w:val="105"/>
          </w:rPr>
          <w:t xml:space="preserve"> </w:t>
        </w:r>
        <w:r w:rsidR="00A50DA3" w:rsidRPr="00815812">
          <w:rPr>
            <w:rStyle w:val="Hyperlink"/>
            <w:noProof/>
            <w:w w:val="105"/>
          </w:rPr>
          <w:t>administered</w:t>
        </w:r>
        <w:r w:rsidR="00A50DA3">
          <w:rPr>
            <w:noProof/>
            <w:webHidden/>
          </w:rPr>
          <w:tab/>
        </w:r>
        <w:r w:rsidR="00A50DA3">
          <w:rPr>
            <w:noProof/>
            <w:webHidden/>
          </w:rPr>
          <w:fldChar w:fldCharType="begin"/>
        </w:r>
        <w:r w:rsidR="00A50DA3">
          <w:rPr>
            <w:noProof/>
            <w:webHidden/>
          </w:rPr>
          <w:instrText xml:space="preserve"> PAGEREF _Toc414449461 \h </w:instrText>
        </w:r>
        <w:r w:rsidR="00A50DA3">
          <w:rPr>
            <w:noProof/>
            <w:webHidden/>
          </w:rPr>
        </w:r>
        <w:r w:rsidR="00A50DA3">
          <w:rPr>
            <w:noProof/>
            <w:webHidden/>
          </w:rPr>
          <w:fldChar w:fldCharType="separate"/>
        </w:r>
        <w:r w:rsidR="00A50DA3">
          <w:rPr>
            <w:noProof/>
            <w:webHidden/>
          </w:rPr>
          <w:t>27</w:t>
        </w:r>
        <w:r w:rsidR="00A50DA3">
          <w:rPr>
            <w:noProof/>
            <w:webHidden/>
          </w:rPr>
          <w:fldChar w:fldCharType="end"/>
        </w:r>
      </w:hyperlink>
    </w:p>
    <w:p w:rsidR="000C7648" w:rsidRPr="00A50DA3" w:rsidRDefault="00A50DA3" w:rsidP="00A50DA3">
      <w:r>
        <w:fldChar w:fldCharType="end"/>
      </w:r>
    </w:p>
    <w:p w:rsidR="00F20B31" w:rsidRDefault="00F20B31" w:rsidP="00F20B31">
      <w:pPr>
        <w:pStyle w:val="Heading1"/>
        <w:ind w:right="45"/>
      </w:pPr>
      <w:r>
        <w:br w:type="page"/>
      </w:r>
    </w:p>
    <w:p w:rsidR="00E46BBC" w:rsidRDefault="00822AD3" w:rsidP="00F20B31">
      <w:pPr>
        <w:pStyle w:val="Heading1"/>
        <w:ind w:right="45"/>
        <w:rPr>
          <w:rFonts w:eastAsia="Tahoma" w:hAnsi="Tahoma"/>
        </w:rPr>
      </w:pPr>
      <w:bookmarkStart w:id="9" w:name="_TOC_250014"/>
      <w:bookmarkStart w:id="10" w:name="_Toc414449038"/>
      <w:bookmarkStart w:id="11" w:name="_Toc414449095"/>
      <w:bookmarkStart w:id="12" w:name="_Toc414449229"/>
      <w:bookmarkStart w:id="13" w:name="_Toc414449405"/>
      <w:r>
        <w:rPr>
          <w:spacing w:val="-12"/>
        </w:rPr>
        <w:lastRenderedPageBreak/>
        <w:t>F</w:t>
      </w:r>
      <w:r>
        <w:t>or</w:t>
      </w:r>
      <w:r>
        <w:rPr>
          <w:spacing w:val="-14"/>
        </w:rPr>
        <w:t>e</w:t>
      </w:r>
      <w:r>
        <w:t>word</w:t>
      </w:r>
      <w:bookmarkEnd w:id="9"/>
      <w:bookmarkEnd w:id="10"/>
      <w:bookmarkEnd w:id="11"/>
      <w:bookmarkEnd w:id="12"/>
      <w:bookmarkEnd w:id="13"/>
    </w:p>
    <w:p w:rsidR="00E46BBC" w:rsidRPr="00F20B31" w:rsidRDefault="00822AD3" w:rsidP="00F20B31">
      <w:r w:rsidRPr="00F20B31">
        <w:t>The Australian Government is delivering on its commitment to ease the red tape burden on Australian business. The Industry and Science Portfolio received the message loud and clear from businesses that</w:t>
      </w:r>
      <w:r w:rsidR="00543D2A" w:rsidRPr="00F20B31">
        <w:t xml:space="preserve"> </w:t>
      </w:r>
      <w:r w:rsidRPr="00F20B31">
        <w:t>we need to remove the unnecessary paperwork and processes which cost them time and money.</w:t>
      </w:r>
    </w:p>
    <w:p w:rsidR="00E46BBC" w:rsidRDefault="00822AD3" w:rsidP="00F20B31">
      <w:pPr>
        <w:ind w:right="45"/>
      </w:pPr>
      <w:r>
        <w:rPr>
          <w:spacing w:val="-2"/>
        </w:rPr>
        <w:t>Tha</w:t>
      </w:r>
      <w:r>
        <w:t>t</w:t>
      </w:r>
      <w:r>
        <w:rPr>
          <w:spacing w:val="-12"/>
        </w:rPr>
        <w:t xml:space="preserve"> </w:t>
      </w:r>
      <w:r>
        <w:t>is</w:t>
      </w:r>
      <w:r>
        <w:rPr>
          <w:spacing w:val="-12"/>
        </w:rPr>
        <w:t xml:space="preserve"> </w:t>
      </w:r>
      <w:r>
        <w:t>why</w:t>
      </w:r>
      <w:r>
        <w:rPr>
          <w:spacing w:val="-12"/>
        </w:rPr>
        <w:t xml:space="preserve"> </w:t>
      </w:r>
      <w:r>
        <w:t>cutting</w:t>
      </w:r>
      <w:r>
        <w:rPr>
          <w:spacing w:val="-12"/>
        </w:rPr>
        <w:t xml:space="preserve"> </w:t>
      </w:r>
      <w:r>
        <w:rPr>
          <w:spacing w:val="-3"/>
        </w:rPr>
        <w:t>r</w:t>
      </w:r>
      <w:r>
        <w:rPr>
          <w:spacing w:val="-2"/>
        </w:rPr>
        <w:t>ed</w:t>
      </w:r>
      <w:r>
        <w:rPr>
          <w:spacing w:val="-12"/>
        </w:rPr>
        <w:t xml:space="preserve"> </w:t>
      </w:r>
      <w:r>
        <w:t>tape</w:t>
      </w:r>
      <w:r>
        <w:rPr>
          <w:spacing w:val="-12"/>
        </w:rPr>
        <w:t xml:space="preserve"> </w:t>
      </w:r>
      <w:r>
        <w:t>is</w:t>
      </w:r>
      <w:r>
        <w:rPr>
          <w:spacing w:val="-11"/>
        </w:rPr>
        <w:t xml:space="preserve"> </w:t>
      </w:r>
      <w:r>
        <w:t>part</w:t>
      </w:r>
      <w:r>
        <w:rPr>
          <w:spacing w:val="-12"/>
        </w:rPr>
        <w:t xml:space="preserve"> </w:t>
      </w:r>
      <w:r>
        <w:t>of</w:t>
      </w:r>
      <w:r>
        <w:rPr>
          <w:spacing w:val="-12"/>
        </w:rPr>
        <w:t xml:space="preserve"> </w:t>
      </w:r>
      <w:r>
        <w:t>our</w:t>
      </w:r>
      <w:r>
        <w:rPr>
          <w:spacing w:val="-12"/>
        </w:rPr>
        <w:t xml:space="preserve"> </w:t>
      </w:r>
      <w:r>
        <w:rPr>
          <w:spacing w:val="-3"/>
        </w:rPr>
        <w:t>ne</w:t>
      </w:r>
      <w:r>
        <w:rPr>
          <w:spacing w:val="-2"/>
        </w:rPr>
        <w:t>w</w:t>
      </w:r>
      <w:r>
        <w:rPr>
          <w:spacing w:val="-12"/>
        </w:rPr>
        <w:t xml:space="preserve"> </w:t>
      </w:r>
      <w:r w:rsidRPr="00543D2A">
        <w:rPr>
          <w:i/>
          <w:spacing w:val="-3"/>
        </w:rPr>
        <w:t xml:space="preserve">Industry </w:t>
      </w:r>
      <w:r w:rsidRPr="00C4607E">
        <w:rPr>
          <w:i/>
          <w:spacing w:val="-3"/>
        </w:rPr>
        <w:t>Innovation and Competitiveness Agenda</w:t>
      </w:r>
      <w:r w:rsidRPr="00C4607E">
        <w:rPr>
          <w:spacing w:val="-3"/>
        </w:rPr>
        <w:t>.</w:t>
      </w:r>
      <w:r>
        <w:rPr>
          <w:w w:val="90"/>
        </w:rPr>
        <w:t xml:space="preserve"> </w:t>
      </w:r>
      <w:r w:rsidRPr="00B61A71">
        <w:t>Creating a lower</w:t>
      </w:r>
      <w:r>
        <w:rPr>
          <w:spacing w:val="37"/>
          <w:w w:val="98"/>
        </w:rPr>
        <w:t xml:space="preserve"> </w:t>
      </w:r>
      <w:r>
        <w:t>cos</w:t>
      </w:r>
      <w:r>
        <w:rPr>
          <w:spacing w:val="-2"/>
        </w:rPr>
        <w:t>t,</w:t>
      </w:r>
      <w:r>
        <w:rPr>
          <w:spacing w:val="-12"/>
        </w:rPr>
        <w:t xml:space="preserve"> </w:t>
      </w:r>
      <w:r>
        <w:t>busines</w:t>
      </w:r>
      <w:r>
        <w:rPr>
          <w:spacing w:val="-2"/>
        </w:rPr>
        <w:t>s</w:t>
      </w:r>
      <w:r>
        <w:rPr>
          <w:spacing w:val="-12"/>
        </w:rPr>
        <w:t xml:space="preserve"> </w:t>
      </w:r>
      <w:r>
        <w:t>friendly</w:t>
      </w:r>
      <w:r>
        <w:rPr>
          <w:spacing w:val="-12"/>
        </w:rPr>
        <w:t xml:space="preserve"> </w:t>
      </w:r>
      <w:r>
        <w:t>environment</w:t>
      </w:r>
      <w:r>
        <w:rPr>
          <w:spacing w:val="-12"/>
        </w:rPr>
        <w:t xml:space="preserve"> </w:t>
      </w:r>
      <w:r>
        <w:t>for</w:t>
      </w:r>
      <w:r>
        <w:rPr>
          <w:spacing w:val="-12"/>
        </w:rPr>
        <w:t xml:space="preserve"> </w:t>
      </w:r>
      <w:r>
        <w:t>Austr</w:t>
      </w:r>
      <w:r>
        <w:rPr>
          <w:spacing w:val="-2"/>
        </w:rPr>
        <w:t>alian</w:t>
      </w:r>
      <w:r>
        <w:rPr>
          <w:spacing w:val="-12"/>
        </w:rPr>
        <w:t xml:space="preserve"> </w:t>
      </w:r>
      <w:r>
        <w:t>industry</w:t>
      </w:r>
      <w:r>
        <w:rPr>
          <w:spacing w:val="33"/>
          <w:w w:val="103"/>
        </w:rPr>
        <w:t xml:space="preserve"> </w:t>
      </w:r>
      <w:r>
        <w:t>is</w:t>
      </w:r>
      <w:r>
        <w:rPr>
          <w:spacing w:val="-7"/>
        </w:rPr>
        <w:t xml:space="preserve"> </w:t>
      </w:r>
      <w:r>
        <w:rPr>
          <w:spacing w:val="-3"/>
        </w:rPr>
        <w:t>in</w:t>
      </w:r>
      <w:r>
        <w:rPr>
          <w:spacing w:val="-2"/>
        </w:rPr>
        <w:t>tegr</w:t>
      </w:r>
      <w:r>
        <w:rPr>
          <w:spacing w:val="-3"/>
        </w:rPr>
        <w:t>al</w:t>
      </w:r>
      <w:r>
        <w:rPr>
          <w:spacing w:val="-6"/>
        </w:rPr>
        <w:t xml:space="preserve"> </w:t>
      </w:r>
      <w:r>
        <w:rPr>
          <w:spacing w:val="-2"/>
        </w:rPr>
        <w:t>to</w:t>
      </w:r>
      <w:r>
        <w:rPr>
          <w:spacing w:val="-6"/>
        </w:rPr>
        <w:t xml:space="preserve"> </w:t>
      </w:r>
      <w:r>
        <w:t>boosting</w:t>
      </w:r>
      <w:r>
        <w:rPr>
          <w:spacing w:val="-6"/>
        </w:rPr>
        <w:t xml:space="preserve"> </w:t>
      </w:r>
      <w:r>
        <w:rPr>
          <w:spacing w:val="-2"/>
        </w:rPr>
        <w:t>A</w:t>
      </w:r>
      <w:r>
        <w:rPr>
          <w:spacing w:val="-3"/>
        </w:rPr>
        <w:t>us</w:t>
      </w:r>
      <w:r>
        <w:rPr>
          <w:spacing w:val="-2"/>
        </w:rPr>
        <w:t>tr</w:t>
      </w:r>
      <w:r>
        <w:rPr>
          <w:spacing w:val="-3"/>
        </w:rPr>
        <w:t>alia’s</w:t>
      </w:r>
      <w:r>
        <w:rPr>
          <w:spacing w:val="-6"/>
        </w:rPr>
        <w:t xml:space="preserve"> </w:t>
      </w:r>
      <w:r>
        <w:t>competitivenes</w:t>
      </w:r>
      <w:r>
        <w:rPr>
          <w:spacing w:val="-2"/>
        </w:rPr>
        <w:t>s.</w:t>
      </w:r>
    </w:p>
    <w:p w:rsidR="00E46BBC" w:rsidRPr="00F20B31" w:rsidRDefault="00822AD3" w:rsidP="00F20B31">
      <w:r w:rsidRPr="00F20B31">
        <w:t>While the removal of regulations is an important step, the Government is also looking at how it can change its practice to help industry improve productivity</w:t>
      </w:r>
      <w:r w:rsidR="00543D2A" w:rsidRPr="00F20B31">
        <w:t xml:space="preserve"> </w:t>
      </w:r>
      <w:r w:rsidRPr="00F20B31">
        <w:t>and competitiveness.</w:t>
      </w:r>
    </w:p>
    <w:p w:rsidR="00E46BBC" w:rsidRPr="00F20B31" w:rsidRDefault="00822AD3" w:rsidP="00F20B31">
      <w:r w:rsidRPr="00F20B31">
        <w:t>We are improving the way regulators administer their regulations, designing best practice regulations that are less burdensome and working more closely with industry to identify reforms. For example, the</w:t>
      </w:r>
    </w:p>
    <w:p w:rsidR="00E46BBC" w:rsidRPr="00F20B31" w:rsidRDefault="00822AD3" w:rsidP="00F20B31">
      <w:r w:rsidRPr="00F20B31">
        <w:t>Australian Government is adopting a new principle that, if a system, service or product has been approved under a trusted international standard or risk assessment, then our regulators should not impose any additional requirements for approval in Australia, unless it can be demonstrated that there is a good reason to do so. This will remove regulatory duplication, reduce costs and delays for businesses and consumers, and increase the supply of products into the Australian market.</w:t>
      </w:r>
    </w:p>
    <w:p w:rsidR="00E46BBC" w:rsidRPr="00F20B31" w:rsidRDefault="00822AD3" w:rsidP="00F20B31">
      <w:r w:rsidRPr="00F20B31">
        <w:t>We have already taken actions to cut red tape through reforming the vocational education and training system, and streamlining the Australian intellectual property system for businesses. We have also</w:t>
      </w:r>
      <w:r w:rsidR="00543D2A" w:rsidRPr="00F20B31">
        <w:t xml:space="preserve"> </w:t>
      </w:r>
      <w:r w:rsidRPr="00F20B31">
        <w:t>freed large businesses from lengthy and prescriptive energy efficiency assessment and verification processes in response to changing market conditions which drive better energy management without government intervention.</w:t>
      </w:r>
    </w:p>
    <w:p w:rsidR="00E46BBC" w:rsidRPr="00F20B31" w:rsidRDefault="00822AD3" w:rsidP="00F20B31">
      <w:r w:rsidRPr="00F20B31">
        <w:t>There are many promising initiatives underway, aiming to ease the regulatory burden of red tape. These include: Council of Australian Governments’ reforms to reduce duplicative processes across jurisdictions, the Industry Growth Centres Initiative to help businesses with winning strategies grow, and streamline access to the information and services required by Australian businesses through the new Single Business Service. These are just a few examples of the common sense approaches developed as a direct result of listening to industry and its ideas for reform.</w:t>
      </w:r>
    </w:p>
    <w:p w:rsidR="00E46BBC" w:rsidRPr="00F20B31" w:rsidRDefault="00822AD3" w:rsidP="00F20B31">
      <w:r w:rsidRPr="00F20B31">
        <w:t>During 2014, the reduction in red tape within the Industry and Science Portfolio delivered nearly</w:t>
      </w:r>
      <w:r w:rsidR="00896123">
        <w:t xml:space="preserve"> </w:t>
      </w:r>
      <w:r w:rsidRPr="00F20B31">
        <w:t>$220 million of savings to Australian businesses, individuals and community organisations. This will provide more time to focus on what really matters—building Australia’s productivity. My portfolio will continue working hard to strengthen the operating environment for businesses, large and small, so they can create jobs and prosper in a globally competitive market.</w:t>
      </w:r>
    </w:p>
    <w:p w:rsidR="00E46BBC" w:rsidRPr="00F20B31" w:rsidRDefault="00822AD3" w:rsidP="000B6193">
      <w:pPr>
        <w:spacing w:before="600"/>
      </w:pPr>
      <w:r w:rsidRPr="00F20B31">
        <w:t>Ian Macfarlane MP</w:t>
      </w:r>
    </w:p>
    <w:p w:rsidR="000B6193" w:rsidRDefault="00822AD3" w:rsidP="00F20B31">
      <w:r w:rsidRPr="00F20B31">
        <w:t>Minister for Industry and Science</w:t>
      </w:r>
    </w:p>
    <w:p w:rsidR="000B6193" w:rsidRDefault="000B6193">
      <w:pPr>
        <w:spacing w:before="0" w:line="240" w:lineRule="auto"/>
      </w:pPr>
      <w:r>
        <w:br w:type="page"/>
      </w:r>
    </w:p>
    <w:p w:rsidR="00E46BBC" w:rsidRPr="00A50DA3" w:rsidRDefault="00822AD3" w:rsidP="00A50DA3">
      <w:pPr>
        <w:pStyle w:val="Heading1"/>
      </w:pPr>
      <w:bookmarkStart w:id="14" w:name="_TOC_250013"/>
      <w:bookmarkStart w:id="15" w:name="_Toc414449039"/>
      <w:bookmarkStart w:id="16" w:name="_Toc414449096"/>
      <w:bookmarkStart w:id="17" w:name="_Toc414449230"/>
      <w:bookmarkStart w:id="18" w:name="_Toc414449406"/>
      <w:r w:rsidRPr="00A50DA3">
        <w:lastRenderedPageBreak/>
        <w:t>Introduction</w:t>
      </w:r>
      <w:bookmarkEnd w:id="14"/>
      <w:bookmarkEnd w:id="15"/>
      <w:bookmarkEnd w:id="16"/>
      <w:bookmarkEnd w:id="17"/>
      <w:bookmarkEnd w:id="18"/>
    </w:p>
    <w:p w:rsidR="00E46BBC" w:rsidRPr="00915F01" w:rsidRDefault="00822AD3" w:rsidP="00F20B31">
      <w:pPr>
        <w:ind w:right="45"/>
      </w:pPr>
      <w:r w:rsidRPr="00915F01">
        <w:rPr>
          <w:spacing w:val="-2"/>
        </w:rPr>
        <w:t>T</w:t>
      </w:r>
      <w:r w:rsidRPr="00915F01">
        <w:t>he</w:t>
      </w:r>
      <w:r w:rsidRPr="00915F01">
        <w:rPr>
          <w:spacing w:val="-12"/>
        </w:rPr>
        <w:t xml:space="preserve"> </w:t>
      </w:r>
      <w:r w:rsidRPr="00915F01">
        <w:t>Austr</w:t>
      </w:r>
      <w:r w:rsidRPr="00915F01">
        <w:rPr>
          <w:spacing w:val="-2"/>
        </w:rPr>
        <w:t>alian</w:t>
      </w:r>
      <w:r w:rsidRPr="00915F01">
        <w:rPr>
          <w:spacing w:val="-12"/>
        </w:rPr>
        <w:t xml:space="preserve"> </w:t>
      </w:r>
      <w:r w:rsidRPr="00915F01">
        <w:t>economy</w:t>
      </w:r>
      <w:r w:rsidRPr="00915F01">
        <w:rPr>
          <w:spacing w:val="-11"/>
        </w:rPr>
        <w:t xml:space="preserve"> </w:t>
      </w:r>
      <w:r w:rsidRPr="00915F01">
        <w:t>is</w:t>
      </w:r>
      <w:r w:rsidRPr="00915F01">
        <w:rPr>
          <w:spacing w:val="-12"/>
        </w:rPr>
        <w:t xml:space="preserve"> </w:t>
      </w:r>
      <w:r w:rsidRPr="00915F01">
        <w:t>in</w:t>
      </w:r>
      <w:r w:rsidRPr="00915F01">
        <w:rPr>
          <w:spacing w:val="-11"/>
        </w:rPr>
        <w:t xml:space="preserve"> </w:t>
      </w:r>
      <w:r w:rsidRPr="00915F01">
        <w:t>constant</w:t>
      </w:r>
      <w:r w:rsidRPr="00915F01">
        <w:rPr>
          <w:spacing w:val="-12"/>
        </w:rPr>
        <w:t xml:space="preserve"> </w:t>
      </w:r>
      <w:r w:rsidRPr="00915F01">
        <w:t>flux,</w:t>
      </w:r>
      <w:r w:rsidRPr="00915F01">
        <w:rPr>
          <w:spacing w:val="-11"/>
        </w:rPr>
        <w:t xml:space="preserve"> </w:t>
      </w:r>
      <w:r w:rsidRPr="00DD6581">
        <w:t>as</w:t>
      </w:r>
      <w:r w:rsidRPr="00915F01">
        <w:rPr>
          <w:spacing w:val="-12"/>
        </w:rPr>
        <w:t xml:space="preserve"> </w:t>
      </w:r>
      <w:r w:rsidRPr="00915F01">
        <w:t>industry</w:t>
      </w:r>
      <w:r w:rsidRPr="00915F01">
        <w:rPr>
          <w:spacing w:val="-11"/>
        </w:rPr>
        <w:t xml:space="preserve"> </w:t>
      </w:r>
      <w:r w:rsidRPr="00915F01">
        <w:t>and</w:t>
      </w:r>
      <w:r w:rsidRPr="00915F01">
        <w:rPr>
          <w:spacing w:val="-12"/>
        </w:rPr>
        <w:t xml:space="preserve"> </w:t>
      </w:r>
      <w:r w:rsidRPr="00915F01">
        <w:t>individuals</w:t>
      </w:r>
      <w:r w:rsidRPr="00915F01">
        <w:rPr>
          <w:spacing w:val="-11"/>
        </w:rPr>
        <w:t xml:space="preserve"> </w:t>
      </w:r>
      <w:r w:rsidRPr="00915F01">
        <w:rPr>
          <w:spacing w:val="-3"/>
        </w:rPr>
        <w:t>s</w:t>
      </w:r>
      <w:r w:rsidRPr="00915F01">
        <w:rPr>
          <w:spacing w:val="-2"/>
        </w:rPr>
        <w:t>triv</w:t>
      </w:r>
      <w:r w:rsidRPr="00915F01">
        <w:rPr>
          <w:spacing w:val="-3"/>
        </w:rPr>
        <w:t>e</w:t>
      </w:r>
      <w:r w:rsidRPr="00915F01">
        <w:rPr>
          <w:spacing w:val="-12"/>
        </w:rPr>
        <w:t xml:space="preserve"> </w:t>
      </w:r>
      <w:r w:rsidRPr="00915F01">
        <w:rPr>
          <w:spacing w:val="-2"/>
        </w:rPr>
        <w:t>to</w:t>
      </w:r>
      <w:r w:rsidRPr="00915F01">
        <w:rPr>
          <w:spacing w:val="-12"/>
        </w:rPr>
        <w:t xml:space="preserve"> </w:t>
      </w:r>
      <w:r w:rsidRPr="00915F01">
        <w:rPr>
          <w:spacing w:val="-2"/>
        </w:rPr>
        <w:t>tak</w:t>
      </w:r>
      <w:r w:rsidRPr="00915F01">
        <w:rPr>
          <w:spacing w:val="-3"/>
        </w:rPr>
        <w:t>e</w:t>
      </w:r>
      <w:r w:rsidRPr="00915F01">
        <w:rPr>
          <w:spacing w:val="-11"/>
        </w:rPr>
        <w:t xml:space="preserve"> </w:t>
      </w:r>
      <w:r w:rsidRPr="00915F01">
        <w:t>adv</w:t>
      </w:r>
      <w:r w:rsidRPr="00915F01">
        <w:rPr>
          <w:spacing w:val="-2"/>
        </w:rPr>
        <w:t>an</w:t>
      </w:r>
      <w:r w:rsidRPr="00915F01">
        <w:t>tage</w:t>
      </w:r>
      <w:r w:rsidRPr="00915F01">
        <w:rPr>
          <w:spacing w:val="-12"/>
        </w:rPr>
        <w:t xml:space="preserve"> </w:t>
      </w:r>
      <w:r w:rsidRPr="00915F01">
        <w:t>of</w:t>
      </w:r>
      <w:r w:rsidRPr="00915F01">
        <w:rPr>
          <w:spacing w:val="45"/>
          <w:w w:val="102"/>
        </w:rPr>
        <w:t xml:space="preserve"> </w:t>
      </w:r>
      <w:r w:rsidRPr="00915F01">
        <w:t>opportunities</w:t>
      </w:r>
      <w:r w:rsidRPr="00915F01">
        <w:rPr>
          <w:spacing w:val="-8"/>
        </w:rPr>
        <w:t xml:space="preserve"> </w:t>
      </w:r>
      <w:r w:rsidRPr="00915F01">
        <w:rPr>
          <w:spacing w:val="-2"/>
        </w:rPr>
        <w:t>to</w:t>
      </w:r>
      <w:r w:rsidRPr="00915F01">
        <w:rPr>
          <w:spacing w:val="-7"/>
        </w:rPr>
        <w:t xml:space="preserve"> </w:t>
      </w:r>
      <w:r w:rsidRPr="00915F01">
        <w:t>build</w:t>
      </w:r>
      <w:r w:rsidRPr="00915F01">
        <w:rPr>
          <w:spacing w:val="-7"/>
        </w:rPr>
        <w:t xml:space="preserve"> </w:t>
      </w:r>
      <w:r w:rsidRPr="00915F01">
        <w:t>on</w:t>
      </w:r>
      <w:r w:rsidRPr="00915F01">
        <w:rPr>
          <w:spacing w:val="-8"/>
        </w:rPr>
        <w:t xml:space="preserve"> </w:t>
      </w:r>
      <w:r w:rsidRPr="00915F01">
        <w:rPr>
          <w:spacing w:val="-2"/>
        </w:rPr>
        <w:t>A</w:t>
      </w:r>
      <w:r w:rsidRPr="00915F01">
        <w:rPr>
          <w:spacing w:val="-3"/>
        </w:rPr>
        <w:t>us</w:t>
      </w:r>
      <w:r w:rsidRPr="00915F01">
        <w:rPr>
          <w:spacing w:val="-2"/>
        </w:rPr>
        <w:t>tr</w:t>
      </w:r>
      <w:r w:rsidRPr="00915F01">
        <w:rPr>
          <w:spacing w:val="-3"/>
        </w:rPr>
        <w:t>alia’s</w:t>
      </w:r>
      <w:r w:rsidRPr="00915F01">
        <w:rPr>
          <w:spacing w:val="-7"/>
        </w:rPr>
        <w:t xml:space="preserve"> </w:t>
      </w:r>
      <w:r w:rsidRPr="00915F01">
        <w:t>competitive</w:t>
      </w:r>
      <w:r w:rsidRPr="00915F01">
        <w:rPr>
          <w:spacing w:val="-7"/>
        </w:rPr>
        <w:t xml:space="preserve"> </w:t>
      </w:r>
      <w:r w:rsidRPr="00915F01">
        <w:t>adv</w:t>
      </w:r>
      <w:r w:rsidRPr="00915F01">
        <w:rPr>
          <w:spacing w:val="-2"/>
        </w:rPr>
        <w:t>an</w:t>
      </w:r>
      <w:r w:rsidRPr="00915F01">
        <w:t>tage</w:t>
      </w:r>
      <w:r w:rsidRPr="00915F01">
        <w:rPr>
          <w:spacing w:val="-2"/>
        </w:rPr>
        <w:t>.</w:t>
      </w:r>
      <w:r w:rsidRPr="00915F01">
        <w:rPr>
          <w:spacing w:val="-8"/>
        </w:rPr>
        <w:t xml:space="preserve"> </w:t>
      </w:r>
      <w:r w:rsidRPr="00915F01">
        <w:rPr>
          <w:spacing w:val="-2"/>
        </w:rPr>
        <w:t>T</w:t>
      </w:r>
      <w:r w:rsidRPr="00915F01">
        <w:t>he</w:t>
      </w:r>
      <w:r w:rsidRPr="00915F01">
        <w:rPr>
          <w:spacing w:val="-7"/>
        </w:rPr>
        <w:t xml:space="preserve"> </w:t>
      </w:r>
      <w:r w:rsidRPr="00915F01">
        <w:rPr>
          <w:spacing w:val="-2"/>
        </w:rPr>
        <w:t>Government</w:t>
      </w:r>
      <w:r w:rsidRPr="00915F01">
        <w:rPr>
          <w:spacing w:val="-7"/>
        </w:rPr>
        <w:t xml:space="preserve"> </w:t>
      </w:r>
      <w:r w:rsidRPr="00915F01">
        <w:t>is</w:t>
      </w:r>
      <w:r w:rsidRPr="00915F01">
        <w:rPr>
          <w:spacing w:val="-8"/>
        </w:rPr>
        <w:t xml:space="preserve"> </w:t>
      </w:r>
      <w:r w:rsidRPr="00915F01">
        <w:t>developing</w:t>
      </w:r>
      <w:r w:rsidRPr="00915F01">
        <w:rPr>
          <w:spacing w:val="-7"/>
        </w:rPr>
        <w:t xml:space="preserve"> </w:t>
      </w:r>
      <w:r w:rsidRPr="00915F01">
        <w:t>policies</w:t>
      </w:r>
      <w:r w:rsidRPr="00915F01">
        <w:rPr>
          <w:spacing w:val="-7"/>
        </w:rPr>
        <w:t xml:space="preserve"> </w:t>
      </w:r>
      <w:r w:rsidRPr="00915F01">
        <w:t>that</w:t>
      </w:r>
      <w:r w:rsidRPr="00915F01">
        <w:rPr>
          <w:spacing w:val="53"/>
          <w:w w:val="105"/>
        </w:rPr>
        <w:t xml:space="preserve"> </w:t>
      </w:r>
      <w:r w:rsidRPr="00915F01">
        <w:rPr>
          <w:spacing w:val="-2"/>
        </w:rPr>
        <w:t>fost</w:t>
      </w:r>
      <w:r w:rsidRPr="00915F01">
        <w:rPr>
          <w:spacing w:val="-3"/>
        </w:rPr>
        <w:t>er</w:t>
      </w:r>
      <w:r w:rsidRPr="00915F01">
        <w:rPr>
          <w:spacing w:val="-12"/>
        </w:rPr>
        <w:t xml:space="preserve"> </w:t>
      </w:r>
      <w:r w:rsidRPr="00915F01">
        <w:rPr>
          <w:spacing w:val="-2"/>
        </w:rPr>
        <w:t>innov</w:t>
      </w:r>
      <w:r w:rsidRPr="00915F01">
        <w:rPr>
          <w:spacing w:val="-3"/>
        </w:rPr>
        <w:t>a</w:t>
      </w:r>
      <w:r w:rsidRPr="00915F01">
        <w:rPr>
          <w:spacing w:val="-2"/>
        </w:rPr>
        <w:t>tion</w:t>
      </w:r>
      <w:r w:rsidRPr="00915F01">
        <w:rPr>
          <w:spacing w:val="-11"/>
        </w:rPr>
        <w:t xml:space="preserve"> </w:t>
      </w:r>
      <w:r w:rsidRPr="00915F01">
        <w:t>and</w:t>
      </w:r>
      <w:r w:rsidRPr="00915F01">
        <w:rPr>
          <w:spacing w:val="-11"/>
        </w:rPr>
        <w:t xml:space="preserve"> </w:t>
      </w:r>
      <w:r w:rsidRPr="00915F01">
        <w:t>entrepreneurship</w:t>
      </w:r>
      <w:r w:rsidRPr="00915F01">
        <w:rPr>
          <w:spacing w:val="-2"/>
        </w:rPr>
        <w:t>.</w:t>
      </w:r>
      <w:r w:rsidRPr="00915F01">
        <w:rPr>
          <w:spacing w:val="-11"/>
        </w:rPr>
        <w:t xml:space="preserve"> </w:t>
      </w:r>
      <w:r w:rsidRPr="00915F01">
        <w:rPr>
          <w:spacing w:val="-2"/>
        </w:rPr>
        <w:t>T</w:t>
      </w:r>
      <w:r w:rsidRPr="00915F01">
        <w:t>he</w:t>
      </w:r>
      <w:r w:rsidRPr="00915F01">
        <w:rPr>
          <w:spacing w:val="-12"/>
        </w:rPr>
        <w:t xml:space="preserve"> </w:t>
      </w:r>
      <w:r w:rsidRPr="00915F01">
        <w:rPr>
          <w:spacing w:val="-2"/>
        </w:rPr>
        <w:t>Government’</w:t>
      </w:r>
      <w:r w:rsidRPr="00915F01">
        <w:rPr>
          <w:spacing w:val="-3"/>
        </w:rPr>
        <w:t>s</w:t>
      </w:r>
      <w:r w:rsidRPr="00915F01">
        <w:rPr>
          <w:spacing w:val="-11"/>
        </w:rPr>
        <w:t xml:space="preserve"> </w:t>
      </w:r>
      <w:r w:rsidRPr="00915F01">
        <w:t>commitment</w:t>
      </w:r>
      <w:r w:rsidRPr="00915F01">
        <w:rPr>
          <w:spacing w:val="-11"/>
        </w:rPr>
        <w:t xml:space="preserve"> </w:t>
      </w:r>
      <w:r w:rsidRPr="00915F01">
        <w:rPr>
          <w:spacing w:val="-2"/>
        </w:rPr>
        <w:t>to</w:t>
      </w:r>
      <w:r w:rsidRPr="00915F01">
        <w:rPr>
          <w:spacing w:val="-11"/>
        </w:rPr>
        <w:t xml:space="preserve"> </w:t>
      </w:r>
      <w:r w:rsidRPr="00915F01">
        <w:rPr>
          <w:spacing w:val="-3"/>
        </w:rPr>
        <w:t>improv</w:t>
      </w:r>
      <w:r w:rsidRPr="00915F01">
        <w:rPr>
          <w:spacing w:val="-4"/>
        </w:rPr>
        <w:t>e</w:t>
      </w:r>
      <w:r w:rsidRPr="00915F01">
        <w:rPr>
          <w:spacing w:val="-11"/>
        </w:rPr>
        <w:t xml:space="preserve"> </w:t>
      </w:r>
      <w:r w:rsidRPr="00915F01">
        <w:t>regulation</w:t>
      </w:r>
      <w:r w:rsidRPr="00915F01">
        <w:rPr>
          <w:spacing w:val="-12"/>
        </w:rPr>
        <w:t xml:space="preserve"> </w:t>
      </w:r>
      <w:r w:rsidRPr="00915F01">
        <w:t>and</w:t>
      </w:r>
      <w:r w:rsidRPr="00915F01">
        <w:rPr>
          <w:spacing w:val="-11"/>
        </w:rPr>
        <w:t xml:space="preserve"> </w:t>
      </w:r>
      <w:r w:rsidRPr="00915F01">
        <w:rPr>
          <w:spacing w:val="-3"/>
        </w:rPr>
        <w:t>r</w:t>
      </w:r>
      <w:r w:rsidRPr="00915F01">
        <w:rPr>
          <w:spacing w:val="-2"/>
        </w:rPr>
        <w:t>educ</w:t>
      </w:r>
      <w:r w:rsidRPr="00915F01">
        <w:rPr>
          <w:spacing w:val="-3"/>
        </w:rPr>
        <w:t>e</w:t>
      </w:r>
      <w:r w:rsidRPr="00915F01">
        <w:rPr>
          <w:spacing w:val="95"/>
          <w:w w:val="98"/>
        </w:rPr>
        <w:t xml:space="preserve"> </w:t>
      </w:r>
      <w:r w:rsidRPr="00915F01">
        <w:t>regulatory</w:t>
      </w:r>
      <w:r w:rsidRPr="00915F01">
        <w:rPr>
          <w:spacing w:val="-16"/>
        </w:rPr>
        <w:t xml:space="preserve"> </w:t>
      </w:r>
      <w:r w:rsidRPr="00915F01">
        <w:t>burden</w:t>
      </w:r>
      <w:r w:rsidRPr="00915F01">
        <w:rPr>
          <w:spacing w:val="-16"/>
        </w:rPr>
        <w:t xml:space="preserve"> </w:t>
      </w:r>
      <w:r w:rsidRPr="00915F01">
        <w:rPr>
          <w:spacing w:val="-2"/>
        </w:rPr>
        <w:t>by</w:t>
      </w:r>
      <w:r w:rsidRPr="00915F01">
        <w:rPr>
          <w:spacing w:val="-16"/>
        </w:rPr>
        <w:t xml:space="preserve"> </w:t>
      </w:r>
      <w:r w:rsidRPr="00915F01">
        <w:t>$</w:t>
      </w:r>
      <w:r w:rsidRPr="00915F01">
        <w:rPr>
          <w:spacing w:val="-2"/>
        </w:rPr>
        <w:t>1</w:t>
      </w:r>
      <w:r w:rsidRPr="00915F01">
        <w:rPr>
          <w:spacing w:val="-16"/>
        </w:rPr>
        <w:t xml:space="preserve"> </w:t>
      </w:r>
      <w:r w:rsidRPr="00915F01">
        <w:t>billion</w:t>
      </w:r>
      <w:r w:rsidRPr="00915F01">
        <w:rPr>
          <w:spacing w:val="-16"/>
        </w:rPr>
        <w:t xml:space="preserve"> </w:t>
      </w:r>
      <w:r w:rsidRPr="00915F01">
        <w:t>annually</w:t>
      </w:r>
      <w:r w:rsidRPr="00915F01">
        <w:rPr>
          <w:spacing w:val="-15"/>
        </w:rPr>
        <w:t xml:space="preserve"> </w:t>
      </w:r>
      <w:r w:rsidRPr="00915F01">
        <w:t>is</w:t>
      </w:r>
      <w:r w:rsidRPr="00915F01">
        <w:rPr>
          <w:spacing w:val="-16"/>
        </w:rPr>
        <w:t xml:space="preserve"> </w:t>
      </w:r>
      <w:r w:rsidRPr="00915F01">
        <w:t>a</w:t>
      </w:r>
      <w:r w:rsidRPr="00915F01">
        <w:rPr>
          <w:spacing w:val="-16"/>
        </w:rPr>
        <w:t xml:space="preserve"> </w:t>
      </w:r>
      <w:r w:rsidRPr="00915F01">
        <w:t>critical</w:t>
      </w:r>
      <w:r w:rsidRPr="00915F01">
        <w:rPr>
          <w:spacing w:val="-16"/>
        </w:rPr>
        <w:t xml:space="preserve"> </w:t>
      </w:r>
      <w:r w:rsidRPr="00915F01">
        <w:rPr>
          <w:spacing w:val="-3"/>
        </w:rPr>
        <w:t>s</w:t>
      </w:r>
      <w:r w:rsidRPr="00915F01">
        <w:rPr>
          <w:spacing w:val="-2"/>
        </w:rPr>
        <w:t>tep</w:t>
      </w:r>
      <w:r w:rsidRPr="00915F01">
        <w:rPr>
          <w:spacing w:val="-16"/>
        </w:rPr>
        <w:t xml:space="preserve"> </w:t>
      </w:r>
      <w:r w:rsidRPr="00915F01">
        <w:rPr>
          <w:spacing w:val="-3"/>
        </w:rPr>
        <w:t>tow</w:t>
      </w:r>
      <w:r w:rsidRPr="00915F01">
        <w:rPr>
          <w:spacing w:val="-4"/>
        </w:rPr>
        <w:t>ar</w:t>
      </w:r>
      <w:r w:rsidRPr="00915F01">
        <w:rPr>
          <w:spacing w:val="-3"/>
        </w:rPr>
        <w:t>ds</w:t>
      </w:r>
      <w:r w:rsidRPr="00915F01">
        <w:rPr>
          <w:spacing w:val="-16"/>
        </w:rPr>
        <w:t xml:space="preserve"> </w:t>
      </w:r>
      <w:r w:rsidRPr="00915F01">
        <w:t>achieving</w:t>
      </w:r>
      <w:r w:rsidRPr="00915F01">
        <w:rPr>
          <w:spacing w:val="-15"/>
        </w:rPr>
        <w:t xml:space="preserve"> </w:t>
      </w:r>
      <w:r w:rsidRPr="00915F01">
        <w:t>this.</w:t>
      </w:r>
    </w:p>
    <w:p w:rsidR="00E46BBC" w:rsidRPr="00F20B31" w:rsidRDefault="00822AD3" w:rsidP="00F20B31">
      <w:r w:rsidRPr="00F20B31">
        <w:t>Regulation is any rule endorsed by government where there is an expectation of compliance. This includes legislation, programmes, administrative processes and applications, and any other aspect of government or regulator behaviour that can influence actions. Reforms identified and implemented will enable businesses, community organisations and individuals to invest their limited time and resources elsewhere, such as engaging in research and development, building skills and exploring new export markets.</w:t>
      </w:r>
    </w:p>
    <w:p w:rsidR="00E46BBC" w:rsidRPr="00F20B31" w:rsidRDefault="00822AD3" w:rsidP="00F20B31">
      <w:r w:rsidRPr="00F20B31">
        <w:t>Each portfolio has established a regulation reform team whose primary focus is to support the regulation reform agenda, improve regulations within the portfolio and engage with industry to help identify reform opportunities. To achieve this, we are examining the portfolio’s stock of regulation, working with other government agencies to investigate regulations administered by other portfolios, and creating partnerships with our state and territory colleagues for opportunities to streamline processes.</w:t>
      </w:r>
    </w:p>
    <w:p w:rsidR="00E46BBC" w:rsidRPr="00F20B31" w:rsidRDefault="00822AD3" w:rsidP="00F20B31">
      <w:r w:rsidRPr="00F20B31">
        <w:t xml:space="preserve">It is vital that we understand the impact of our regulations to meet the needs of industry today and into the future. In 2014, the portfolio administered 79 acts and engaged a diverse range of stakeholders and industry sectors, from </w:t>
      </w:r>
      <w:r w:rsidR="00D847ED" w:rsidRPr="00F20B31">
        <w:t>well-established</w:t>
      </w:r>
      <w:r w:rsidRPr="00F20B31">
        <w:t xml:space="preserve"> sectors, such as energy and resources to emerging sectors,</w:t>
      </w:r>
      <w:r w:rsidR="00D847ED" w:rsidRPr="00F20B31">
        <w:t xml:space="preserve"> </w:t>
      </w:r>
      <w:r w:rsidRPr="00F20B31">
        <w:t>such as advanced manufacturing. Our regulators touched on numerous areas of the economy including</w:t>
      </w:r>
      <w:r w:rsidR="00D847ED" w:rsidRPr="00F20B31">
        <w:t xml:space="preserve"> </w:t>
      </w:r>
      <w:r w:rsidRPr="00F20B31">
        <w:t>the science and research community; education and training; and building and construction.</w:t>
      </w:r>
    </w:p>
    <w:p w:rsidR="00E46BBC" w:rsidRPr="00F20B31" w:rsidRDefault="00822AD3" w:rsidP="00F20B31">
      <w:r w:rsidRPr="00F20B31">
        <w:t>A key focus of the regulation reform agenda is to remove duplicative processes and make it easier for industry and the community to interact with government. This means we need to work across the</w:t>
      </w:r>
      <w:r w:rsidR="00F20B31" w:rsidRPr="00F20B31">
        <w:t xml:space="preserve"> </w:t>
      </w:r>
      <w:r w:rsidRPr="00F20B31">
        <w:t>Government and with other governments at the state, territory and local level. A significant achievement in 2014 for the portfolio was working with the Minister for the Environment and his department to remove</w:t>
      </w:r>
      <w:r w:rsidR="00F20B31" w:rsidRPr="00F20B31">
        <w:t xml:space="preserve"> </w:t>
      </w:r>
      <w:r w:rsidRPr="00F20B31">
        <w:t>the duplication of environmental approvals for the offshore petroleum industry. We engaged with state and territory governments, through the Council of Australian Governments (COAG), to pioneer reforms in</w:t>
      </w:r>
      <w:r w:rsidR="00F20B31" w:rsidRPr="00F20B31">
        <w:t xml:space="preserve"> </w:t>
      </w:r>
      <w:r w:rsidRPr="00F20B31">
        <w:t>the areas of vocational education and training (VET), and to improve the National Construction Code.</w:t>
      </w:r>
    </w:p>
    <w:p w:rsidR="00E46BBC" w:rsidRPr="00F20B31" w:rsidRDefault="00822AD3" w:rsidP="00F20B31">
      <w:r w:rsidRPr="00F20B31">
        <w:t>Wherever feasible, the portfolio is committed to identifying potential alternatives that minimise costs and achieve the desired policy outcome. For example, the portfolio has undertaken regulation reform workshops on appliance energy efficiency and legal metrology to understand their regulatory footprint and identify reform opportunities. Reforms identified in these workshops and through any reviews or ongoing work by the regulators will be progressed in 2015 and 2016.</w:t>
      </w:r>
    </w:p>
    <w:p w:rsidR="00E46BBC" w:rsidRPr="00F20B31" w:rsidRDefault="00822AD3" w:rsidP="00F20B31">
      <w:r w:rsidRPr="00F20B31">
        <w:t xml:space="preserve">To create open and transparent dialogue with industry, a new </w:t>
      </w:r>
      <w:hyperlink r:id="rId14">
        <w:r w:rsidRPr="00F20B31">
          <w:rPr>
            <w:rStyle w:val="Hyperlink"/>
          </w:rPr>
          <w:t>external webpage</w:t>
        </w:r>
      </w:hyperlink>
      <w:r w:rsidR="00F20B31" w:rsidRPr="00F20B31">
        <w:footnoteReference w:id="1"/>
      </w:r>
      <w:r w:rsidR="001F44C9" w:rsidRPr="00F20B31">
        <w:t xml:space="preserve"> </w:t>
      </w:r>
      <w:r w:rsidRPr="00F20B31">
        <w:t xml:space="preserve"> has been developed to make it easier for industry’s views to be heard throughout the policy and programme development process. The external webpage also connects stakeholders to major reviews being undertaken to free business from unnecessary regulatory constraints.</w:t>
      </w:r>
    </w:p>
    <w:p w:rsidR="00E46BBC" w:rsidRPr="00F20B31" w:rsidRDefault="00822AD3" w:rsidP="00F20B31">
      <w:r w:rsidRPr="00F20B31">
        <w:t xml:space="preserve">To assist departmental officers to minimise compliance burden when designing new policies and programmes, in consultation with industry groups, we have developed the </w:t>
      </w:r>
      <w:hyperlink r:id="rId15">
        <w:r w:rsidRPr="00F20B31">
          <w:rPr>
            <w:rStyle w:val="Hyperlink"/>
          </w:rPr>
          <w:t>Industry Officer’s Guide to</w:t>
        </w:r>
      </w:hyperlink>
      <w:r w:rsidRPr="00F20B31">
        <w:t xml:space="preserve"> </w:t>
      </w:r>
      <w:hyperlink r:id="rId16">
        <w:r w:rsidRPr="00F20B31">
          <w:rPr>
            <w:rStyle w:val="Hyperlink"/>
          </w:rPr>
          <w:t>Regulation Reform</w:t>
        </w:r>
      </w:hyperlink>
      <w:r w:rsidRPr="00F20B31">
        <w:t>. Importantly, we are keen to improve transparency and clarity of the regulation making process. That is why we will be working closely with industry to improve the quality and readability of our regulation impact statements (RISs) by rolling out a standard RIS template.</w:t>
      </w:r>
    </w:p>
    <w:p w:rsidR="000B6193" w:rsidRDefault="00822AD3" w:rsidP="000B6193">
      <w:r w:rsidRPr="00F20B31">
        <w:t>Following the machinery-of-government changes in December 2014, responsibility for the VET and skills functions</w:t>
      </w:r>
      <w:r w:rsidR="00F20B31" w:rsidRPr="00F20B31">
        <w:footnoteReference w:id="2"/>
      </w:r>
      <w:r w:rsidRPr="00F20B31">
        <w:t xml:space="preserve"> transferred to the Department of Education and Training. This annual report covers the deregulatory activities undertaken throughout 2014, which preceded the machinery-of-government changes.</w:t>
      </w:r>
      <w:bookmarkStart w:id="19" w:name="_TOC_250012"/>
    </w:p>
    <w:p w:rsidR="000B6193" w:rsidRDefault="000B6193">
      <w:pPr>
        <w:spacing w:before="0" w:line="240" w:lineRule="auto"/>
      </w:pPr>
      <w:r>
        <w:br w:type="page"/>
      </w:r>
    </w:p>
    <w:p w:rsidR="00E46BBC" w:rsidRPr="00A50DA3" w:rsidRDefault="00822AD3" w:rsidP="00A50DA3">
      <w:pPr>
        <w:pStyle w:val="Heading1"/>
      </w:pPr>
      <w:bookmarkStart w:id="20" w:name="_Toc414449040"/>
      <w:bookmarkStart w:id="21" w:name="_Toc414449097"/>
      <w:bookmarkStart w:id="22" w:name="_Toc414449231"/>
      <w:bookmarkStart w:id="23" w:name="_Toc414449407"/>
      <w:r w:rsidRPr="00A50DA3">
        <w:lastRenderedPageBreak/>
        <w:t>Portfolio achievements</w:t>
      </w:r>
      <w:bookmarkEnd w:id="19"/>
      <w:bookmarkEnd w:id="20"/>
      <w:bookmarkEnd w:id="21"/>
      <w:bookmarkEnd w:id="22"/>
      <w:bookmarkEnd w:id="23"/>
    </w:p>
    <w:p w:rsidR="00E46BBC" w:rsidRPr="00F20B31" w:rsidRDefault="00822AD3" w:rsidP="00F20B31">
      <w:r w:rsidRPr="00F20B31">
        <w:t>In 2014, the portfolio supported a wide range of sectors including: resources and energy; mining; manufacturing; science; education and training; and building and construction. However, the portfolio is only responsible for the administration of a small portion of regulations impacting these sectors. These are sectors that contribute significantly to the Australian economy both through the number of people they employ as well as their contribution towards gross domestic product (GDP). For example, the mining sector still plays a vital role in the Australian economy, accounting for 8.2 per cent of GDP and employing</w:t>
      </w:r>
      <w:r w:rsidR="00896123">
        <w:t xml:space="preserve"> </w:t>
      </w:r>
      <w:r w:rsidRPr="00F20B31">
        <w:t>over 220 000 people in 2013–14. The building and construction sector employs over 1 million people and contributed 8.0 per cent towards GDP.</w:t>
      </w:r>
    </w:p>
    <w:p w:rsidR="00E46BBC" w:rsidRPr="00F20B31" w:rsidRDefault="00822AD3" w:rsidP="00F20B31">
      <w:r w:rsidRPr="00F20B31">
        <w:t>We are working hard to progress reforms that contribute to Australia’s economic growth. Figure 1 is an indicative summary of the key areas where we have reduced compliance burden in 2014</w:t>
      </w:r>
      <w:r w:rsidR="000B6193">
        <w:rPr>
          <w:rStyle w:val="FootnoteReference"/>
        </w:rPr>
        <w:footnoteReference w:id="3"/>
      </w:r>
      <w:r w:rsidR="008D2843" w:rsidRPr="00F20B31">
        <w:t>.</w:t>
      </w:r>
      <w:r w:rsidRPr="00F20B31">
        <w:t xml:space="preserve"> Whilst some major reforms focus on specific areas, others touch upon all parts of the economy.</w:t>
      </w:r>
    </w:p>
    <w:p w:rsidR="00E46BBC" w:rsidRPr="00511FB3" w:rsidRDefault="00822AD3" w:rsidP="00F20B31">
      <w:pPr>
        <w:ind w:right="45"/>
      </w:pPr>
      <w:r w:rsidRPr="00511FB3">
        <w:rPr>
          <w:w w:val="120"/>
        </w:rPr>
        <w:t>Figure</w:t>
      </w:r>
      <w:r w:rsidRPr="00511FB3">
        <w:rPr>
          <w:spacing w:val="12"/>
          <w:w w:val="120"/>
        </w:rPr>
        <w:t xml:space="preserve"> </w:t>
      </w:r>
      <w:r w:rsidRPr="00511FB3">
        <w:rPr>
          <w:spacing w:val="-3"/>
          <w:w w:val="115"/>
        </w:rPr>
        <w:t>1:</w:t>
      </w:r>
      <w:r w:rsidRPr="00511FB3">
        <w:rPr>
          <w:spacing w:val="15"/>
          <w:w w:val="115"/>
        </w:rPr>
        <w:t xml:space="preserve"> </w:t>
      </w:r>
      <w:r w:rsidRPr="00511FB3">
        <w:rPr>
          <w:spacing w:val="-5"/>
          <w:w w:val="120"/>
        </w:rPr>
        <w:t>Indicative</w:t>
      </w:r>
      <w:r w:rsidRPr="00511FB3">
        <w:rPr>
          <w:spacing w:val="13"/>
          <w:w w:val="120"/>
        </w:rPr>
        <w:t xml:space="preserve"> </w:t>
      </w:r>
      <w:r w:rsidRPr="00511FB3">
        <w:rPr>
          <w:w w:val="120"/>
        </w:rPr>
        <w:t>Impact</w:t>
      </w:r>
      <w:r w:rsidRPr="00511FB3">
        <w:rPr>
          <w:spacing w:val="13"/>
          <w:w w:val="120"/>
        </w:rPr>
        <w:t xml:space="preserve"> </w:t>
      </w:r>
      <w:r w:rsidRPr="00511FB3">
        <w:rPr>
          <w:spacing w:val="-2"/>
          <w:w w:val="120"/>
        </w:rPr>
        <w:t>of</w:t>
      </w:r>
      <w:r w:rsidRPr="00511FB3">
        <w:rPr>
          <w:spacing w:val="12"/>
          <w:w w:val="120"/>
        </w:rPr>
        <w:t xml:space="preserve"> </w:t>
      </w:r>
      <w:r w:rsidRPr="00511FB3">
        <w:rPr>
          <w:w w:val="120"/>
        </w:rPr>
        <w:t>Regulation</w:t>
      </w:r>
      <w:r w:rsidRPr="00511FB3">
        <w:rPr>
          <w:spacing w:val="13"/>
          <w:w w:val="120"/>
        </w:rPr>
        <w:t xml:space="preserve"> </w:t>
      </w:r>
      <w:r w:rsidRPr="00511FB3">
        <w:rPr>
          <w:w w:val="120"/>
        </w:rPr>
        <w:t>Reform</w:t>
      </w:r>
      <w:r w:rsidRPr="00511FB3">
        <w:rPr>
          <w:spacing w:val="13"/>
          <w:w w:val="120"/>
        </w:rPr>
        <w:t xml:space="preserve"> </w:t>
      </w:r>
      <w:r w:rsidRPr="00511FB3">
        <w:rPr>
          <w:spacing w:val="-2"/>
          <w:w w:val="120"/>
        </w:rPr>
        <w:t>in</w:t>
      </w:r>
      <w:r w:rsidRPr="00511FB3">
        <w:rPr>
          <w:spacing w:val="12"/>
          <w:w w:val="120"/>
        </w:rPr>
        <w:t xml:space="preserve"> </w:t>
      </w:r>
      <w:r w:rsidRPr="00511FB3">
        <w:rPr>
          <w:w w:val="120"/>
        </w:rPr>
        <w:t>20</w:t>
      </w:r>
      <w:r w:rsidRPr="00511FB3">
        <w:rPr>
          <w:spacing w:val="-5"/>
          <w:w w:val="120"/>
        </w:rPr>
        <w:t>14</w:t>
      </w:r>
      <w:r w:rsidRPr="00511FB3">
        <w:rPr>
          <w:spacing w:val="13"/>
          <w:w w:val="120"/>
        </w:rPr>
        <w:t xml:space="preserve"> </w:t>
      </w:r>
      <w:r w:rsidRPr="00511FB3">
        <w:rPr>
          <w:spacing w:val="-5"/>
          <w:w w:val="120"/>
        </w:rPr>
        <w:t>by</w:t>
      </w:r>
      <w:r w:rsidRPr="00511FB3">
        <w:rPr>
          <w:spacing w:val="13"/>
          <w:w w:val="120"/>
        </w:rPr>
        <w:t xml:space="preserve"> </w:t>
      </w:r>
      <w:r w:rsidRPr="00511FB3">
        <w:rPr>
          <w:spacing w:val="-3"/>
          <w:w w:val="120"/>
        </w:rPr>
        <w:t>the</w:t>
      </w:r>
      <w:r w:rsidRPr="00511FB3">
        <w:rPr>
          <w:spacing w:val="12"/>
          <w:w w:val="120"/>
        </w:rPr>
        <w:t xml:space="preserve"> </w:t>
      </w:r>
      <w:r w:rsidRPr="00511FB3">
        <w:rPr>
          <w:w w:val="120"/>
        </w:rPr>
        <w:t>Industry</w:t>
      </w:r>
      <w:r w:rsidRPr="00511FB3">
        <w:rPr>
          <w:spacing w:val="13"/>
          <w:w w:val="120"/>
        </w:rPr>
        <w:t xml:space="preserve"> </w:t>
      </w:r>
      <w:r w:rsidRPr="00511FB3">
        <w:rPr>
          <w:spacing w:val="-5"/>
          <w:w w:val="120"/>
        </w:rPr>
        <w:t>portfolio</w:t>
      </w:r>
    </w:p>
    <w:p w:rsidR="00C81B8A" w:rsidRDefault="00C81B8A" w:rsidP="00A50DA3">
      <w:pPr>
        <w:pStyle w:val="Heading2"/>
        <w:rPr>
          <w:w w:val="105"/>
        </w:rPr>
      </w:pPr>
      <w:bookmarkStart w:id="24" w:name="_Toc414449041"/>
      <w:bookmarkStart w:id="25" w:name="_Toc414449098"/>
      <w:bookmarkStart w:id="26" w:name="_Toc414449232"/>
      <w:bookmarkStart w:id="27" w:name="_Toc414449408"/>
      <w:r>
        <w:rPr>
          <w:w w:val="105"/>
        </w:rPr>
        <w:t>Major</w:t>
      </w:r>
      <w:r>
        <w:rPr>
          <w:spacing w:val="-49"/>
          <w:w w:val="105"/>
        </w:rPr>
        <w:t xml:space="preserve"> </w:t>
      </w:r>
      <w:r w:rsidRPr="000B6193">
        <w:t>Savings</w:t>
      </w:r>
      <w:bookmarkEnd w:id="24"/>
      <w:bookmarkEnd w:id="25"/>
      <w:bookmarkEnd w:id="26"/>
      <w:bookmarkEnd w:id="27"/>
    </w:p>
    <w:p w:rsidR="00DD6581" w:rsidRDefault="000B6193" w:rsidP="00F20B31">
      <w:pPr>
        <w:ind w:right="45"/>
        <w:rPr>
          <w:rFonts w:eastAsia="Palatino Linotype" w:hAnsi="Palatino Linotype" w:cs="Palatino Linotype"/>
          <w:szCs w:val="36"/>
        </w:rPr>
      </w:pPr>
      <w:r>
        <w:rPr>
          <w:rFonts w:eastAsia="Palatino Linotype" w:hAnsi="Palatino Linotype" w:cs="Palatino Linotype"/>
          <w:noProof/>
          <w:szCs w:val="36"/>
          <w:lang w:val="en-AU" w:eastAsia="en-AU"/>
        </w:rPr>
        <w:drawing>
          <wp:inline distT="0" distB="0" distL="0" distR="0" wp14:anchorId="5F72F668" wp14:editId="5863D81C">
            <wp:extent cx="5429250" cy="3514725"/>
            <wp:effectExtent l="0" t="0" r="0" b="9525"/>
            <wp:docPr id="1010" name="Picture 1010" descr="Graph showing key sector where we have reduced compliance burden in 2014.Education and Training approximately 40 per cent, Resources and Energy approximately 30 per cent, All parts of the economy approximately 20 per cent, Building and Construction approximately less than 10 per cent and Manufacturing approximately one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0" cy="3514725"/>
                    </a:xfrm>
                    <a:prstGeom prst="rect">
                      <a:avLst/>
                    </a:prstGeom>
                    <a:noFill/>
                    <a:ln>
                      <a:noFill/>
                    </a:ln>
                  </pic:spPr>
                </pic:pic>
              </a:graphicData>
            </a:graphic>
          </wp:inline>
        </w:drawing>
      </w:r>
    </w:p>
    <w:p w:rsidR="00FF2998" w:rsidRDefault="00FF2998">
      <w:pPr>
        <w:spacing w:before="0" w:after="0" w:line="240" w:lineRule="auto"/>
        <w:rPr>
          <w:rFonts w:eastAsia="Palatino Linotype" w:hAnsi="Palatino Linotype" w:cs="Palatino Linotype"/>
          <w:szCs w:val="36"/>
        </w:rPr>
      </w:pPr>
      <w:r>
        <w:rPr>
          <w:rFonts w:eastAsia="Palatino Linotype" w:hAnsi="Palatino Linotype" w:cs="Palatino Linotype"/>
          <w:szCs w:val="36"/>
        </w:rPr>
        <w:br w:type="page"/>
      </w:r>
    </w:p>
    <w:p w:rsidR="00E46BBC" w:rsidRDefault="00822AD3" w:rsidP="00A50DA3">
      <w:pPr>
        <w:pStyle w:val="Heading2"/>
        <w:rPr>
          <w:w w:val="105"/>
        </w:rPr>
      </w:pPr>
      <w:bookmarkStart w:id="28" w:name="_Toc414449042"/>
      <w:bookmarkStart w:id="29" w:name="_Toc414449099"/>
      <w:bookmarkStart w:id="30" w:name="_Toc414449233"/>
      <w:bookmarkStart w:id="31" w:name="_Toc414449409"/>
      <w:r w:rsidRPr="00915F01">
        <w:rPr>
          <w:spacing w:val="-5"/>
          <w:w w:val="105"/>
        </w:rPr>
        <w:lastRenderedPageBreak/>
        <w:t>K</w:t>
      </w:r>
      <w:r w:rsidRPr="00915F01">
        <w:rPr>
          <w:spacing w:val="-4"/>
          <w:w w:val="105"/>
        </w:rPr>
        <w:t>ey</w:t>
      </w:r>
      <w:r w:rsidRPr="00915F01">
        <w:rPr>
          <w:spacing w:val="-11"/>
          <w:w w:val="105"/>
        </w:rPr>
        <w:t xml:space="preserve"> </w:t>
      </w:r>
      <w:r w:rsidRPr="00915F01">
        <w:rPr>
          <w:spacing w:val="-2"/>
          <w:w w:val="105"/>
        </w:rPr>
        <w:t>A</w:t>
      </w:r>
      <w:r w:rsidRPr="00915F01">
        <w:rPr>
          <w:w w:val="105"/>
        </w:rPr>
        <w:t>chievements</w:t>
      </w:r>
      <w:bookmarkEnd w:id="28"/>
      <w:bookmarkEnd w:id="29"/>
      <w:bookmarkEnd w:id="30"/>
      <w:bookmarkEnd w:id="31"/>
    </w:p>
    <w:p w:rsidR="00DD6581" w:rsidRPr="00FF2998" w:rsidRDefault="00DD6581" w:rsidP="00A50DA3">
      <w:pPr>
        <w:pStyle w:val="Heading3"/>
      </w:pPr>
      <w:bookmarkStart w:id="32" w:name="_Toc414449234"/>
      <w:bookmarkStart w:id="33" w:name="_Toc414449410"/>
      <w:r w:rsidRPr="00FF2998">
        <w:t>Improvements to grow Australia’s building and construction industry</w:t>
      </w:r>
      <w:bookmarkEnd w:id="32"/>
      <w:bookmarkEnd w:id="33"/>
    </w:p>
    <w:p w:rsidR="00DD6581" w:rsidRDefault="00DD6581" w:rsidP="00F20B31">
      <w:pPr>
        <w:ind w:right="45"/>
        <w:rPr>
          <w:sz w:val="9"/>
          <w:szCs w:val="9"/>
        </w:rPr>
      </w:pPr>
      <w:r>
        <w:t>F</w:t>
      </w:r>
      <w:r>
        <w:rPr>
          <w:spacing w:val="-4"/>
        </w:rPr>
        <w:t>r</w:t>
      </w:r>
      <w:r>
        <w:t>om</w:t>
      </w:r>
      <w:r w:rsidR="000B6193">
        <w:t xml:space="preserve"> </w:t>
      </w:r>
      <w:r>
        <w:rPr>
          <w:w w:val="95"/>
        </w:rPr>
        <w:t>1</w:t>
      </w:r>
      <w:r>
        <w:rPr>
          <w:spacing w:val="-34"/>
          <w:w w:val="95"/>
        </w:rPr>
        <w:t xml:space="preserve"> </w:t>
      </w:r>
      <w:r>
        <w:rPr>
          <w:spacing w:val="-2"/>
        </w:rPr>
        <w:t>F</w:t>
      </w:r>
      <w:r>
        <w:t>ebruary</w:t>
      </w:r>
      <w:r>
        <w:rPr>
          <w:spacing w:val="-37"/>
        </w:rPr>
        <w:t xml:space="preserve"> </w:t>
      </w:r>
      <w:r>
        <w:rPr>
          <w:spacing w:val="-2"/>
        </w:rPr>
        <w:t>20</w:t>
      </w:r>
      <w:r>
        <w:t>15,</w:t>
      </w:r>
      <w:r>
        <w:rPr>
          <w:spacing w:val="-38"/>
        </w:rPr>
        <w:t xml:space="preserve"> </w:t>
      </w:r>
      <w:r>
        <w:t>the</w:t>
      </w:r>
      <w:r>
        <w:rPr>
          <w:spacing w:val="-37"/>
        </w:rPr>
        <w:t xml:space="preserve"> </w:t>
      </w:r>
      <w:r>
        <w:rPr>
          <w:spacing w:val="-4"/>
        </w:rPr>
        <w:t>National</w:t>
      </w:r>
      <w:r>
        <w:rPr>
          <w:spacing w:val="21"/>
          <w:w w:val="97"/>
        </w:rPr>
        <w:t xml:space="preserve"> </w:t>
      </w:r>
      <w:r>
        <w:t>C</w:t>
      </w:r>
      <w:r>
        <w:rPr>
          <w:spacing w:val="-4"/>
        </w:rPr>
        <w:t>onstruction</w:t>
      </w:r>
      <w:r>
        <w:rPr>
          <w:spacing w:val="-24"/>
        </w:rPr>
        <w:t xml:space="preserve"> </w:t>
      </w:r>
      <w:r>
        <w:rPr>
          <w:spacing w:val="-2"/>
        </w:rPr>
        <w:t>Code</w:t>
      </w:r>
      <w:r>
        <w:rPr>
          <w:spacing w:val="-23"/>
        </w:rPr>
        <w:t xml:space="preserve"> </w:t>
      </w:r>
      <w:r>
        <w:rPr>
          <w:spacing w:val="-2"/>
        </w:rPr>
        <w:t>is</w:t>
      </w:r>
      <w:r>
        <w:rPr>
          <w:spacing w:val="-23"/>
        </w:rPr>
        <w:t xml:space="preserve"> </w:t>
      </w:r>
      <w:r>
        <w:rPr>
          <w:spacing w:val="-4"/>
        </w:rPr>
        <w:t>ac</w:t>
      </w:r>
      <w:r>
        <w:t>c</w:t>
      </w:r>
      <w:r>
        <w:rPr>
          <w:spacing w:val="-4"/>
        </w:rPr>
        <w:t>essible</w:t>
      </w:r>
      <w:r>
        <w:rPr>
          <w:spacing w:val="31"/>
          <w:w w:val="97"/>
        </w:rPr>
        <w:t xml:space="preserve"> </w:t>
      </w:r>
      <w:r>
        <w:rPr>
          <w:spacing w:val="-4"/>
        </w:rPr>
        <w:t>free</w:t>
      </w:r>
      <w:r>
        <w:rPr>
          <w:spacing w:val="-24"/>
        </w:rPr>
        <w:t xml:space="preserve"> </w:t>
      </w:r>
      <w:r>
        <w:rPr>
          <w:spacing w:val="-1"/>
        </w:rPr>
        <w:t>of</w:t>
      </w:r>
      <w:r>
        <w:rPr>
          <w:spacing w:val="-23"/>
        </w:rPr>
        <w:t xml:space="preserve"> </w:t>
      </w:r>
      <w:r>
        <w:rPr>
          <w:spacing w:val="-4"/>
        </w:rPr>
        <w:t>char</w:t>
      </w:r>
      <w:r>
        <w:t>ge</w:t>
      </w:r>
      <w:r>
        <w:rPr>
          <w:spacing w:val="-23"/>
        </w:rPr>
        <w:t xml:space="preserve"> </w:t>
      </w:r>
      <w:r>
        <w:t>online</w:t>
      </w:r>
      <w:r>
        <w:rPr>
          <w:spacing w:val="-23"/>
        </w:rPr>
        <w:t xml:space="preserve"> </w:t>
      </w:r>
      <w:r>
        <w:t>and</w:t>
      </w:r>
      <w:r>
        <w:rPr>
          <w:spacing w:val="-24"/>
        </w:rPr>
        <w:t xml:space="preserve"> </w:t>
      </w:r>
      <w:r>
        <w:rPr>
          <w:spacing w:val="-4"/>
        </w:rPr>
        <w:t>through</w:t>
      </w:r>
      <w:r>
        <w:rPr>
          <w:spacing w:val="25"/>
          <w:w w:val="98"/>
        </w:rPr>
        <w:t xml:space="preserve"> </w:t>
      </w:r>
      <w:r>
        <w:rPr>
          <w:spacing w:val="-4"/>
        </w:rPr>
        <w:t>electronic</w:t>
      </w:r>
      <w:r>
        <w:rPr>
          <w:spacing w:val="-21"/>
        </w:rPr>
        <w:t xml:space="preserve"> </w:t>
      </w:r>
      <w:r>
        <w:t>devic</w:t>
      </w:r>
      <w:r>
        <w:rPr>
          <w:spacing w:val="-4"/>
        </w:rPr>
        <w:t>es</w:t>
      </w:r>
      <w:r>
        <w:rPr>
          <w:spacing w:val="-20"/>
        </w:rPr>
        <w:t xml:space="preserve"> </w:t>
      </w:r>
      <w:r>
        <w:t>and</w:t>
      </w:r>
      <w:r>
        <w:rPr>
          <w:spacing w:val="-21"/>
        </w:rPr>
        <w:t xml:space="preserve"> </w:t>
      </w:r>
      <w:r>
        <w:rPr>
          <w:spacing w:val="-1"/>
        </w:rPr>
        <w:t>it</w:t>
      </w:r>
      <w:r>
        <w:rPr>
          <w:spacing w:val="-20"/>
        </w:rPr>
        <w:t xml:space="preserve"> </w:t>
      </w:r>
      <w:r>
        <w:t>will</w:t>
      </w:r>
      <w:r>
        <w:rPr>
          <w:spacing w:val="-20"/>
        </w:rPr>
        <w:t xml:space="preserve"> </w:t>
      </w:r>
      <w:r>
        <w:rPr>
          <w:spacing w:val="-2"/>
        </w:rPr>
        <w:t>be</w:t>
      </w:r>
      <w:r>
        <w:rPr>
          <w:spacing w:val="29"/>
          <w:w w:val="99"/>
        </w:rPr>
        <w:t xml:space="preserve"> </w:t>
      </w:r>
      <w:r>
        <w:rPr>
          <w:spacing w:val="-4"/>
        </w:rPr>
        <w:t>upda</w:t>
      </w:r>
      <w:r>
        <w:t>ted</w:t>
      </w:r>
      <w:r>
        <w:rPr>
          <w:spacing w:val="-25"/>
        </w:rPr>
        <w:t xml:space="preserve"> </w:t>
      </w:r>
      <w:r>
        <w:rPr>
          <w:spacing w:val="-5"/>
        </w:rPr>
        <w:t>e</w:t>
      </w:r>
      <w:r>
        <w:rPr>
          <w:spacing w:val="-4"/>
        </w:rPr>
        <w:t>v</w:t>
      </w:r>
      <w:r>
        <w:rPr>
          <w:spacing w:val="-5"/>
        </w:rPr>
        <w:t>ery</w:t>
      </w:r>
      <w:r>
        <w:rPr>
          <w:spacing w:val="-25"/>
        </w:rPr>
        <w:t xml:space="preserve"> </w:t>
      </w:r>
      <w:r>
        <w:rPr>
          <w:spacing w:val="-4"/>
        </w:rPr>
        <w:t>three</w:t>
      </w:r>
      <w:r>
        <w:rPr>
          <w:spacing w:val="-25"/>
        </w:rPr>
        <w:t xml:space="preserve"> </w:t>
      </w:r>
      <w:r>
        <w:t>y</w:t>
      </w:r>
      <w:r>
        <w:rPr>
          <w:spacing w:val="-4"/>
        </w:rPr>
        <w:t>ears</w:t>
      </w:r>
      <w:r>
        <w:rPr>
          <w:spacing w:val="-24"/>
        </w:rPr>
        <w:t xml:space="preserve"> </w:t>
      </w:r>
      <w:r>
        <w:rPr>
          <w:spacing w:val="-4"/>
        </w:rPr>
        <w:t>ins</w:t>
      </w:r>
      <w:r>
        <w:t>t</w:t>
      </w:r>
      <w:r>
        <w:rPr>
          <w:spacing w:val="-4"/>
        </w:rPr>
        <w:t>ead</w:t>
      </w:r>
      <w:r>
        <w:rPr>
          <w:spacing w:val="37"/>
          <w:w w:val="97"/>
        </w:rPr>
        <w:t xml:space="preserve"> </w:t>
      </w:r>
      <w:r>
        <w:rPr>
          <w:spacing w:val="-1"/>
        </w:rPr>
        <w:t>of</w:t>
      </w:r>
      <w:r>
        <w:rPr>
          <w:spacing w:val="-28"/>
        </w:rPr>
        <w:t xml:space="preserve"> </w:t>
      </w:r>
      <w:r>
        <w:rPr>
          <w:spacing w:val="-4"/>
        </w:rPr>
        <w:t>annually</w:t>
      </w:r>
      <w:r>
        <w:rPr>
          <w:spacing w:val="-5"/>
        </w:rPr>
        <w:t>.</w:t>
      </w:r>
      <w:r>
        <w:rPr>
          <w:spacing w:val="-27"/>
        </w:rPr>
        <w:t xml:space="preserve"> </w:t>
      </w:r>
      <w:r>
        <w:t>This</w:t>
      </w:r>
      <w:r>
        <w:rPr>
          <w:spacing w:val="-27"/>
        </w:rPr>
        <w:t xml:space="preserve"> </w:t>
      </w:r>
      <w:r>
        <w:t>will</w:t>
      </w:r>
      <w:r>
        <w:rPr>
          <w:spacing w:val="-27"/>
        </w:rPr>
        <w:t xml:space="preserve"> </w:t>
      </w:r>
      <w:r>
        <w:t>lead</w:t>
      </w:r>
      <w:r>
        <w:rPr>
          <w:spacing w:val="-27"/>
        </w:rPr>
        <w:t xml:space="preserve"> </w:t>
      </w:r>
      <w:r>
        <w:rPr>
          <w:spacing w:val="-2"/>
        </w:rPr>
        <w:t>to</w:t>
      </w:r>
      <w:r>
        <w:rPr>
          <w:spacing w:val="-27"/>
        </w:rPr>
        <w:t xml:space="preserve"> </w:t>
      </w:r>
      <w:r>
        <w:t>annual</w:t>
      </w:r>
      <w:r>
        <w:rPr>
          <w:spacing w:val="23"/>
          <w:w w:val="95"/>
        </w:rPr>
        <w:t xml:space="preserve"> </w:t>
      </w:r>
      <w:r>
        <w:rPr>
          <w:spacing w:val="-4"/>
        </w:rPr>
        <w:t>savings</w:t>
      </w:r>
      <w:r>
        <w:rPr>
          <w:spacing w:val="-22"/>
        </w:rPr>
        <w:t xml:space="preserve"> </w:t>
      </w:r>
      <w:r>
        <w:rPr>
          <w:spacing w:val="-1"/>
        </w:rPr>
        <w:t>of</w:t>
      </w:r>
      <w:r>
        <w:rPr>
          <w:spacing w:val="-21"/>
        </w:rPr>
        <w:t xml:space="preserve"> </w:t>
      </w:r>
      <w:r>
        <w:t>$4.80</w:t>
      </w:r>
      <w:r>
        <w:rPr>
          <w:spacing w:val="-21"/>
        </w:rPr>
        <w:t xml:space="preserve"> </w:t>
      </w:r>
      <w:r>
        <w:t>million</w:t>
      </w:r>
      <w:r>
        <w:rPr>
          <w:spacing w:val="-21"/>
        </w:rPr>
        <w:t xml:space="preserve"> </w:t>
      </w:r>
      <w:r>
        <w:t>for</w:t>
      </w:r>
      <w:r>
        <w:rPr>
          <w:spacing w:val="-21"/>
        </w:rPr>
        <w:t xml:space="preserve"> </w:t>
      </w:r>
      <w:r>
        <w:t>the</w:t>
      </w:r>
      <w:r>
        <w:rPr>
          <w:spacing w:val="19"/>
          <w:w w:val="97"/>
        </w:rPr>
        <w:t xml:space="preserve"> </w:t>
      </w:r>
      <w:r>
        <w:t>building</w:t>
      </w:r>
      <w:r>
        <w:rPr>
          <w:spacing w:val="-27"/>
        </w:rPr>
        <w:t xml:space="preserve"> </w:t>
      </w:r>
      <w:r>
        <w:t>and</w:t>
      </w:r>
      <w:r>
        <w:rPr>
          <w:spacing w:val="-26"/>
        </w:rPr>
        <w:t xml:space="preserve"> </w:t>
      </w:r>
      <w:r>
        <w:t>c</w:t>
      </w:r>
      <w:r>
        <w:rPr>
          <w:spacing w:val="-4"/>
        </w:rPr>
        <w:t>onstruction</w:t>
      </w:r>
      <w:r>
        <w:rPr>
          <w:spacing w:val="-26"/>
        </w:rPr>
        <w:t xml:space="preserve"> </w:t>
      </w:r>
      <w:r>
        <w:rPr>
          <w:spacing w:val="-4"/>
        </w:rPr>
        <w:t>indus</w:t>
      </w:r>
      <w:r>
        <w:t>try</w:t>
      </w:r>
      <w:r>
        <w:rPr>
          <w:spacing w:val="-5"/>
        </w:rPr>
        <w:t>.</w:t>
      </w:r>
      <w:r w:rsidR="000B6193">
        <w:rPr>
          <w:rStyle w:val="FootnoteReference"/>
          <w:spacing w:val="-5"/>
        </w:rPr>
        <w:footnoteReference w:id="4"/>
      </w:r>
    </w:p>
    <w:p w:rsidR="00DD6581" w:rsidRPr="00543D2A" w:rsidRDefault="00DD6581" w:rsidP="00F20B31">
      <w:pPr>
        <w:ind w:right="45"/>
      </w:pPr>
      <w:r>
        <w:t>F</w:t>
      </w:r>
      <w:r>
        <w:rPr>
          <w:spacing w:val="-4"/>
        </w:rPr>
        <w:t>r</w:t>
      </w:r>
      <w:r>
        <w:t>om</w:t>
      </w:r>
      <w:r>
        <w:rPr>
          <w:spacing w:val="-34"/>
        </w:rPr>
        <w:t xml:space="preserve"> </w:t>
      </w:r>
      <w:r>
        <w:rPr>
          <w:w w:val="95"/>
        </w:rPr>
        <w:t>1</w:t>
      </w:r>
      <w:r>
        <w:rPr>
          <w:spacing w:val="-32"/>
          <w:w w:val="95"/>
        </w:rPr>
        <w:t xml:space="preserve">  </w:t>
      </w:r>
      <w:r>
        <w:rPr>
          <w:spacing w:val="-4"/>
        </w:rPr>
        <w:t>Ma</w:t>
      </w:r>
      <w:r>
        <w:t>y</w:t>
      </w:r>
      <w:r>
        <w:rPr>
          <w:spacing w:val="-34"/>
        </w:rPr>
        <w:t xml:space="preserve"> </w:t>
      </w:r>
      <w:r>
        <w:rPr>
          <w:spacing w:val="-2"/>
        </w:rPr>
        <w:t>20</w:t>
      </w:r>
      <w:r>
        <w:t>14,</w:t>
      </w:r>
      <w:r>
        <w:rPr>
          <w:spacing w:val="-34"/>
        </w:rPr>
        <w:t xml:space="preserve"> </w:t>
      </w:r>
      <w:r>
        <w:rPr>
          <w:spacing w:val="-2"/>
        </w:rPr>
        <w:t>fi</w:t>
      </w:r>
      <w:r>
        <w:rPr>
          <w:spacing w:val="-27"/>
        </w:rPr>
        <w:t xml:space="preserve"> </w:t>
      </w:r>
      <w:r>
        <w:t>e</w:t>
      </w:r>
      <w:r>
        <w:rPr>
          <w:spacing w:val="-34"/>
        </w:rPr>
        <w:t xml:space="preserve"> </w:t>
      </w:r>
      <w:r>
        <w:rPr>
          <w:spacing w:val="-4"/>
        </w:rPr>
        <w:t>e</w:t>
      </w:r>
      <w:r>
        <w:t>x</w:t>
      </w:r>
      <w:r>
        <w:rPr>
          <w:spacing w:val="-4"/>
        </w:rPr>
        <w:t>tinguishers</w:t>
      </w:r>
      <w:r>
        <w:rPr>
          <w:spacing w:val="29"/>
          <w:w w:val="95"/>
        </w:rPr>
        <w:t xml:space="preserve"> </w:t>
      </w:r>
      <w:r>
        <w:t>can</w:t>
      </w:r>
      <w:r>
        <w:rPr>
          <w:spacing w:val="-22"/>
        </w:rPr>
        <w:t xml:space="preserve"> </w:t>
      </w:r>
      <w:r>
        <w:rPr>
          <w:spacing w:val="-1"/>
        </w:rPr>
        <w:t>be</w:t>
      </w:r>
      <w:r>
        <w:rPr>
          <w:spacing w:val="-21"/>
        </w:rPr>
        <w:t xml:space="preserve"> </w:t>
      </w:r>
      <w:r>
        <w:t>used</w:t>
      </w:r>
      <w:r>
        <w:rPr>
          <w:spacing w:val="-21"/>
        </w:rPr>
        <w:t xml:space="preserve"> </w:t>
      </w:r>
      <w:r>
        <w:rPr>
          <w:spacing w:val="-4"/>
        </w:rPr>
        <w:t>ins</w:t>
      </w:r>
      <w:r>
        <w:t>t</w:t>
      </w:r>
      <w:r>
        <w:rPr>
          <w:spacing w:val="-4"/>
        </w:rPr>
        <w:t>ead</w:t>
      </w:r>
      <w:r>
        <w:rPr>
          <w:spacing w:val="-22"/>
        </w:rPr>
        <w:t xml:space="preserve"> </w:t>
      </w:r>
      <w:r>
        <w:rPr>
          <w:spacing w:val="-1"/>
        </w:rPr>
        <w:t>of</w:t>
      </w:r>
      <w:r>
        <w:rPr>
          <w:spacing w:val="-21"/>
        </w:rPr>
        <w:t xml:space="preserve"> </w:t>
      </w:r>
      <w:r>
        <w:rPr>
          <w:spacing w:val="-2"/>
        </w:rPr>
        <w:t>fi</w:t>
      </w:r>
      <w:r>
        <w:rPr>
          <w:spacing w:val="-8"/>
        </w:rPr>
        <w:t xml:space="preserve"> </w:t>
      </w:r>
      <w:r>
        <w:t>e</w:t>
      </w:r>
      <w:r>
        <w:rPr>
          <w:spacing w:val="-22"/>
        </w:rPr>
        <w:t xml:space="preserve"> </w:t>
      </w:r>
      <w:r>
        <w:t>hoses</w:t>
      </w:r>
      <w:r>
        <w:rPr>
          <w:spacing w:val="21"/>
          <w:w w:val="96"/>
        </w:rPr>
        <w:t xml:space="preserve"> </w:t>
      </w:r>
      <w:r>
        <w:rPr>
          <w:spacing w:val="-2"/>
        </w:rPr>
        <w:t>in</w:t>
      </w:r>
      <w:r>
        <w:rPr>
          <w:spacing w:val="-30"/>
        </w:rPr>
        <w:t xml:space="preserve"> </w:t>
      </w:r>
      <w:r>
        <w:t>some</w:t>
      </w:r>
      <w:r>
        <w:rPr>
          <w:spacing w:val="-29"/>
        </w:rPr>
        <w:t xml:space="preserve"> </w:t>
      </w:r>
      <w:r>
        <w:rPr>
          <w:spacing w:val="-4"/>
        </w:rPr>
        <w:t>ne</w:t>
      </w:r>
      <w:r>
        <w:t>w</w:t>
      </w:r>
      <w:r>
        <w:rPr>
          <w:spacing w:val="-29"/>
        </w:rPr>
        <w:t xml:space="preserve"> </w:t>
      </w:r>
      <w:r>
        <w:rPr>
          <w:spacing w:val="-4"/>
        </w:rPr>
        <w:t>residential</w:t>
      </w:r>
      <w:r>
        <w:rPr>
          <w:spacing w:val="-29"/>
        </w:rPr>
        <w:t xml:space="preserve"> </w:t>
      </w:r>
      <w:r>
        <w:t>buildings,</w:t>
      </w:r>
      <w:r>
        <w:rPr>
          <w:spacing w:val="23"/>
          <w:w w:val="96"/>
        </w:rPr>
        <w:t xml:space="preserve"> </w:t>
      </w:r>
      <w:r>
        <w:rPr>
          <w:spacing w:val="-4"/>
        </w:rPr>
        <w:t>impr</w:t>
      </w:r>
      <w:r>
        <w:t>oving</w:t>
      </w:r>
      <w:r>
        <w:rPr>
          <w:spacing w:val="-24"/>
        </w:rPr>
        <w:t xml:space="preserve"> </w:t>
      </w:r>
      <w:r>
        <w:rPr>
          <w:spacing w:val="-4"/>
        </w:rPr>
        <w:t>safe</w:t>
      </w:r>
      <w:r>
        <w:t>ty</w:t>
      </w:r>
      <w:r>
        <w:rPr>
          <w:spacing w:val="-24"/>
        </w:rPr>
        <w:t xml:space="preserve"> </w:t>
      </w:r>
      <w:r>
        <w:t>and</w:t>
      </w:r>
      <w:r>
        <w:rPr>
          <w:spacing w:val="-24"/>
        </w:rPr>
        <w:t xml:space="preserve"> </w:t>
      </w:r>
      <w:r>
        <w:rPr>
          <w:spacing w:val="-4"/>
        </w:rPr>
        <w:t>sa</w:t>
      </w:r>
      <w:r>
        <w:t>ving</w:t>
      </w:r>
      <w:r>
        <w:rPr>
          <w:spacing w:val="-24"/>
        </w:rPr>
        <w:t xml:space="preserve"> </w:t>
      </w:r>
      <w:r>
        <w:t>the</w:t>
      </w:r>
      <w:r>
        <w:rPr>
          <w:spacing w:val="29"/>
          <w:w w:val="97"/>
        </w:rPr>
        <w:t xml:space="preserve"> </w:t>
      </w:r>
      <w:r>
        <w:t>building</w:t>
      </w:r>
      <w:r>
        <w:rPr>
          <w:spacing w:val="-23"/>
        </w:rPr>
        <w:t xml:space="preserve"> </w:t>
      </w:r>
      <w:r>
        <w:t>and</w:t>
      </w:r>
      <w:r>
        <w:rPr>
          <w:spacing w:val="-23"/>
        </w:rPr>
        <w:t xml:space="preserve"> </w:t>
      </w:r>
      <w:r>
        <w:t>c</w:t>
      </w:r>
      <w:r>
        <w:rPr>
          <w:spacing w:val="-4"/>
        </w:rPr>
        <w:t>onstruction</w:t>
      </w:r>
      <w:r>
        <w:rPr>
          <w:spacing w:val="-22"/>
        </w:rPr>
        <w:t xml:space="preserve"> </w:t>
      </w:r>
      <w:r>
        <w:rPr>
          <w:spacing w:val="-4"/>
        </w:rPr>
        <w:t>indus</w:t>
      </w:r>
      <w:r>
        <w:t xml:space="preserve">try </w:t>
      </w:r>
      <w:r w:rsidRPr="00543D2A">
        <w:t>$13.80 million per year.</w:t>
      </w:r>
    </w:p>
    <w:p w:rsidR="00DD6581" w:rsidRDefault="00DD6581" w:rsidP="00F20B31">
      <w:pPr>
        <w:ind w:right="45"/>
        <w:rPr>
          <w:rFonts w:eastAsia="Century Gothic" w:hAnsi="Century Gothic" w:cs="Century Gothic"/>
          <w:sz w:val="9"/>
          <w:szCs w:val="9"/>
        </w:rPr>
      </w:pPr>
      <w:r>
        <w:rPr>
          <w:spacing w:val="-2"/>
          <w:w w:val="90"/>
        </w:rPr>
        <w:t>$</w:t>
      </w:r>
      <w:r>
        <w:rPr>
          <w:spacing w:val="-3"/>
          <w:w w:val="90"/>
        </w:rPr>
        <w:t>18.</w:t>
      </w:r>
      <w:r>
        <w:rPr>
          <w:spacing w:val="-2"/>
          <w:w w:val="90"/>
        </w:rPr>
        <w:t>60</w:t>
      </w:r>
      <w:r>
        <w:rPr>
          <w:spacing w:val="-1"/>
          <w:w w:val="90"/>
        </w:rPr>
        <w:t xml:space="preserve"> </w:t>
      </w:r>
      <w:r>
        <w:rPr>
          <w:w w:val="90"/>
        </w:rPr>
        <w:t xml:space="preserve">million </w:t>
      </w:r>
      <w:r>
        <w:rPr>
          <w:spacing w:val="-2"/>
          <w:w w:val="90"/>
        </w:rPr>
        <w:t>o</w:t>
      </w:r>
      <w:r>
        <w:rPr>
          <w:spacing w:val="-1"/>
          <w:w w:val="90"/>
        </w:rPr>
        <w:t>f</w:t>
      </w:r>
      <w:r>
        <w:rPr>
          <w:w w:val="90"/>
        </w:rPr>
        <w:t xml:space="preserve"> </w:t>
      </w:r>
      <w:r>
        <w:rPr>
          <w:spacing w:val="-2"/>
          <w:w w:val="90"/>
        </w:rPr>
        <w:t>sa</w:t>
      </w:r>
      <w:r>
        <w:rPr>
          <w:spacing w:val="-1"/>
          <w:w w:val="90"/>
        </w:rPr>
        <w:t>vings</w:t>
      </w:r>
      <w:r w:rsidR="000B6193">
        <w:rPr>
          <w:rStyle w:val="FootnoteReference"/>
          <w:spacing w:val="-1"/>
          <w:w w:val="90"/>
        </w:rPr>
        <w:footnoteReference w:id="5"/>
      </w:r>
    </w:p>
    <w:p w:rsidR="00697861" w:rsidRPr="00FF2998" w:rsidRDefault="00697861" w:rsidP="00A50DA3">
      <w:pPr>
        <w:pStyle w:val="Heading3"/>
      </w:pPr>
      <w:bookmarkStart w:id="34" w:name="_Toc414449235"/>
      <w:bookmarkStart w:id="35" w:name="_Toc414449411"/>
      <w:r w:rsidRPr="00FF2998">
        <w:t>Simplifying the Enhanced Project By-law Scheme</w:t>
      </w:r>
      <w:bookmarkEnd w:id="34"/>
      <w:bookmarkEnd w:id="35"/>
    </w:p>
    <w:p w:rsidR="00697861" w:rsidRDefault="00697861" w:rsidP="00F20B31">
      <w:pPr>
        <w:ind w:right="45"/>
        <w:rPr>
          <w:szCs w:val="16"/>
        </w:rPr>
      </w:pPr>
      <w:r>
        <w:t>C</w:t>
      </w:r>
      <w:r>
        <w:rPr>
          <w:spacing w:val="-2"/>
        </w:rPr>
        <w:t>ompanies</w:t>
      </w:r>
      <w:r>
        <w:rPr>
          <w:spacing w:val="-36"/>
        </w:rPr>
        <w:t xml:space="preserve"> </w:t>
      </w:r>
      <w:r>
        <w:t>commencing</w:t>
      </w:r>
      <w:r>
        <w:rPr>
          <w:spacing w:val="-35"/>
        </w:rPr>
        <w:t xml:space="preserve"> </w:t>
      </w:r>
      <w:r>
        <w:t>major</w:t>
      </w:r>
      <w:r>
        <w:rPr>
          <w:spacing w:val="29"/>
          <w:w w:val="95"/>
        </w:rPr>
        <w:t xml:space="preserve"> </w:t>
      </w:r>
      <w:r>
        <w:t>pr</w:t>
      </w:r>
      <w:r>
        <w:rPr>
          <w:spacing w:val="-2"/>
        </w:rPr>
        <w:t>ojec</w:t>
      </w:r>
      <w:r>
        <w:t>ts</w:t>
      </w:r>
      <w:r>
        <w:rPr>
          <w:spacing w:val="-20"/>
        </w:rPr>
        <w:t xml:space="preserve"> </w:t>
      </w:r>
      <w:r>
        <w:t>no</w:t>
      </w:r>
      <w:r>
        <w:rPr>
          <w:spacing w:val="-19"/>
        </w:rPr>
        <w:t xml:space="preserve"> </w:t>
      </w:r>
      <w:r>
        <w:t>longer</w:t>
      </w:r>
      <w:r>
        <w:rPr>
          <w:spacing w:val="-20"/>
        </w:rPr>
        <w:t xml:space="preserve"> </w:t>
      </w:r>
      <w:r>
        <w:t>need</w:t>
      </w:r>
      <w:r>
        <w:rPr>
          <w:spacing w:val="-19"/>
        </w:rPr>
        <w:t xml:space="preserve"> </w:t>
      </w:r>
      <w:r>
        <w:rPr>
          <w:spacing w:val="-2"/>
        </w:rPr>
        <w:t>to</w:t>
      </w:r>
      <w:r>
        <w:rPr>
          <w:spacing w:val="-19"/>
        </w:rPr>
        <w:t xml:space="preserve"> </w:t>
      </w:r>
      <w:r>
        <w:t>employ</w:t>
      </w:r>
      <w:r>
        <w:rPr>
          <w:spacing w:val="26"/>
          <w:w w:val="101"/>
        </w:rPr>
        <w:t xml:space="preserve"> </w:t>
      </w:r>
      <w:r>
        <w:t>an</w:t>
      </w:r>
      <w:r>
        <w:rPr>
          <w:spacing w:val="-29"/>
        </w:rPr>
        <w:t xml:space="preserve"> </w:t>
      </w:r>
      <w:r>
        <w:t>A</w:t>
      </w:r>
      <w:r>
        <w:rPr>
          <w:spacing w:val="-2"/>
        </w:rPr>
        <w:t>us</w:t>
      </w:r>
      <w:r>
        <w:t>tr</w:t>
      </w:r>
      <w:r>
        <w:rPr>
          <w:spacing w:val="-2"/>
        </w:rPr>
        <w:t>alian</w:t>
      </w:r>
      <w:r>
        <w:rPr>
          <w:spacing w:val="-29"/>
        </w:rPr>
        <w:t xml:space="preserve"> </w:t>
      </w:r>
      <w:r>
        <w:rPr>
          <w:spacing w:val="-2"/>
        </w:rPr>
        <w:t>Indus</w:t>
      </w:r>
      <w:r>
        <w:t>try</w:t>
      </w:r>
      <w:r>
        <w:rPr>
          <w:spacing w:val="-29"/>
        </w:rPr>
        <w:t xml:space="preserve"> </w:t>
      </w:r>
      <w:r>
        <w:t>Opportunity</w:t>
      </w:r>
      <w:r>
        <w:rPr>
          <w:spacing w:val="37"/>
          <w:w w:val="101"/>
        </w:rPr>
        <w:t xml:space="preserve"> </w:t>
      </w:r>
      <w:r>
        <w:t>Offic</w:t>
      </w:r>
      <w:r>
        <w:rPr>
          <w:spacing w:val="-2"/>
        </w:rPr>
        <w:t>er</w:t>
      </w:r>
      <w:r>
        <w:rPr>
          <w:spacing w:val="-19"/>
        </w:rPr>
        <w:t xml:space="preserve"> </w:t>
      </w:r>
      <w:r>
        <w:t>when</w:t>
      </w:r>
      <w:r>
        <w:rPr>
          <w:spacing w:val="-19"/>
        </w:rPr>
        <w:t xml:space="preserve"> </w:t>
      </w:r>
      <w:r>
        <w:rPr>
          <w:spacing w:val="-2"/>
        </w:rPr>
        <w:t>the</w:t>
      </w:r>
      <w:r>
        <w:t>y</w:t>
      </w:r>
      <w:r>
        <w:rPr>
          <w:spacing w:val="-19"/>
        </w:rPr>
        <w:t xml:space="preserve"> </w:t>
      </w:r>
      <w:r>
        <w:t>apply</w:t>
      </w:r>
      <w:r>
        <w:rPr>
          <w:spacing w:val="-19"/>
        </w:rPr>
        <w:t xml:space="preserve"> </w:t>
      </w:r>
      <w:r>
        <w:t>for</w:t>
      </w:r>
      <w:r>
        <w:rPr>
          <w:spacing w:val="-19"/>
        </w:rPr>
        <w:t xml:space="preserve"> </w:t>
      </w:r>
      <w:r>
        <w:t>the</w:t>
      </w:r>
      <w:r>
        <w:rPr>
          <w:spacing w:val="26"/>
          <w:w w:val="97"/>
        </w:rPr>
        <w:t xml:space="preserve"> </w:t>
      </w:r>
      <w:r>
        <w:rPr>
          <w:spacing w:val="-2"/>
        </w:rPr>
        <w:t>Enhanc</w:t>
      </w:r>
      <w:r>
        <w:t>ed</w:t>
      </w:r>
      <w:r>
        <w:rPr>
          <w:spacing w:val="-26"/>
        </w:rPr>
        <w:t xml:space="preserve"> </w:t>
      </w:r>
      <w:r>
        <w:t>Pr</w:t>
      </w:r>
      <w:r>
        <w:rPr>
          <w:spacing w:val="-2"/>
        </w:rPr>
        <w:t>ojec</w:t>
      </w:r>
      <w:r>
        <w:t>t</w:t>
      </w:r>
      <w:r>
        <w:rPr>
          <w:spacing w:val="-26"/>
        </w:rPr>
        <w:t xml:space="preserve"> </w:t>
      </w:r>
      <w:r>
        <w:rPr>
          <w:spacing w:val="-2"/>
        </w:rPr>
        <w:t>By</w:t>
      </w:r>
      <w:r>
        <w:rPr>
          <w:spacing w:val="-3"/>
        </w:rPr>
        <w:t>-la</w:t>
      </w:r>
      <w:r>
        <w:rPr>
          <w:spacing w:val="-2"/>
        </w:rPr>
        <w:t>w</w:t>
      </w:r>
      <w:r>
        <w:rPr>
          <w:spacing w:val="-26"/>
        </w:rPr>
        <w:t xml:space="preserve"> </w:t>
      </w:r>
      <w:r>
        <w:rPr>
          <w:spacing w:val="-2"/>
        </w:rPr>
        <w:t>Scheme,</w:t>
      </w:r>
      <w:r>
        <w:rPr>
          <w:spacing w:val="33"/>
          <w:w w:val="67"/>
        </w:rPr>
        <w:t xml:space="preserve"> </w:t>
      </w:r>
      <w:r>
        <w:rPr>
          <w:spacing w:val="-2"/>
        </w:rPr>
        <w:t>sa</w:t>
      </w:r>
      <w:r>
        <w:t>ving</w:t>
      </w:r>
      <w:r>
        <w:rPr>
          <w:spacing w:val="-29"/>
        </w:rPr>
        <w:t xml:space="preserve"> </w:t>
      </w:r>
      <w:r>
        <w:t>them</w:t>
      </w:r>
      <w:r>
        <w:rPr>
          <w:spacing w:val="-28"/>
        </w:rPr>
        <w:t xml:space="preserve"> </w:t>
      </w:r>
      <w:r>
        <w:t>$</w:t>
      </w:r>
      <w:r>
        <w:rPr>
          <w:spacing w:val="-2"/>
        </w:rPr>
        <w:t>5.95</w:t>
      </w:r>
      <w:r>
        <w:rPr>
          <w:spacing w:val="-29"/>
        </w:rPr>
        <w:t xml:space="preserve"> </w:t>
      </w:r>
      <w:r>
        <w:t>million</w:t>
      </w:r>
      <w:r>
        <w:rPr>
          <w:spacing w:val="-28"/>
        </w:rPr>
        <w:t xml:space="preserve"> </w:t>
      </w:r>
      <w:r>
        <w:t>per</w:t>
      </w:r>
      <w:r>
        <w:rPr>
          <w:spacing w:val="-29"/>
        </w:rPr>
        <w:t xml:space="preserve"> </w:t>
      </w:r>
      <w:r>
        <w:rPr>
          <w:spacing w:val="-4"/>
        </w:rPr>
        <w:t>y</w:t>
      </w:r>
      <w:r>
        <w:rPr>
          <w:spacing w:val="-5"/>
        </w:rPr>
        <w:t>ear</w:t>
      </w:r>
      <w:r>
        <w:rPr>
          <w:spacing w:val="-6"/>
        </w:rPr>
        <w:t>.</w:t>
      </w:r>
    </w:p>
    <w:p w:rsidR="00697861" w:rsidRDefault="00697861" w:rsidP="00F20B31">
      <w:pPr>
        <w:ind w:right="45"/>
        <w:rPr>
          <w:rFonts w:eastAsia="Century Gothic" w:hAnsi="Century Gothic" w:cs="Century Gothic"/>
          <w:sz w:val="9"/>
          <w:szCs w:val="9"/>
        </w:rPr>
      </w:pPr>
      <w:r>
        <w:rPr>
          <w:spacing w:val="-1"/>
          <w:w w:val="95"/>
        </w:rPr>
        <w:t>$</w:t>
      </w:r>
      <w:r>
        <w:rPr>
          <w:w w:val="95"/>
        </w:rPr>
        <w:t>5.</w:t>
      </w:r>
      <w:r>
        <w:rPr>
          <w:spacing w:val="-1"/>
          <w:w w:val="95"/>
        </w:rPr>
        <w:t>95</w:t>
      </w:r>
      <w:r>
        <w:rPr>
          <w:spacing w:val="-24"/>
          <w:w w:val="95"/>
        </w:rPr>
        <w:t xml:space="preserve"> </w:t>
      </w:r>
      <w:r>
        <w:rPr>
          <w:w w:val="95"/>
        </w:rPr>
        <w:t>million</w:t>
      </w:r>
      <w:r>
        <w:rPr>
          <w:spacing w:val="-23"/>
          <w:w w:val="95"/>
        </w:rPr>
        <w:t xml:space="preserve"> </w:t>
      </w:r>
      <w:r>
        <w:rPr>
          <w:w w:val="95"/>
        </w:rPr>
        <w:t>o</w:t>
      </w:r>
      <w:r>
        <w:rPr>
          <w:spacing w:val="-1"/>
          <w:w w:val="95"/>
        </w:rPr>
        <w:t>f</w:t>
      </w:r>
      <w:r>
        <w:rPr>
          <w:spacing w:val="-24"/>
          <w:w w:val="95"/>
        </w:rPr>
        <w:t xml:space="preserve"> </w:t>
      </w:r>
      <w:r>
        <w:rPr>
          <w:w w:val="95"/>
        </w:rPr>
        <w:t>savings</w:t>
      </w:r>
      <w:r>
        <w:rPr>
          <w:spacing w:val="-1"/>
          <w:w w:val="95"/>
          <w:position w:val="5"/>
          <w:sz w:val="9"/>
        </w:rPr>
        <w:t>5</w:t>
      </w:r>
    </w:p>
    <w:p w:rsidR="00697861" w:rsidRPr="00FF2998" w:rsidRDefault="00697861" w:rsidP="00A50DA3">
      <w:pPr>
        <w:pStyle w:val="Heading3"/>
      </w:pPr>
      <w:bookmarkStart w:id="36" w:name="_Toc414449236"/>
      <w:bookmarkStart w:id="37" w:name="_Toc414449412"/>
      <w:r w:rsidRPr="00FF2998">
        <w:t>Less paperwork for the energy sector</w:t>
      </w:r>
      <w:bookmarkEnd w:id="36"/>
      <w:bookmarkEnd w:id="37"/>
    </w:p>
    <w:p w:rsidR="00697861" w:rsidRDefault="00697861" w:rsidP="00F20B31">
      <w:pPr>
        <w:ind w:right="45"/>
        <w:rPr>
          <w:szCs w:val="16"/>
        </w:rPr>
      </w:pPr>
      <w:r>
        <w:t>Ov</w:t>
      </w:r>
      <w:r>
        <w:rPr>
          <w:spacing w:val="-3"/>
        </w:rPr>
        <w:t>er</w:t>
      </w:r>
      <w:r>
        <w:rPr>
          <w:spacing w:val="-19"/>
        </w:rPr>
        <w:t xml:space="preserve"> </w:t>
      </w:r>
      <w:r>
        <w:t>460</w:t>
      </w:r>
      <w:r>
        <w:rPr>
          <w:spacing w:val="-18"/>
        </w:rPr>
        <w:t xml:space="preserve"> </w:t>
      </w:r>
      <w:r>
        <w:t>lar</w:t>
      </w:r>
      <w:r>
        <w:rPr>
          <w:spacing w:val="-1"/>
        </w:rPr>
        <w:t>ge</w:t>
      </w:r>
      <w:r>
        <w:rPr>
          <w:spacing w:val="-18"/>
        </w:rPr>
        <w:t xml:space="preserve"> </w:t>
      </w:r>
      <w:r>
        <w:t>ener</w:t>
      </w:r>
      <w:r>
        <w:rPr>
          <w:spacing w:val="-1"/>
        </w:rPr>
        <w:t>gy</w:t>
      </w:r>
      <w:r>
        <w:rPr>
          <w:spacing w:val="-18"/>
        </w:rPr>
        <w:t xml:space="preserve"> </w:t>
      </w:r>
      <w:r>
        <w:t>businesses</w:t>
      </w:r>
      <w:r>
        <w:rPr>
          <w:spacing w:val="29"/>
          <w:w w:val="95"/>
        </w:rPr>
        <w:t xml:space="preserve"> </w:t>
      </w:r>
      <w:r>
        <w:rPr>
          <w:spacing w:val="-3"/>
        </w:rPr>
        <w:t>are</w:t>
      </w:r>
      <w:r>
        <w:rPr>
          <w:spacing w:val="-20"/>
        </w:rPr>
        <w:t xml:space="preserve"> </w:t>
      </w:r>
      <w:r>
        <w:t>benefiting</w:t>
      </w:r>
      <w:r>
        <w:rPr>
          <w:spacing w:val="-20"/>
        </w:rPr>
        <w:t xml:space="preserve"> </w:t>
      </w:r>
      <w:r>
        <w:t>fr</w:t>
      </w:r>
      <w:r>
        <w:rPr>
          <w:spacing w:val="-1"/>
        </w:rPr>
        <w:t>om</w:t>
      </w:r>
      <w:r>
        <w:rPr>
          <w:spacing w:val="-20"/>
        </w:rPr>
        <w:t xml:space="preserve"> </w:t>
      </w:r>
      <w:r>
        <w:t>the</w:t>
      </w:r>
      <w:r>
        <w:rPr>
          <w:spacing w:val="-20"/>
        </w:rPr>
        <w:t xml:space="preserve"> </w:t>
      </w:r>
      <w:r>
        <w:rPr>
          <w:spacing w:val="-3"/>
        </w:rPr>
        <w:t>remo</w:t>
      </w:r>
      <w:r>
        <w:t>v</w:t>
      </w:r>
      <w:r>
        <w:rPr>
          <w:spacing w:val="-3"/>
        </w:rPr>
        <w:t>al</w:t>
      </w:r>
      <w:r>
        <w:rPr>
          <w:spacing w:val="-20"/>
        </w:rPr>
        <w:t xml:space="preserve"> </w:t>
      </w:r>
      <w:r>
        <w:t>of</w:t>
      </w:r>
      <w:r>
        <w:rPr>
          <w:spacing w:val="24"/>
          <w:w w:val="99"/>
        </w:rPr>
        <w:t xml:space="preserve"> </w:t>
      </w:r>
      <w:r>
        <w:rPr>
          <w:spacing w:val="-1"/>
        </w:rPr>
        <w:t>prescriptiv</w:t>
      </w:r>
      <w:r>
        <w:t>e</w:t>
      </w:r>
      <w:r>
        <w:rPr>
          <w:spacing w:val="-29"/>
        </w:rPr>
        <w:t xml:space="preserve"> </w:t>
      </w:r>
      <w:r>
        <w:rPr>
          <w:spacing w:val="-1"/>
        </w:rPr>
        <w:t>efficiency</w:t>
      </w:r>
      <w:r>
        <w:rPr>
          <w:spacing w:val="-29"/>
        </w:rPr>
        <w:t xml:space="preserve"> </w:t>
      </w:r>
      <w:r>
        <w:t>assessmen</w:t>
      </w:r>
      <w:r>
        <w:rPr>
          <w:spacing w:val="-1"/>
        </w:rPr>
        <w:t>t</w:t>
      </w:r>
      <w:r>
        <w:rPr>
          <w:spacing w:val="33"/>
          <w:w w:val="102"/>
        </w:rPr>
        <w:t xml:space="preserve"> </w:t>
      </w:r>
      <w:r>
        <w:t>and</w:t>
      </w:r>
      <w:r>
        <w:rPr>
          <w:spacing w:val="-36"/>
        </w:rPr>
        <w:t xml:space="preserve"> </w:t>
      </w:r>
      <w:r>
        <w:rPr>
          <w:spacing w:val="-1"/>
        </w:rPr>
        <w:t>v</w:t>
      </w:r>
      <w:r>
        <w:t>erifica</w:t>
      </w:r>
      <w:r>
        <w:rPr>
          <w:spacing w:val="-1"/>
        </w:rPr>
        <w:t>tion</w:t>
      </w:r>
      <w:r>
        <w:rPr>
          <w:spacing w:val="-36"/>
        </w:rPr>
        <w:t xml:space="preserve"> </w:t>
      </w:r>
      <w:r>
        <w:rPr>
          <w:spacing w:val="-1"/>
        </w:rPr>
        <w:t>proc</w:t>
      </w:r>
      <w:r>
        <w:t>esses.</w:t>
      </w:r>
    </w:p>
    <w:p w:rsidR="00697861" w:rsidRDefault="00697861" w:rsidP="00F20B31">
      <w:pPr>
        <w:ind w:right="45"/>
        <w:rPr>
          <w:szCs w:val="16"/>
        </w:rPr>
      </w:pPr>
      <w:r>
        <w:rPr>
          <w:spacing w:val="-1"/>
        </w:rPr>
        <w:t>W</w:t>
      </w:r>
      <w:r>
        <w:t>ith</w:t>
      </w:r>
      <w:r>
        <w:rPr>
          <w:spacing w:val="-20"/>
        </w:rPr>
        <w:t xml:space="preserve"> </w:t>
      </w:r>
      <w:r>
        <w:t>rising</w:t>
      </w:r>
      <w:r>
        <w:rPr>
          <w:spacing w:val="-20"/>
        </w:rPr>
        <w:t xml:space="preserve"> </w:t>
      </w:r>
      <w:r>
        <w:t>ener</w:t>
      </w:r>
      <w:r>
        <w:rPr>
          <w:spacing w:val="-1"/>
        </w:rPr>
        <w:t>gy</w:t>
      </w:r>
      <w:r>
        <w:rPr>
          <w:spacing w:val="-20"/>
        </w:rPr>
        <w:t xml:space="preserve"> </w:t>
      </w:r>
      <w:r>
        <w:rPr>
          <w:spacing w:val="-1"/>
        </w:rPr>
        <w:t>pric</w:t>
      </w:r>
      <w:r>
        <w:t>es</w:t>
      </w:r>
      <w:r>
        <w:rPr>
          <w:spacing w:val="-20"/>
        </w:rPr>
        <w:t xml:space="preserve"> </w:t>
      </w:r>
      <w:r>
        <w:t>and</w:t>
      </w:r>
      <w:r>
        <w:rPr>
          <w:spacing w:val="-19"/>
        </w:rPr>
        <w:t xml:space="preserve"> </w:t>
      </w:r>
      <w:r>
        <w:t>an</w:t>
      </w:r>
      <w:r>
        <w:rPr>
          <w:spacing w:val="28"/>
          <w:w w:val="95"/>
        </w:rPr>
        <w:t xml:space="preserve"> </w:t>
      </w:r>
      <w:r>
        <w:t>increased</w:t>
      </w:r>
      <w:r>
        <w:rPr>
          <w:spacing w:val="-20"/>
        </w:rPr>
        <w:t xml:space="preserve"> </w:t>
      </w:r>
      <w:r>
        <w:rPr>
          <w:spacing w:val="-1"/>
        </w:rPr>
        <w:t>capacity</w:t>
      </w:r>
      <w:r>
        <w:rPr>
          <w:spacing w:val="-19"/>
        </w:rPr>
        <w:t xml:space="preserve"> </w:t>
      </w:r>
      <w:r>
        <w:t>to</w:t>
      </w:r>
      <w:r>
        <w:rPr>
          <w:spacing w:val="-19"/>
        </w:rPr>
        <w:t xml:space="preserve"> </w:t>
      </w:r>
      <w:r>
        <w:t>r</w:t>
      </w:r>
      <w:r>
        <w:rPr>
          <w:spacing w:val="-1"/>
        </w:rPr>
        <w:t>espond</w:t>
      </w:r>
      <w:r>
        <w:rPr>
          <w:spacing w:val="-20"/>
        </w:rPr>
        <w:t xml:space="preserve"> </w:t>
      </w:r>
      <w:r>
        <w:t>to</w:t>
      </w:r>
      <w:r>
        <w:rPr>
          <w:spacing w:val="35"/>
        </w:rPr>
        <w:t xml:space="preserve"> </w:t>
      </w:r>
      <w:r>
        <w:t>ener</w:t>
      </w:r>
      <w:r>
        <w:rPr>
          <w:spacing w:val="-1"/>
        </w:rPr>
        <w:t>gy</w:t>
      </w:r>
      <w:r>
        <w:rPr>
          <w:spacing w:val="-25"/>
        </w:rPr>
        <w:t xml:space="preserve"> </w:t>
      </w:r>
      <w:r>
        <w:rPr>
          <w:spacing w:val="-1"/>
        </w:rPr>
        <w:t>costs</w:t>
      </w:r>
      <w:r>
        <w:rPr>
          <w:spacing w:val="-24"/>
        </w:rPr>
        <w:t xml:space="preserve"> </w:t>
      </w:r>
      <w:r>
        <w:rPr>
          <w:spacing w:val="-3"/>
        </w:rPr>
        <w:t>no</w:t>
      </w:r>
      <w:r>
        <w:t>w</w:t>
      </w:r>
      <w:r>
        <w:rPr>
          <w:spacing w:val="-24"/>
        </w:rPr>
        <w:t xml:space="preserve"> </w:t>
      </w:r>
      <w:r>
        <w:rPr>
          <w:spacing w:val="-1"/>
        </w:rPr>
        <w:t>w</w:t>
      </w:r>
      <w:r>
        <w:t>ell</w:t>
      </w:r>
      <w:r>
        <w:rPr>
          <w:spacing w:val="-24"/>
        </w:rPr>
        <w:t xml:space="preserve"> </w:t>
      </w:r>
      <w:r>
        <w:t>established,</w:t>
      </w:r>
      <w:r>
        <w:rPr>
          <w:spacing w:val="29"/>
          <w:w w:val="95"/>
        </w:rPr>
        <w:t xml:space="preserve"> </w:t>
      </w:r>
      <w:r>
        <w:t>indus</w:t>
      </w:r>
      <w:r>
        <w:rPr>
          <w:spacing w:val="-1"/>
        </w:rPr>
        <w:t>try</w:t>
      </w:r>
      <w:r>
        <w:rPr>
          <w:spacing w:val="-18"/>
        </w:rPr>
        <w:t xml:space="preserve"> </w:t>
      </w:r>
      <w:r>
        <w:t>is</w:t>
      </w:r>
      <w:r>
        <w:rPr>
          <w:spacing w:val="-17"/>
        </w:rPr>
        <w:t xml:space="preserve"> </w:t>
      </w:r>
      <w:r>
        <w:t>bes</w:t>
      </w:r>
      <w:r>
        <w:rPr>
          <w:spacing w:val="-1"/>
        </w:rPr>
        <w:t>t</w:t>
      </w:r>
      <w:r>
        <w:rPr>
          <w:spacing w:val="-17"/>
        </w:rPr>
        <w:t xml:space="preserve"> </w:t>
      </w:r>
      <w:r>
        <w:rPr>
          <w:spacing w:val="-1"/>
        </w:rPr>
        <w:t>placed</w:t>
      </w:r>
      <w:r>
        <w:rPr>
          <w:spacing w:val="-18"/>
        </w:rPr>
        <w:t xml:space="preserve"> </w:t>
      </w:r>
      <w:r>
        <w:t>to</w:t>
      </w:r>
      <w:r>
        <w:rPr>
          <w:spacing w:val="-17"/>
        </w:rPr>
        <w:t xml:space="preserve"> </w:t>
      </w:r>
      <w:r>
        <w:t>make</w:t>
      </w:r>
      <w:r>
        <w:rPr>
          <w:spacing w:val="25"/>
          <w:w w:val="96"/>
        </w:rPr>
        <w:t xml:space="preserve"> </w:t>
      </w:r>
      <w:r w:rsidRPr="00FC3FAD">
        <w:rPr>
          <w:spacing w:val="-1"/>
        </w:rPr>
        <w:t>decisions on ener</w:t>
      </w:r>
      <w:r>
        <w:rPr>
          <w:spacing w:val="-1"/>
        </w:rPr>
        <w:t>gy</w:t>
      </w:r>
      <w:r w:rsidRPr="00FC3FAD">
        <w:rPr>
          <w:spacing w:val="-1"/>
        </w:rPr>
        <w:t xml:space="preserve"> use. The repeal of the</w:t>
      </w:r>
      <w:r>
        <w:rPr>
          <w:spacing w:val="-24"/>
          <w:w w:val="95"/>
        </w:rPr>
        <w:t xml:space="preserve"> </w:t>
      </w:r>
      <w:r w:rsidRPr="00A56F8F">
        <w:rPr>
          <w:i/>
        </w:rPr>
        <w:t>Energy Efficiency Opportunities Act 2006</w:t>
      </w:r>
      <w:r w:rsidRPr="00543D2A">
        <w:t xml:space="preserve"> saves</w:t>
      </w:r>
      <w:r>
        <w:rPr>
          <w:spacing w:val="28"/>
          <w:w w:val="95"/>
        </w:rPr>
        <w:t xml:space="preserve"> </w:t>
      </w:r>
      <w:r>
        <w:t>lar</w:t>
      </w:r>
      <w:r>
        <w:rPr>
          <w:spacing w:val="-1"/>
        </w:rPr>
        <w:t>ge</w:t>
      </w:r>
      <w:r>
        <w:rPr>
          <w:spacing w:val="-30"/>
        </w:rPr>
        <w:t xml:space="preserve"> </w:t>
      </w:r>
      <w:r>
        <w:t>ener</w:t>
      </w:r>
      <w:r>
        <w:rPr>
          <w:spacing w:val="-1"/>
        </w:rPr>
        <w:t>gy</w:t>
      </w:r>
      <w:r>
        <w:rPr>
          <w:spacing w:val="-29"/>
        </w:rPr>
        <w:t xml:space="preserve"> </w:t>
      </w:r>
      <w:r>
        <w:t>using</w:t>
      </w:r>
      <w:r>
        <w:rPr>
          <w:spacing w:val="-29"/>
        </w:rPr>
        <w:t xml:space="preserve"> </w:t>
      </w:r>
      <w:r>
        <w:t>businesses $26.77</w:t>
      </w:r>
      <w:r>
        <w:rPr>
          <w:spacing w:val="-36"/>
        </w:rPr>
        <w:t xml:space="preserve"> </w:t>
      </w:r>
      <w:r>
        <w:t>million</w:t>
      </w:r>
      <w:r>
        <w:rPr>
          <w:spacing w:val="-36"/>
        </w:rPr>
        <w:t xml:space="preserve"> </w:t>
      </w:r>
      <w:r>
        <w:t>per</w:t>
      </w:r>
      <w:r>
        <w:rPr>
          <w:spacing w:val="-36"/>
        </w:rPr>
        <w:t xml:space="preserve"> </w:t>
      </w:r>
      <w:r>
        <w:rPr>
          <w:spacing w:val="-4"/>
        </w:rPr>
        <w:t>y</w:t>
      </w:r>
      <w:r>
        <w:rPr>
          <w:spacing w:val="-5"/>
        </w:rPr>
        <w:t>ear</w:t>
      </w:r>
      <w:r>
        <w:rPr>
          <w:spacing w:val="-6"/>
        </w:rPr>
        <w:t>.</w:t>
      </w:r>
    </w:p>
    <w:p w:rsidR="00697861" w:rsidRDefault="00697861" w:rsidP="00F20B31">
      <w:pPr>
        <w:ind w:right="45"/>
        <w:rPr>
          <w:rFonts w:eastAsia="Century Gothic" w:hAnsi="Century Gothic" w:cs="Century Gothic"/>
          <w:sz w:val="9"/>
          <w:szCs w:val="9"/>
        </w:rPr>
      </w:pPr>
      <w:r>
        <w:rPr>
          <w:spacing w:val="-1"/>
          <w:w w:val="95"/>
        </w:rPr>
        <w:t>$2</w:t>
      </w:r>
      <w:r>
        <w:rPr>
          <w:w w:val="95"/>
        </w:rPr>
        <w:t>6.77</w:t>
      </w:r>
      <w:r>
        <w:rPr>
          <w:spacing w:val="-27"/>
          <w:w w:val="95"/>
        </w:rPr>
        <w:t xml:space="preserve"> </w:t>
      </w:r>
      <w:r>
        <w:rPr>
          <w:w w:val="95"/>
        </w:rPr>
        <w:t>million</w:t>
      </w:r>
      <w:r>
        <w:rPr>
          <w:spacing w:val="-26"/>
          <w:w w:val="95"/>
        </w:rPr>
        <w:t xml:space="preserve"> </w:t>
      </w:r>
      <w:r>
        <w:rPr>
          <w:w w:val="95"/>
        </w:rPr>
        <w:t>o</w:t>
      </w:r>
      <w:r>
        <w:rPr>
          <w:spacing w:val="-1"/>
          <w:w w:val="95"/>
        </w:rPr>
        <w:t>f</w:t>
      </w:r>
      <w:r>
        <w:rPr>
          <w:spacing w:val="-26"/>
          <w:w w:val="95"/>
        </w:rPr>
        <w:t xml:space="preserve"> </w:t>
      </w:r>
      <w:r>
        <w:rPr>
          <w:w w:val="95"/>
        </w:rPr>
        <w:t>savings</w:t>
      </w:r>
      <w:r>
        <w:rPr>
          <w:spacing w:val="-1"/>
          <w:w w:val="95"/>
          <w:position w:val="5"/>
          <w:sz w:val="9"/>
        </w:rPr>
        <w:t>5</w:t>
      </w:r>
    </w:p>
    <w:p w:rsidR="00697861" w:rsidRPr="00FF2998" w:rsidRDefault="00697861" w:rsidP="00A50DA3">
      <w:pPr>
        <w:pStyle w:val="Heading3"/>
      </w:pPr>
      <w:bookmarkStart w:id="38" w:name="_Toc414449237"/>
      <w:bookmarkStart w:id="39" w:name="_Toc414449413"/>
      <w:r w:rsidRPr="00FF2998">
        <w:t>Creating Unique Student Identifiers (USI)</w:t>
      </w:r>
      <w:bookmarkEnd w:id="38"/>
      <w:bookmarkEnd w:id="39"/>
    </w:p>
    <w:p w:rsidR="00697861" w:rsidRPr="00896123" w:rsidRDefault="00697861" w:rsidP="00F20B31">
      <w:pPr>
        <w:ind w:right="45"/>
        <w:rPr>
          <w:spacing w:val="19"/>
          <w:w w:val="90"/>
        </w:rPr>
      </w:pPr>
      <w:r>
        <w:t>The</w:t>
      </w:r>
      <w:r>
        <w:rPr>
          <w:spacing w:val="-28"/>
        </w:rPr>
        <w:t xml:space="preserve"> </w:t>
      </w:r>
      <w:r>
        <w:rPr>
          <w:spacing w:val="-4"/>
        </w:rPr>
        <w:t>intr</w:t>
      </w:r>
      <w:r>
        <w:t>oduc</w:t>
      </w:r>
      <w:r>
        <w:rPr>
          <w:spacing w:val="-4"/>
        </w:rPr>
        <w:t>tion</w:t>
      </w:r>
      <w:r>
        <w:rPr>
          <w:spacing w:val="-28"/>
        </w:rPr>
        <w:t xml:space="preserve"> </w:t>
      </w:r>
      <w:r>
        <w:rPr>
          <w:spacing w:val="-1"/>
        </w:rPr>
        <w:t>of</w:t>
      </w:r>
      <w:r>
        <w:rPr>
          <w:spacing w:val="-28"/>
        </w:rPr>
        <w:t xml:space="preserve"> </w:t>
      </w:r>
      <w:r>
        <w:t>a</w:t>
      </w:r>
      <w:r>
        <w:rPr>
          <w:spacing w:val="-28"/>
        </w:rPr>
        <w:t xml:space="preserve"> </w:t>
      </w:r>
      <w:r>
        <w:t>USI</w:t>
      </w:r>
      <w:r>
        <w:rPr>
          <w:spacing w:val="-2"/>
          <w:w w:val="90"/>
        </w:rPr>
        <w:t xml:space="preserve"> </w:t>
      </w:r>
      <w:r>
        <w:t>streamlines</w:t>
      </w:r>
      <w:r>
        <w:rPr>
          <w:spacing w:val="-29"/>
        </w:rPr>
        <w:t xml:space="preserve"> </w:t>
      </w:r>
      <w:r>
        <w:rPr>
          <w:spacing w:val="-3"/>
        </w:rPr>
        <w:t>the</w:t>
      </w:r>
      <w:r>
        <w:rPr>
          <w:spacing w:val="-28"/>
        </w:rPr>
        <w:t xml:space="preserve"> </w:t>
      </w:r>
      <w:r>
        <w:t>e</w:t>
      </w:r>
      <w:r>
        <w:rPr>
          <w:spacing w:val="-3"/>
        </w:rPr>
        <w:t>x</w:t>
      </w:r>
      <w:r>
        <w:t>change</w:t>
      </w:r>
      <w:r>
        <w:rPr>
          <w:spacing w:val="-29"/>
        </w:rPr>
        <w:t xml:space="preserve"> </w:t>
      </w:r>
      <w:r>
        <w:rPr>
          <w:spacing w:val="-2"/>
        </w:rPr>
        <w:t>of</w:t>
      </w:r>
      <w:r>
        <w:rPr>
          <w:spacing w:val="21"/>
          <w:w w:val="99"/>
        </w:rPr>
        <w:t xml:space="preserve"> </w:t>
      </w:r>
      <w:r>
        <w:t>information</w:t>
      </w:r>
      <w:r>
        <w:rPr>
          <w:spacing w:val="-28"/>
        </w:rPr>
        <w:t xml:space="preserve"> </w:t>
      </w:r>
      <w:r>
        <w:rPr>
          <w:spacing w:val="-2"/>
        </w:rPr>
        <w:t>in</w:t>
      </w:r>
      <w:r>
        <w:rPr>
          <w:spacing w:val="-27"/>
        </w:rPr>
        <w:t xml:space="preserve"> </w:t>
      </w:r>
      <w:r>
        <w:rPr>
          <w:spacing w:val="-3"/>
        </w:rPr>
        <w:t>the</w:t>
      </w:r>
      <w:r>
        <w:rPr>
          <w:spacing w:val="-27"/>
        </w:rPr>
        <w:t xml:space="preserve"> </w:t>
      </w:r>
      <w:r>
        <w:rPr>
          <w:spacing w:val="-3"/>
        </w:rPr>
        <w:t>national</w:t>
      </w:r>
      <w:r>
        <w:rPr>
          <w:spacing w:val="-27"/>
        </w:rPr>
        <w:t xml:space="preserve"> </w:t>
      </w:r>
      <w:r>
        <w:t>training</w:t>
      </w:r>
      <w:r>
        <w:rPr>
          <w:spacing w:val="33"/>
          <w:w w:val="96"/>
        </w:rPr>
        <w:t xml:space="preserve"> </w:t>
      </w:r>
      <w:r>
        <w:rPr>
          <w:spacing w:val="-3"/>
        </w:rPr>
        <w:t>sec</w:t>
      </w:r>
      <w:r>
        <w:rPr>
          <w:spacing w:val="-2"/>
        </w:rPr>
        <w:t>t</w:t>
      </w:r>
      <w:r>
        <w:rPr>
          <w:spacing w:val="-3"/>
        </w:rPr>
        <w:t>or</w:t>
      </w:r>
      <w:r>
        <w:rPr>
          <w:spacing w:val="-22"/>
        </w:rPr>
        <w:t xml:space="preserve"> </w:t>
      </w:r>
      <w:r>
        <w:rPr>
          <w:spacing w:val="-2"/>
        </w:rPr>
        <w:t>with</w:t>
      </w:r>
      <w:r>
        <w:rPr>
          <w:spacing w:val="-21"/>
        </w:rPr>
        <w:t xml:space="preserve"> </w:t>
      </w:r>
      <w:r>
        <w:rPr>
          <w:spacing w:val="-3"/>
        </w:rPr>
        <w:t>benefits</w:t>
      </w:r>
      <w:r>
        <w:t xml:space="preserve"> </w:t>
      </w:r>
      <w:r>
        <w:rPr>
          <w:spacing w:val="-2"/>
        </w:rPr>
        <w:t>to</w:t>
      </w:r>
      <w:r>
        <w:rPr>
          <w:spacing w:val="-21"/>
        </w:rPr>
        <w:t xml:space="preserve"> </w:t>
      </w:r>
      <w:r>
        <w:t>students,</w:t>
      </w:r>
      <w:r>
        <w:rPr>
          <w:spacing w:val="25"/>
          <w:w w:val="89"/>
        </w:rPr>
        <w:t xml:space="preserve"> </w:t>
      </w:r>
      <w:r>
        <w:t>training</w:t>
      </w:r>
      <w:r>
        <w:rPr>
          <w:spacing w:val="-26"/>
        </w:rPr>
        <w:t xml:space="preserve"> </w:t>
      </w:r>
      <w:r>
        <w:rPr>
          <w:spacing w:val="-3"/>
        </w:rPr>
        <w:t>pro</w:t>
      </w:r>
      <w:r>
        <w:t>viders</w:t>
      </w:r>
      <w:r>
        <w:rPr>
          <w:spacing w:val="-25"/>
        </w:rPr>
        <w:t xml:space="preserve"> </w:t>
      </w:r>
      <w:r>
        <w:rPr>
          <w:spacing w:val="-3"/>
        </w:rPr>
        <w:t>and</w:t>
      </w:r>
      <w:r>
        <w:rPr>
          <w:spacing w:val="-26"/>
        </w:rPr>
        <w:t xml:space="preserve"> </w:t>
      </w:r>
      <w:r>
        <w:rPr>
          <w:spacing w:val="-3"/>
        </w:rPr>
        <w:t>other</w:t>
      </w:r>
      <w:r>
        <w:rPr>
          <w:spacing w:val="19"/>
          <w:w w:val="97"/>
        </w:rPr>
        <w:t xml:space="preserve"> </w:t>
      </w:r>
      <w:r>
        <w:t>stakeholders.</w:t>
      </w:r>
      <w:r>
        <w:rPr>
          <w:spacing w:val="-29"/>
        </w:rPr>
        <w:t xml:space="preserve"> </w:t>
      </w:r>
      <w:r>
        <w:rPr>
          <w:spacing w:val="-2"/>
        </w:rPr>
        <w:t>It</w:t>
      </w:r>
      <w:r>
        <w:rPr>
          <w:spacing w:val="-29"/>
        </w:rPr>
        <w:t xml:space="preserve"> </w:t>
      </w:r>
      <w:r>
        <w:rPr>
          <w:spacing w:val="-3"/>
        </w:rPr>
        <w:t>will</w:t>
      </w:r>
      <w:r>
        <w:rPr>
          <w:spacing w:val="-28"/>
        </w:rPr>
        <w:t xml:space="preserve"> </w:t>
      </w:r>
      <w:r>
        <w:rPr>
          <w:spacing w:val="-3"/>
        </w:rPr>
        <w:t>giv</w:t>
      </w:r>
      <w:r>
        <w:t>e</w:t>
      </w:r>
      <w:r>
        <w:rPr>
          <w:spacing w:val="-29"/>
        </w:rPr>
        <w:t xml:space="preserve"> </w:t>
      </w:r>
      <w:r>
        <w:rPr>
          <w:spacing w:val="-3"/>
        </w:rPr>
        <w:t>millions</w:t>
      </w:r>
      <w:r>
        <w:rPr>
          <w:spacing w:val="-28"/>
        </w:rPr>
        <w:t xml:space="preserve"> </w:t>
      </w:r>
      <w:r>
        <w:rPr>
          <w:spacing w:val="-2"/>
        </w:rPr>
        <w:t>of</w:t>
      </w:r>
      <w:r>
        <w:rPr>
          <w:spacing w:val="29"/>
          <w:w w:val="99"/>
        </w:rPr>
        <w:t xml:space="preserve"> </w:t>
      </w:r>
      <w:r>
        <w:rPr>
          <w:spacing w:val="-2"/>
        </w:rPr>
        <w:t>VET</w:t>
      </w:r>
      <w:r>
        <w:rPr>
          <w:spacing w:val="-23"/>
        </w:rPr>
        <w:t xml:space="preserve"> </w:t>
      </w:r>
      <w:r>
        <w:rPr>
          <w:spacing w:val="-3"/>
        </w:rPr>
        <w:t>students</w:t>
      </w:r>
      <w:r>
        <w:rPr>
          <w:spacing w:val="-23"/>
        </w:rPr>
        <w:t xml:space="preserve"> </w:t>
      </w:r>
      <w:r>
        <w:rPr>
          <w:spacing w:val="-3"/>
        </w:rPr>
        <w:t>online</w:t>
      </w:r>
      <w:r>
        <w:rPr>
          <w:spacing w:val="-22"/>
        </w:rPr>
        <w:t xml:space="preserve"> </w:t>
      </w:r>
      <w:r>
        <w:t>ac</w:t>
      </w:r>
      <w:r>
        <w:rPr>
          <w:spacing w:val="-3"/>
        </w:rPr>
        <w:t>c</w:t>
      </w:r>
      <w:r>
        <w:t>ess</w:t>
      </w:r>
      <w:r>
        <w:rPr>
          <w:spacing w:val="-23"/>
        </w:rPr>
        <w:t xml:space="preserve"> </w:t>
      </w:r>
      <w:r>
        <w:rPr>
          <w:spacing w:val="-2"/>
        </w:rPr>
        <w:t>to</w:t>
      </w:r>
      <w:r>
        <w:rPr>
          <w:spacing w:val="-22"/>
        </w:rPr>
        <w:t xml:space="preserve"> </w:t>
      </w:r>
      <w:r>
        <w:rPr>
          <w:spacing w:val="-3"/>
        </w:rPr>
        <w:t>all</w:t>
      </w:r>
      <w:r>
        <w:rPr>
          <w:spacing w:val="27"/>
          <w:w w:val="95"/>
        </w:rPr>
        <w:t xml:space="preserve"> </w:t>
      </w:r>
      <w:r>
        <w:t>training</w:t>
      </w:r>
      <w:r>
        <w:rPr>
          <w:spacing w:val="-28"/>
        </w:rPr>
        <w:t xml:space="preserve"> </w:t>
      </w:r>
      <w:r>
        <w:t>r</w:t>
      </w:r>
      <w:r>
        <w:rPr>
          <w:spacing w:val="-3"/>
        </w:rPr>
        <w:t>ec</w:t>
      </w:r>
      <w:r>
        <w:t>ords.</w:t>
      </w:r>
      <w:r>
        <w:rPr>
          <w:spacing w:val="-28"/>
        </w:rPr>
        <w:t xml:space="preserve"> </w:t>
      </w:r>
      <w:r>
        <w:rPr>
          <w:spacing w:val="-3"/>
        </w:rPr>
        <w:t>This</w:t>
      </w:r>
      <w:r>
        <w:rPr>
          <w:spacing w:val="-28"/>
        </w:rPr>
        <w:t xml:space="preserve"> </w:t>
      </w:r>
      <w:r>
        <w:rPr>
          <w:spacing w:val="-3"/>
        </w:rPr>
        <w:t>will</w:t>
      </w:r>
      <w:r>
        <w:rPr>
          <w:spacing w:val="-28"/>
        </w:rPr>
        <w:t xml:space="preserve"> </w:t>
      </w:r>
      <w:r>
        <w:rPr>
          <w:spacing w:val="-1"/>
        </w:rPr>
        <w:t>be</w:t>
      </w:r>
      <w:r>
        <w:rPr>
          <w:spacing w:val="-28"/>
        </w:rPr>
        <w:t xml:space="preserve"> </w:t>
      </w:r>
      <w:r>
        <w:rPr>
          <w:spacing w:val="-3"/>
        </w:rPr>
        <w:t>v</w:t>
      </w:r>
      <w:r>
        <w:t>aluable</w:t>
      </w:r>
      <w:r>
        <w:rPr>
          <w:spacing w:val="23"/>
          <w:w w:val="96"/>
        </w:rPr>
        <w:t xml:space="preserve"> </w:t>
      </w:r>
      <w:r>
        <w:rPr>
          <w:spacing w:val="-2"/>
        </w:rPr>
        <w:t>to</w:t>
      </w:r>
      <w:r>
        <w:rPr>
          <w:spacing w:val="-21"/>
        </w:rPr>
        <w:t xml:space="preserve"> </w:t>
      </w:r>
      <w:r>
        <w:rPr>
          <w:spacing w:val="-3"/>
        </w:rPr>
        <w:t>students</w:t>
      </w:r>
      <w:r>
        <w:rPr>
          <w:spacing w:val="-20"/>
        </w:rPr>
        <w:t xml:space="preserve"> </w:t>
      </w:r>
      <w:r>
        <w:rPr>
          <w:spacing w:val="-3"/>
        </w:rPr>
        <w:t>when</w:t>
      </w:r>
      <w:r>
        <w:rPr>
          <w:spacing w:val="-21"/>
        </w:rPr>
        <w:t xml:space="preserve"> </w:t>
      </w:r>
      <w:r>
        <w:t>the</w:t>
      </w:r>
      <w:r>
        <w:rPr>
          <w:spacing w:val="-3"/>
        </w:rPr>
        <w:t>y</w:t>
      </w:r>
      <w:r>
        <w:rPr>
          <w:spacing w:val="-20"/>
        </w:rPr>
        <w:t xml:space="preserve"> </w:t>
      </w:r>
      <w:r>
        <w:rPr>
          <w:spacing w:val="-5"/>
        </w:rPr>
        <w:t>pr</w:t>
      </w:r>
      <w:r>
        <w:t>o</w:t>
      </w:r>
      <w:r>
        <w:rPr>
          <w:spacing w:val="-5"/>
        </w:rPr>
        <w:t>vide</w:t>
      </w:r>
      <w:r>
        <w:rPr>
          <w:spacing w:val="21"/>
          <w:w w:val="99"/>
        </w:rPr>
        <w:t xml:space="preserve"> </w:t>
      </w:r>
      <w:r>
        <w:t>e</w:t>
      </w:r>
      <w:r>
        <w:rPr>
          <w:spacing w:val="-3"/>
        </w:rPr>
        <w:t>videnc</w:t>
      </w:r>
      <w:r>
        <w:t>e</w:t>
      </w:r>
      <w:r>
        <w:rPr>
          <w:spacing w:val="-24"/>
        </w:rPr>
        <w:t xml:space="preserve"> </w:t>
      </w:r>
      <w:r>
        <w:rPr>
          <w:spacing w:val="-3"/>
        </w:rPr>
        <w:t>for</w:t>
      </w:r>
      <w:r>
        <w:rPr>
          <w:spacing w:val="-23"/>
        </w:rPr>
        <w:t xml:space="preserve"> </w:t>
      </w:r>
      <w:r>
        <w:rPr>
          <w:spacing w:val="-3"/>
        </w:rPr>
        <w:t>job</w:t>
      </w:r>
      <w:r>
        <w:rPr>
          <w:spacing w:val="-23"/>
        </w:rPr>
        <w:t xml:space="preserve"> </w:t>
      </w:r>
      <w:r>
        <w:rPr>
          <w:spacing w:val="-3"/>
        </w:rPr>
        <w:t>applications</w:t>
      </w:r>
      <w:r>
        <w:rPr>
          <w:spacing w:val="-23"/>
        </w:rPr>
        <w:t xml:space="preserve"> </w:t>
      </w:r>
      <w:r>
        <w:rPr>
          <w:spacing w:val="-3"/>
        </w:rPr>
        <w:t>and</w:t>
      </w:r>
      <w:r>
        <w:rPr>
          <w:spacing w:val="26"/>
          <w:w w:val="97"/>
        </w:rPr>
        <w:t xml:space="preserve"> </w:t>
      </w:r>
      <w:r>
        <w:t>future</w:t>
      </w:r>
      <w:r>
        <w:rPr>
          <w:spacing w:val="-31"/>
        </w:rPr>
        <w:t xml:space="preserve"> </w:t>
      </w:r>
      <w:r>
        <w:t>training.</w:t>
      </w:r>
      <w:r>
        <w:rPr>
          <w:spacing w:val="-31"/>
        </w:rPr>
        <w:t xml:space="preserve"> </w:t>
      </w:r>
      <w:r>
        <w:rPr>
          <w:spacing w:val="-3"/>
        </w:rPr>
        <w:t>This</w:t>
      </w:r>
      <w:r>
        <w:rPr>
          <w:spacing w:val="-31"/>
        </w:rPr>
        <w:t xml:space="preserve"> </w:t>
      </w:r>
      <w:r>
        <w:t>makes</w:t>
      </w:r>
      <w:r>
        <w:rPr>
          <w:spacing w:val="-31"/>
        </w:rPr>
        <w:t xml:space="preserve"> </w:t>
      </w:r>
      <w:r>
        <w:rPr>
          <w:spacing w:val="-1"/>
        </w:rPr>
        <w:t>it</w:t>
      </w:r>
      <w:r>
        <w:rPr>
          <w:spacing w:val="-31"/>
        </w:rPr>
        <w:t xml:space="preserve"> </w:t>
      </w:r>
      <w:r>
        <w:rPr>
          <w:spacing w:val="-3"/>
        </w:rPr>
        <w:t>easier</w:t>
      </w:r>
      <w:r>
        <w:rPr>
          <w:spacing w:val="27"/>
          <w:w w:val="95"/>
        </w:rPr>
        <w:t xml:space="preserve"> </w:t>
      </w:r>
      <w:r>
        <w:rPr>
          <w:spacing w:val="-3"/>
        </w:rPr>
        <w:t>for</w:t>
      </w:r>
      <w:r>
        <w:rPr>
          <w:spacing w:val="-28"/>
        </w:rPr>
        <w:t xml:space="preserve"> </w:t>
      </w:r>
      <w:r>
        <w:t>training</w:t>
      </w:r>
      <w:r>
        <w:rPr>
          <w:spacing w:val="-28"/>
        </w:rPr>
        <w:t xml:space="preserve"> </w:t>
      </w:r>
      <w:r>
        <w:t>organisations</w:t>
      </w:r>
      <w:r>
        <w:rPr>
          <w:spacing w:val="-28"/>
        </w:rPr>
        <w:t xml:space="preserve"> </w:t>
      </w:r>
      <w:r>
        <w:rPr>
          <w:spacing w:val="-2"/>
        </w:rPr>
        <w:t>to</w:t>
      </w:r>
      <w:r>
        <w:rPr>
          <w:spacing w:val="-28"/>
        </w:rPr>
        <w:t xml:space="preserve"> </w:t>
      </w:r>
      <w:r>
        <w:rPr>
          <w:spacing w:val="-3"/>
        </w:rPr>
        <w:t>assess</w:t>
      </w:r>
      <w:r>
        <w:rPr>
          <w:spacing w:val="33"/>
          <w:w w:val="95"/>
        </w:rPr>
        <w:t xml:space="preserve"> </w:t>
      </w:r>
      <w:r>
        <w:rPr>
          <w:spacing w:val="-3"/>
        </w:rPr>
        <w:t>pr</w:t>
      </w:r>
      <w:r>
        <w:t>e-requisites,</w:t>
      </w:r>
      <w:r>
        <w:rPr>
          <w:spacing w:val="-35"/>
        </w:rPr>
        <w:t xml:space="preserve"> </w:t>
      </w:r>
      <w:r>
        <w:rPr>
          <w:spacing w:val="-3"/>
        </w:rPr>
        <w:t>credit</w:t>
      </w:r>
      <w:r>
        <w:rPr>
          <w:spacing w:val="-35"/>
        </w:rPr>
        <w:t xml:space="preserve"> </w:t>
      </w:r>
      <w:r>
        <w:t>transfers</w:t>
      </w:r>
      <w:r>
        <w:rPr>
          <w:spacing w:val="-35"/>
        </w:rPr>
        <w:t xml:space="preserve"> </w:t>
      </w:r>
      <w:r>
        <w:rPr>
          <w:spacing w:val="-3"/>
        </w:rPr>
        <w:t>and</w:t>
      </w:r>
      <w:r>
        <w:rPr>
          <w:spacing w:val="29"/>
          <w:w w:val="97"/>
        </w:rPr>
        <w:t xml:space="preserve"> </w:t>
      </w:r>
      <w:r>
        <w:t>r</w:t>
      </w:r>
      <w:r>
        <w:rPr>
          <w:spacing w:val="-3"/>
        </w:rPr>
        <w:t>ec</w:t>
      </w:r>
      <w:r>
        <w:t>ognition</w:t>
      </w:r>
      <w:r>
        <w:rPr>
          <w:spacing w:val="-29"/>
        </w:rPr>
        <w:t xml:space="preserve"> </w:t>
      </w:r>
      <w:r>
        <w:rPr>
          <w:spacing w:val="-1"/>
        </w:rPr>
        <w:t>of</w:t>
      </w:r>
      <w:r>
        <w:rPr>
          <w:spacing w:val="-29"/>
        </w:rPr>
        <w:t xml:space="preserve"> </w:t>
      </w:r>
      <w:r>
        <w:rPr>
          <w:spacing w:val="-3"/>
        </w:rPr>
        <w:t>prior</w:t>
      </w:r>
      <w:r>
        <w:rPr>
          <w:spacing w:val="-28"/>
        </w:rPr>
        <w:t xml:space="preserve"> </w:t>
      </w:r>
      <w:r>
        <w:rPr>
          <w:spacing w:val="-3"/>
        </w:rPr>
        <w:t>learning.</w:t>
      </w:r>
    </w:p>
    <w:p w:rsidR="00697861" w:rsidRDefault="00697861" w:rsidP="00F20B31">
      <w:pPr>
        <w:ind w:right="45"/>
        <w:rPr>
          <w:rFonts w:eastAsia="Century Gothic" w:hAnsi="Century Gothic" w:cs="Century Gothic"/>
          <w:sz w:val="9"/>
          <w:szCs w:val="9"/>
        </w:rPr>
      </w:pPr>
      <w:r>
        <w:rPr>
          <w:spacing w:val="-3"/>
          <w:w w:val="95"/>
        </w:rPr>
        <w:t>$6.</w:t>
      </w:r>
      <w:r>
        <w:rPr>
          <w:w w:val="95"/>
        </w:rPr>
        <w:t>0</w:t>
      </w:r>
      <w:r>
        <w:rPr>
          <w:spacing w:val="-4"/>
          <w:w w:val="95"/>
        </w:rPr>
        <w:t>1</w:t>
      </w:r>
      <w:r>
        <w:rPr>
          <w:spacing w:val="-30"/>
          <w:w w:val="95"/>
        </w:rPr>
        <w:t xml:space="preserve"> </w:t>
      </w:r>
      <w:r>
        <w:rPr>
          <w:w w:val="95"/>
        </w:rPr>
        <w:t>million</w:t>
      </w:r>
      <w:r>
        <w:rPr>
          <w:spacing w:val="-30"/>
          <w:w w:val="95"/>
        </w:rPr>
        <w:t xml:space="preserve"> </w:t>
      </w:r>
      <w:r>
        <w:rPr>
          <w:w w:val="95"/>
        </w:rPr>
        <w:t>o</w:t>
      </w:r>
      <w:r>
        <w:rPr>
          <w:spacing w:val="-1"/>
          <w:w w:val="95"/>
        </w:rPr>
        <w:t>f</w:t>
      </w:r>
      <w:r>
        <w:rPr>
          <w:spacing w:val="-29"/>
          <w:w w:val="95"/>
        </w:rPr>
        <w:t xml:space="preserve"> </w:t>
      </w:r>
      <w:r>
        <w:rPr>
          <w:w w:val="95"/>
        </w:rPr>
        <w:t>savings</w:t>
      </w:r>
      <w:r>
        <w:rPr>
          <w:spacing w:val="-1"/>
          <w:w w:val="95"/>
          <w:position w:val="5"/>
          <w:sz w:val="9"/>
        </w:rPr>
        <w:t>5</w:t>
      </w:r>
    </w:p>
    <w:p w:rsidR="00697861" w:rsidRPr="00FF2998" w:rsidRDefault="00697861" w:rsidP="00A50DA3">
      <w:pPr>
        <w:pStyle w:val="Heading3"/>
      </w:pPr>
      <w:bookmarkStart w:id="40" w:name="_Toc414449238"/>
      <w:bookmarkStart w:id="41" w:name="_Toc414449414"/>
      <w:r w:rsidRPr="00FF2998">
        <w:t>Building an Australian Apprenticeships Support Network</w:t>
      </w:r>
      <w:bookmarkEnd w:id="40"/>
      <w:bookmarkEnd w:id="41"/>
    </w:p>
    <w:p w:rsidR="00697861" w:rsidRDefault="00697861" w:rsidP="00F20B31">
      <w:pPr>
        <w:ind w:right="45"/>
        <w:rPr>
          <w:szCs w:val="16"/>
        </w:rPr>
      </w:pPr>
      <w:r>
        <w:t>This</w:t>
      </w:r>
      <w:r w:rsidRPr="00543D2A">
        <w:t xml:space="preserve"> initia</w:t>
      </w:r>
      <w:r>
        <w:t>tiv</w:t>
      </w:r>
      <w:r w:rsidRPr="00543D2A">
        <w:t xml:space="preserve">e </w:t>
      </w:r>
      <w:r>
        <w:t>will</w:t>
      </w:r>
      <w:r w:rsidRPr="00543D2A">
        <w:t xml:space="preserve"> </w:t>
      </w:r>
      <w:r>
        <w:t>shift</w:t>
      </w:r>
      <w:r w:rsidRPr="00543D2A">
        <w:t xml:space="preserve"> </w:t>
      </w:r>
      <w:r>
        <w:t>appr</w:t>
      </w:r>
      <w:r w:rsidRPr="00543D2A">
        <w:t>en</w:t>
      </w:r>
      <w:r>
        <w:t>tic</w:t>
      </w:r>
      <w:r w:rsidRPr="00543D2A">
        <w:t xml:space="preserve">eship </w:t>
      </w:r>
      <w:r>
        <w:t>services</w:t>
      </w:r>
      <w:r w:rsidRPr="00543D2A">
        <w:t xml:space="preserve"> away fr</w:t>
      </w:r>
      <w:r>
        <w:t>om</w:t>
      </w:r>
      <w:r w:rsidRPr="00543D2A">
        <w:t xml:space="preserve"> lar</w:t>
      </w:r>
      <w:r>
        <w:t>gely</w:t>
      </w:r>
      <w:r w:rsidRPr="00543D2A">
        <w:t xml:space="preserve"> administra</w:t>
      </w:r>
      <w:r>
        <w:t>tiv</w:t>
      </w:r>
      <w:r w:rsidRPr="00543D2A">
        <w:t xml:space="preserve">e </w:t>
      </w:r>
      <w:r>
        <w:t>pr</w:t>
      </w:r>
      <w:r w:rsidRPr="00543D2A">
        <w:t>ac</w:t>
      </w:r>
      <w:r>
        <w:t>tic</w:t>
      </w:r>
      <w:r w:rsidRPr="00543D2A">
        <w:t xml:space="preserve">es to </w:t>
      </w:r>
      <w:r>
        <w:t>outc</w:t>
      </w:r>
      <w:r w:rsidRPr="00543D2A">
        <w:t xml:space="preserve">omes-focused </w:t>
      </w:r>
      <w:r>
        <w:t>services,</w:t>
      </w:r>
      <w:r w:rsidRPr="00543D2A">
        <w:t xml:space="preserve"> </w:t>
      </w:r>
      <w:r>
        <w:t>such</w:t>
      </w:r>
      <w:r w:rsidRPr="00543D2A">
        <w:t xml:space="preserve"> as </w:t>
      </w:r>
      <w:r>
        <w:t>men</w:t>
      </w:r>
      <w:r w:rsidRPr="00543D2A">
        <w:t>t</w:t>
      </w:r>
      <w:r>
        <w:t>oring</w:t>
      </w:r>
      <w:r w:rsidRPr="00543D2A">
        <w:t xml:space="preserve"> </w:t>
      </w:r>
      <w:r>
        <w:t>and</w:t>
      </w:r>
      <w:r w:rsidRPr="00543D2A">
        <w:t xml:space="preserve"> job-ma</w:t>
      </w:r>
      <w:r>
        <w:t>t</w:t>
      </w:r>
      <w:r w:rsidRPr="00543D2A">
        <w:t>ching</w:t>
      </w:r>
      <w:r>
        <w:t xml:space="preserve"> </w:t>
      </w:r>
      <w:r w:rsidRPr="00543D2A">
        <w:t>to bett</w:t>
      </w:r>
      <w:r>
        <w:t>er</w:t>
      </w:r>
      <w:r w:rsidRPr="00543D2A">
        <w:t xml:space="preserve"> support </w:t>
      </w:r>
      <w:r>
        <w:t>business</w:t>
      </w:r>
      <w:r w:rsidRPr="00543D2A">
        <w:t xml:space="preserve"> </w:t>
      </w:r>
      <w:r>
        <w:t>and</w:t>
      </w:r>
      <w:r w:rsidRPr="00543D2A">
        <w:t xml:space="preserve"> apprentices. From 1 July 2015, </w:t>
      </w:r>
      <w:r>
        <w:t>appr</w:t>
      </w:r>
      <w:r w:rsidRPr="00543D2A">
        <w:t>en</w:t>
      </w:r>
      <w:r>
        <w:t>tic</w:t>
      </w:r>
      <w:r w:rsidRPr="00543D2A">
        <w:t xml:space="preserve">es </w:t>
      </w:r>
      <w:r>
        <w:t>and</w:t>
      </w:r>
      <w:r w:rsidRPr="00543D2A">
        <w:t xml:space="preserve"> </w:t>
      </w:r>
      <w:r>
        <w:t>b</w:t>
      </w:r>
      <w:r w:rsidRPr="00543D2A">
        <w:t xml:space="preserve">usinesses </w:t>
      </w:r>
      <w:r>
        <w:t>can</w:t>
      </w:r>
      <w:r w:rsidRPr="00543D2A">
        <w:t xml:space="preserve"> ac</w:t>
      </w:r>
      <w:r>
        <w:t>c</w:t>
      </w:r>
      <w:r w:rsidRPr="00543D2A">
        <w:t>ess bett</w:t>
      </w:r>
      <w:r>
        <w:t>er</w:t>
      </w:r>
      <w:r w:rsidRPr="00543D2A">
        <w:t xml:space="preserve"> support </w:t>
      </w:r>
      <w:r>
        <w:t>and</w:t>
      </w:r>
      <w:r w:rsidRPr="00543D2A">
        <w:t xml:space="preserve"> tar</w:t>
      </w:r>
      <w:r>
        <w:t>geted</w:t>
      </w:r>
      <w:r w:rsidRPr="00543D2A">
        <w:t xml:space="preserve"> </w:t>
      </w:r>
      <w:r>
        <w:t>advic</w:t>
      </w:r>
      <w:r w:rsidRPr="00543D2A">
        <w:t xml:space="preserve">e, </w:t>
      </w:r>
      <w:r>
        <w:t>ensuring</w:t>
      </w:r>
      <w:r w:rsidRPr="00543D2A">
        <w:t xml:space="preserve"> more</w:t>
      </w:r>
      <w:r>
        <w:t xml:space="preserve"> participants</w:t>
      </w:r>
      <w:r w:rsidRPr="00543D2A">
        <w:t xml:space="preserve"> remain </w:t>
      </w:r>
      <w:r>
        <w:t>engaged</w:t>
      </w:r>
      <w:r w:rsidRPr="00543D2A">
        <w:t xml:space="preserve"> in </w:t>
      </w:r>
      <w:r>
        <w:t>the</w:t>
      </w:r>
      <w:r w:rsidRPr="00543D2A">
        <w:t xml:space="preserve"> </w:t>
      </w:r>
      <w:r>
        <w:t>appr</w:t>
      </w:r>
      <w:r w:rsidRPr="00543D2A">
        <w:t>en</w:t>
      </w:r>
      <w:r>
        <w:t>tic</w:t>
      </w:r>
      <w:r w:rsidRPr="00543D2A">
        <w:t>eship relationship fr</w:t>
      </w:r>
      <w:r>
        <w:t>om</w:t>
      </w:r>
      <w:r>
        <w:rPr>
          <w:spacing w:val="37"/>
          <w:w w:val="99"/>
        </w:rPr>
        <w:t xml:space="preserve"> </w:t>
      </w:r>
      <w:r>
        <w:t>pre-c</w:t>
      </w:r>
      <w:r>
        <w:rPr>
          <w:spacing w:val="-4"/>
        </w:rPr>
        <w:t>ommencemen</w:t>
      </w:r>
      <w:r>
        <w:t>t</w:t>
      </w:r>
      <w:r>
        <w:rPr>
          <w:spacing w:val="-36"/>
        </w:rPr>
        <w:t xml:space="preserve"> </w:t>
      </w:r>
      <w:r>
        <w:rPr>
          <w:spacing w:val="-2"/>
        </w:rPr>
        <w:t>to</w:t>
      </w:r>
      <w:r>
        <w:rPr>
          <w:spacing w:val="-36"/>
        </w:rPr>
        <w:t xml:space="preserve"> </w:t>
      </w:r>
      <w:r>
        <w:t>comple</w:t>
      </w:r>
      <w:r>
        <w:rPr>
          <w:spacing w:val="-4"/>
        </w:rPr>
        <w:t>tion.</w:t>
      </w:r>
    </w:p>
    <w:p w:rsidR="00697861" w:rsidRDefault="00697861" w:rsidP="00F20B31">
      <w:pPr>
        <w:ind w:right="45"/>
        <w:rPr>
          <w:rFonts w:eastAsia="Century Gothic" w:hAnsi="Century Gothic" w:cs="Century Gothic"/>
          <w:sz w:val="9"/>
          <w:szCs w:val="9"/>
        </w:rPr>
      </w:pPr>
      <w:r>
        <w:rPr>
          <w:spacing w:val="-4"/>
          <w:w w:val="95"/>
        </w:rPr>
        <w:t>$</w:t>
      </w:r>
      <w:r>
        <w:rPr>
          <w:spacing w:val="-6"/>
          <w:w w:val="95"/>
        </w:rPr>
        <w:t>17.</w:t>
      </w:r>
      <w:r>
        <w:rPr>
          <w:spacing w:val="-4"/>
          <w:w w:val="95"/>
        </w:rPr>
        <w:t>00</w:t>
      </w:r>
      <w:r>
        <w:rPr>
          <w:spacing w:val="-29"/>
          <w:w w:val="95"/>
        </w:rPr>
        <w:t xml:space="preserve"> </w:t>
      </w:r>
      <w:r>
        <w:rPr>
          <w:w w:val="95"/>
        </w:rPr>
        <w:t>million</w:t>
      </w:r>
      <w:r>
        <w:rPr>
          <w:spacing w:val="-28"/>
          <w:w w:val="95"/>
        </w:rPr>
        <w:t xml:space="preserve"> </w:t>
      </w:r>
      <w:r>
        <w:rPr>
          <w:spacing w:val="-2"/>
          <w:w w:val="95"/>
        </w:rPr>
        <w:t>o</w:t>
      </w:r>
      <w:r>
        <w:rPr>
          <w:spacing w:val="-1"/>
          <w:w w:val="95"/>
        </w:rPr>
        <w:t>f</w:t>
      </w:r>
      <w:r>
        <w:rPr>
          <w:spacing w:val="-28"/>
          <w:w w:val="95"/>
        </w:rPr>
        <w:t xml:space="preserve"> </w:t>
      </w:r>
      <w:r>
        <w:rPr>
          <w:spacing w:val="-2"/>
          <w:w w:val="95"/>
        </w:rPr>
        <w:t>savings</w:t>
      </w:r>
      <w:r>
        <w:rPr>
          <w:spacing w:val="-1"/>
          <w:w w:val="95"/>
          <w:position w:val="5"/>
          <w:sz w:val="9"/>
        </w:rPr>
        <w:t>5</w:t>
      </w:r>
    </w:p>
    <w:p w:rsidR="00697861" w:rsidRPr="00FF2998" w:rsidRDefault="00697861" w:rsidP="00A50DA3">
      <w:pPr>
        <w:pStyle w:val="Heading3"/>
      </w:pPr>
      <w:bookmarkStart w:id="42" w:name="_Toc414449239"/>
      <w:bookmarkStart w:id="43" w:name="_Toc414449415"/>
      <w:r w:rsidRPr="00FF2998">
        <w:t>Supporting the Vocational Education and Training (VET) Sector</w:t>
      </w:r>
      <w:bookmarkEnd w:id="42"/>
      <w:bookmarkEnd w:id="43"/>
    </w:p>
    <w:p w:rsidR="00697861" w:rsidRDefault="00697861" w:rsidP="00F20B31">
      <w:pPr>
        <w:ind w:right="45"/>
        <w:rPr>
          <w:szCs w:val="16"/>
        </w:rPr>
      </w:pPr>
      <w:r>
        <w:rPr>
          <w:spacing w:val="-3"/>
        </w:rPr>
        <w:t>F</w:t>
      </w:r>
      <w:r>
        <w:t>r</w:t>
      </w:r>
      <w:r>
        <w:rPr>
          <w:spacing w:val="-3"/>
        </w:rPr>
        <w:t>om</w:t>
      </w:r>
      <w:r>
        <w:rPr>
          <w:spacing w:val="-37"/>
        </w:rPr>
        <w:t xml:space="preserve"> </w:t>
      </w:r>
      <w:r>
        <w:rPr>
          <w:w w:val="95"/>
        </w:rPr>
        <w:t>1</w:t>
      </w:r>
      <w:r>
        <w:rPr>
          <w:spacing w:val="-33"/>
          <w:w w:val="95"/>
        </w:rPr>
        <w:t xml:space="preserve"> </w:t>
      </w:r>
      <w:r>
        <w:rPr>
          <w:spacing w:val="-2"/>
        </w:rPr>
        <w:t>July</w:t>
      </w:r>
      <w:r>
        <w:rPr>
          <w:spacing w:val="-36"/>
        </w:rPr>
        <w:t xml:space="preserve"> </w:t>
      </w:r>
      <w:r>
        <w:rPr>
          <w:spacing w:val="-2"/>
        </w:rPr>
        <w:t>20</w:t>
      </w:r>
      <w:r>
        <w:rPr>
          <w:spacing w:val="-3"/>
        </w:rPr>
        <w:t>14,</w:t>
      </w:r>
      <w:r>
        <w:rPr>
          <w:spacing w:val="-36"/>
        </w:rPr>
        <w:t xml:space="preserve"> </w:t>
      </w:r>
      <w:r>
        <w:t>exis</w:t>
      </w:r>
      <w:r>
        <w:rPr>
          <w:spacing w:val="-3"/>
        </w:rPr>
        <w:t>ting</w:t>
      </w:r>
      <w:r>
        <w:rPr>
          <w:spacing w:val="-36"/>
        </w:rPr>
        <w:t xml:space="preserve"> </w:t>
      </w:r>
      <w:r>
        <w:rPr>
          <w:spacing w:val="-5"/>
        </w:rPr>
        <w:t>regis</w:t>
      </w:r>
      <w:r>
        <w:t>t</w:t>
      </w:r>
      <w:r>
        <w:rPr>
          <w:spacing w:val="-5"/>
        </w:rPr>
        <w:t>ered</w:t>
      </w:r>
      <w:r>
        <w:rPr>
          <w:spacing w:val="35"/>
          <w:w w:val="99"/>
        </w:rPr>
        <w:t xml:space="preserve"> </w:t>
      </w:r>
      <w:r>
        <w:t>training</w:t>
      </w:r>
      <w:r>
        <w:rPr>
          <w:spacing w:val="-29"/>
        </w:rPr>
        <w:t xml:space="preserve"> </w:t>
      </w:r>
      <w:r>
        <w:t>organisations</w:t>
      </w:r>
      <w:r>
        <w:rPr>
          <w:spacing w:val="-29"/>
        </w:rPr>
        <w:t xml:space="preserve"> </w:t>
      </w:r>
      <w:r>
        <w:rPr>
          <w:spacing w:val="-3"/>
        </w:rPr>
        <w:t>will</w:t>
      </w:r>
      <w:r>
        <w:rPr>
          <w:spacing w:val="-29"/>
        </w:rPr>
        <w:t xml:space="preserve"> </w:t>
      </w:r>
      <w:r>
        <w:rPr>
          <w:spacing w:val="-5"/>
        </w:rPr>
        <w:t>sa</w:t>
      </w:r>
      <w:r>
        <w:t>v</w:t>
      </w:r>
      <w:r>
        <w:rPr>
          <w:spacing w:val="-5"/>
        </w:rPr>
        <w:t>e</w:t>
      </w:r>
      <w:r w:rsidR="00896123">
        <w:rPr>
          <w:szCs w:val="16"/>
        </w:rPr>
        <w:t xml:space="preserve"> </w:t>
      </w:r>
      <w:r>
        <w:t>$29.95</w:t>
      </w:r>
      <w:r>
        <w:rPr>
          <w:spacing w:val="-25"/>
        </w:rPr>
        <w:t xml:space="preserve"> </w:t>
      </w:r>
      <w:r>
        <w:rPr>
          <w:spacing w:val="-3"/>
        </w:rPr>
        <w:t>million</w:t>
      </w:r>
      <w:r>
        <w:rPr>
          <w:spacing w:val="-25"/>
        </w:rPr>
        <w:t xml:space="preserve"> </w:t>
      </w:r>
      <w:r>
        <w:rPr>
          <w:spacing w:val="-2"/>
        </w:rPr>
        <w:t>in</w:t>
      </w:r>
      <w:r>
        <w:rPr>
          <w:spacing w:val="-25"/>
        </w:rPr>
        <w:t xml:space="preserve"> </w:t>
      </w:r>
      <w:r>
        <w:rPr>
          <w:spacing w:val="-3"/>
        </w:rPr>
        <w:t>c</w:t>
      </w:r>
      <w:r>
        <w:t>ompliance</w:t>
      </w:r>
      <w:r>
        <w:rPr>
          <w:spacing w:val="-25"/>
        </w:rPr>
        <w:t xml:space="preserve"> </w:t>
      </w:r>
      <w:r>
        <w:rPr>
          <w:spacing w:val="-3"/>
        </w:rPr>
        <w:t>c</w:t>
      </w:r>
      <w:r>
        <w:t>osts</w:t>
      </w:r>
      <w:r>
        <w:rPr>
          <w:spacing w:val="33"/>
          <w:w w:val="98"/>
        </w:rPr>
        <w:t xml:space="preserve"> </w:t>
      </w:r>
      <w:r>
        <w:rPr>
          <w:spacing w:val="-3"/>
        </w:rPr>
        <w:t>per</w:t>
      </w:r>
      <w:r>
        <w:rPr>
          <w:spacing w:val="-25"/>
        </w:rPr>
        <w:t xml:space="preserve"> </w:t>
      </w:r>
      <w:r>
        <w:rPr>
          <w:spacing w:val="-3"/>
        </w:rPr>
        <w:t>y</w:t>
      </w:r>
      <w:r>
        <w:t>ear</w:t>
      </w:r>
      <w:r>
        <w:rPr>
          <w:spacing w:val="-25"/>
        </w:rPr>
        <w:t xml:space="preserve"> </w:t>
      </w:r>
      <w:r>
        <w:rPr>
          <w:spacing w:val="-3"/>
        </w:rPr>
        <w:t>by</w:t>
      </w:r>
      <w:r>
        <w:rPr>
          <w:spacing w:val="-24"/>
        </w:rPr>
        <w:t xml:space="preserve"> </w:t>
      </w:r>
      <w:r>
        <w:t>remo</w:t>
      </w:r>
      <w:r>
        <w:rPr>
          <w:spacing w:val="-3"/>
        </w:rPr>
        <w:t>ving</w:t>
      </w:r>
      <w:r>
        <w:rPr>
          <w:spacing w:val="-25"/>
        </w:rPr>
        <w:t xml:space="preserve"> </w:t>
      </w:r>
      <w:r>
        <w:t>requirements</w:t>
      </w:r>
      <w:r>
        <w:rPr>
          <w:spacing w:val="19"/>
          <w:w w:val="98"/>
        </w:rPr>
        <w:t xml:space="preserve"> </w:t>
      </w:r>
      <w:r>
        <w:rPr>
          <w:spacing w:val="-2"/>
        </w:rPr>
        <w:t>to</w:t>
      </w:r>
      <w:r>
        <w:rPr>
          <w:spacing w:val="-22"/>
        </w:rPr>
        <w:t xml:space="preserve"> </w:t>
      </w:r>
      <w:r>
        <w:t>undertake</w:t>
      </w:r>
      <w:r>
        <w:rPr>
          <w:spacing w:val="-22"/>
        </w:rPr>
        <w:t xml:space="preserve"> </w:t>
      </w:r>
      <w:r>
        <w:t>a</w:t>
      </w:r>
      <w:r>
        <w:rPr>
          <w:spacing w:val="-22"/>
        </w:rPr>
        <w:t xml:space="preserve"> </w:t>
      </w:r>
      <w:r w:rsidR="00FF2998">
        <w:rPr>
          <w:spacing w:val="-2"/>
        </w:rPr>
        <w:t xml:space="preserve">financial </w:t>
      </w:r>
      <w:r>
        <w:rPr>
          <w:spacing w:val="-3"/>
        </w:rPr>
        <w:t>viabilit</w:t>
      </w:r>
      <w:r>
        <w:rPr>
          <w:spacing w:val="-2"/>
        </w:rPr>
        <w:t>y</w:t>
      </w:r>
      <w:r>
        <w:rPr>
          <w:spacing w:val="30"/>
          <w:w w:val="101"/>
        </w:rPr>
        <w:t xml:space="preserve"> </w:t>
      </w:r>
      <w:r>
        <w:rPr>
          <w:spacing w:val="-3"/>
        </w:rPr>
        <w:t>assessmen</w:t>
      </w:r>
      <w:r>
        <w:rPr>
          <w:spacing w:val="-2"/>
        </w:rPr>
        <w:t xml:space="preserve">t </w:t>
      </w:r>
      <w:r>
        <w:rPr>
          <w:spacing w:val="-34"/>
        </w:rPr>
        <w:t xml:space="preserve"> </w:t>
      </w:r>
      <w:r>
        <w:rPr>
          <w:spacing w:val="-3"/>
        </w:rPr>
        <w:t>when</w:t>
      </w:r>
      <w:r>
        <w:rPr>
          <w:spacing w:val="-33"/>
        </w:rPr>
        <w:t xml:space="preserve">  </w:t>
      </w:r>
      <w:r>
        <w:t>re-</w:t>
      </w:r>
      <w:r>
        <w:rPr>
          <w:spacing w:val="-34"/>
        </w:rPr>
        <w:t xml:space="preserve"> </w:t>
      </w:r>
      <w:r>
        <w:t>regis</w:t>
      </w:r>
      <w:r>
        <w:rPr>
          <w:spacing w:val="-3"/>
        </w:rPr>
        <w:t>t</w:t>
      </w:r>
      <w:r>
        <w:t>ering,</w:t>
      </w:r>
      <w:r>
        <w:rPr>
          <w:spacing w:val="-33"/>
        </w:rPr>
        <w:t xml:space="preserve"> </w:t>
      </w:r>
      <w:r>
        <w:rPr>
          <w:spacing w:val="-3"/>
        </w:rPr>
        <w:t>and</w:t>
      </w:r>
      <w:r>
        <w:rPr>
          <w:spacing w:val="28"/>
          <w:w w:val="97"/>
        </w:rPr>
        <w:t xml:space="preserve"> </w:t>
      </w:r>
      <w:r>
        <w:rPr>
          <w:spacing w:val="-3"/>
        </w:rPr>
        <w:t>by</w:t>
      </w:r>
      <w:r>
        <w:rPr>
          <w:spacing w:val="-23"/>
        </w:rPr>
        <w:t xml:space="preserve"> </w:t>
      </w:r>
      <w:r>
        <w:rPr>
          <w:spacing w:val="-1"/>
        </w:rPr>
        <w:t>no</w:t>
      </w:r>
      <w:r>
        <w:rPr>
          <w:spacing w:val="-22"/>
        </w:rPr>
        <w:t xml:space="preserve"> </w:t>
      </w:r>
      <w:r>
        <w:rPr>
          <w:spacing w:val="-3"/>
        </w:rPr>
        <w:t>longer</w:t>
      </w:r>
      <w:r>
        <w:rPr>
          <w:spacing w:val="-22"/>
        </w:rPr>
        <w:t xml:space="preserve"> </w:t>
      </w:r>
      <w:r>
        <w:t>requiring</w:t>
      </w:r>
      <w:r>
        <w:rPr>
          <w:spacing w:val="-22"/>
        </w:rPr>
        <w:t xml:space="preserve"> </w:t>
      </w:r>
      <w:r>
        <w:rPr>
          <w:spacing w:val="-5"/>
        </w:rPr>
        <w:t>regis</w:t>
      </w:r>
      <w:r>
        <w:t>t</w:t>
      </w:r>
      <w:r>
        <w:rPr>
          <w:spacing w:val="-5"/>
        </w:rPr>
        <w:t>ered</w:t>
      </w:r>
      <w:r>
        <w:rPr>
          <w:spacing w:val="35"/>
          <w:w w:val="99"/>
        </w:rPr>
        <w:t xml:space="preserve"> </w:t>
      </w:r>
      <w:r>
        <w:t>training</w:t>
      </w:r>
      <w:r>
        <w:rPr>
          <w:spacing w:val="-27"/>
        </w:rPr>
        <w:t xml:space="preserve"> </w:t>
      </w:r>
      <w:r>
        <w:t>organisations</w:t>
      </w:r>
      <w:r>
        <w:rPr>
          <w:spacing w:val="-27"/>
        </w:rPr>
        <w:t xml:space="preserve"> </w:t>
      </w:r>
      <w:r>
        <w:rPr>
          <w:spacing w:val="-2"/>
        </w:rPr>
        <w:t>to</w:t>
      </w:r>
      <w:r>
        <w:rPr>
          <w:spacing w:val="-27"/>
        </w:rPr>
        <w:t xml:space="preserve"> </w:t>
      </w:r>
      <w:r>
        <w:t>upda</w:t>
      </w:r>
      <w:r>
        <w:rPr>
          <w:spacing w:val="-3"/>
        </w:rPr>
        <w:t>t</w:t>
      </w:r>
      <w:r>
        <w:t>e</w:t>
      </w:r>
      <w:r>
        <w:rPr>
          <w:spacing w:val="43"/>
          <w:w w:val="96"/>
        </w:rPr>
        <w:t xml:space="preserve"> </w:t>
      </w:r>
      <w:r>
        <w:t>registration</w:t>
      </w:r>
      <w:r>
        <w:rPr>
          <w:spacing w:val="-30"/>
        </w:rPr>
        <w:t xml:space="preserve"> </w:t>
      </w:r>
      <w:r>
        <w:rPr>
          <w:spacing w:val="-3"/>
        </w:rPr>
        <w:t>when</w:t>
      </w:r>
      <w:r>
        <w:rPr>
          <w:spacing w:val="-29"/>
        </w:rPr>
        <w:t xml:space="preserve"> </w:t>
      </w:r>
      <w:r>
        <w:t>training</w:t>
      </w:r>
      <w:r>
        <w:rPr>
          <w:spacing w:val="-29"/>
        </w:rPr>
        <w:t xml:space="preserve"> </w:t>
      </w:r>
      <w:r>
        <w:rPr>
          <w:spacing w:val="-3"/>
        </w:rPr>
        <w:t>pack</w:t>
      </w:r>
      <w:r>
        <w:t>ages</w:t>
      </w:r>
      <w:r>
        <w:rPr>
          <w:spacing w:val="37"/>
          <w:w w:val="97"/>
        </w:rPr>
        <w:t xml:space="preserve"> </w:t>
      </w:r>
      <w:r>
        <w:rPr>
          <w:spacing w:val="-3"/>
        </w:rPr>
        <w:t>change</w:t>
      </w:r>
      <w:r>
        <w:rPr>
          <w:spacing w:val="-24"/>
        </w:rPr>
        <w:t xml:space="preserve"> </w:t>
      </w:r>
      <w:r>
        <w:rPr>
          <w:spacing w:val="-2"/>
        </w:rPr>
        <w:t>but</w:t>
      </w:r>
      <w:r>
        <w:rPr>
          <w:spacing w:val="-24"/>
        </w:rPr>
        <w:t xml:space="preserve"> </w:t>
      </w:r>
      <w:r>
        <w:rPr>
          <w:spacing w:val="-3"/>
        </w:rPr>
        <w:t>the</w:t>
      </w:r>
      <w:r>
        <w:rPr>
          <w:spacing w:val="-23"/>
        </w:rPr>
        <w:t xml:space="preserve"> </w:t>
      </w:r>
      <w:r>
        <w:t>training</w:t>
      </w:r>
      <w:r>
        <w:rPr>
          <w:spacing w:val="-24"/>
        </w:rPr>
        <w:t xml:space="preserve"> </w:t>
      </w:r>
      <w:r>
        <w:rPr>
          <w:spacing w:val="-3"/>
        </w:rPr>
        <w:t>outc</w:t>
      </w:r>
      <w:r>
        <w:t>ome</w:t>
      </w:r>
      <w:r>
        <w:rPr>
          <w:spacing w:val="29"/>
          <w:w w:val="98"/>
        </w:rPr>
        <w:t xml:space="preserve"> </w:t>
      </w:r>
      <w:r>
        <w:rPr>
          <w:spacing w:val="-3"/>
          <w:w w:val="95"/>
        </w:rPr>
        <w:t>remains</w:t>
      </w:r>
      <w:r>
        <w:rPr>
          <w:spacing w:val="-14"/>
          <w:w w:val="95"/>
        </w:rPr>
        <w:t xml:space="preserve"> </w:t>
      </w:r>
      <w:r>
        <w:rPr>
          <w:spacing w:val="-2"/>
          <w:w w:val="95"/>
        </w:rPr>
        <w:t>the</w:t>
      </w:r>
      <w:r>
        <w:rPr>
          <w:spacing w:val="-13"/>
          <w:w w:val="95"/>
        </w:rPr>
        <w:t xml:space="preserve"> </w:t>
      </w:r>
      <w:r>
        <w:rPr>
          <w:spacing w:val="-2"/>
          <w:w w:val="95"/>
        </w:rPr>
        <w:t>same</w:t>
      </w:r>
      <w:r>
        <w:rPr>
          <w:spacing w:val="-3"/>
          <w:w w:val="95"/>
        </w:rPr>
        <w:t>.</w:t>
      </w:r>
    </w:p>
    <w:p w:rsidR="000B6193" w:rsidRDefault="00697861" w:rsidP="00FF2998">
      <w:pPr>
        <w:ind w:right="45"/>
      </w:pPr>
      <w:r>
        <w:rPr>
          <w:spacing w:val="-1"/>
          <w:w w:val="95"/>
        </w:rPr>
        <w:t>$29</w:t>
      </w:r>
      <w:r>
        <w:rPr>
          <w:w w:val="95"/>
        </w:rPr>
        <w:t>.</w:t>
      </w:r>
      <w:r>
        <w:rPr>
          <w:spacing w:val="-1"/>
          <w:w w:val="95"/>
        </w:rPr>
        <w:t>95</w:t>
      </w:r>
      <w:r>
        <w:rPr>
          <w:spacing w:val="-24"/>
          <w:w w:val="95"/>
        </w:rPr>
        <w:t xml:space="preserve"> </w:t>
      </w:r>
      <w:r>
        <w:rPr>
          <w:w w:val="95"/>
        </w:rPr>
        <w:t>million</w:t>
      </w:r>
      <w:r>
        <w:rPr>
          <w:spacing w:val="-23"/>
          <w:w w:val="95"/>
        </w:rPr>
        <w:t xml:space="preserve"> </w:t>
      </w:r>
      <w:r>
        <w:rPr>
          <w:w w:val="95"/>
        </w:rPr>
        <w:t>o</w:t>
      </w:r>
      <w:r>
        <w:rPr>
          <w:spacing w:val="-1"/>
          <w:w w:val="95"/>
        </w:rPr>
        <w:t>f</w:t>
      </w:r>
      <w:r>
        <w:rPr>
          <w:spacing w:val="-23"/>
          <w:w w:val="95"/>
        </w:rPr>
        <w:t xml:space="preserve"> </w:t>
      </w:r>
      <w:r>
        <w:rPr>
          <w:w w:val="95"/>
        </w:rPr>
        <w:t>savings</w:t>
      </w:r>
      <w:r>
        <w:rPr>
          <w:spacing w:val="-1"/>
          <w:w w:val="95"/>
          <w:position w:val="5"/>
          <w:sz w:val="9"/>
        </w:rPr>
        <w:t>5</w:t>
      </w:r>
      <w:r w:rsidR="000B6193">
        <w:br w:type="page"/>
      </w:r>
    </w:p>
    <w:p w:rsidR="00E46BBC" w:rsidRPr="00A50DA3" w:rsidRDefault="00822AD3" w:rsidP="00A50DA3">
      <w:pPr>
        <w:pStyle w:val="Heading1"/>
      </w:pPr>
      <w:bookmarkStart w:id="44" w:name="_Toc414449043"/>
      <w:bookmarkStart w:id="45" w:name="_Toc414449100"/>
      <w:bookmarkStart w:id="46" w:name="_Toc414449240"/>
      <w:bookmarkStart w:id="47" w:name="_Toc414449416"/>
      <w:r w:rsidRPr="00A50DA3">
        <w:lastRenderedPageBreak/>
        <w:t xml:space="preserve">Case Study </w:t>
      </w:r>
      <w:r w:rsidRPr="00A50DA3">
        <w:t>–</w:t>
      </w:r>
      <w:r w:rsidRPr="00A50DA3">
        <w:t xml:space="preserve"> Streamlining environmental approvals for offshore petroleum activities</w:t>
      </w:r>
      <w:bookmarkEnd w:id="44"/>
      <w:bookmarkEnd w:id="45"/>
      <w:bookmarkEnd w:id="46"/>
      <w:bookmarkEnd w:id="47"/>
    </w:p>
    <w:p w:rsidR="00E46BBC" w:rsidRPr="00F20B31" w:rsidRDefault="00822AD3" w:rsidP="00F20B31">
      <w:r w:rsidRPr="00F20B31">
        <w:t>On 28 February 2014, the Hon Ian Macfarlane MP, the Minister for Industry and the Hon Greg Hunt MP, Minister for the Environment announced a new streamlined approach for environmental approvals for off</w:t>
      </w:r>
      <w:r w:rsidR="00FC3FAD" w:rsidRPr="00F20B31">
        <w:t>shore</w:t>
      </w:r>
      <w:r w:rsidRPr="00F20B31">
        <w:t xml:space="preserve"> petroleum activities. The National Off</w:t>
      </w:r>
      <w:r w:rsidR="00FC3FAD" w:rsidRPr="00F20B31">
        <w:t>shore</w:t>
      </w:r>
      <w:r w:rsidRPr="00F20B31">
        <w:t xml:space="preserve"> Petroleum Safety and Environmental Management Authority (NOPSEMA) is now the sole designated assessor for these activities in Commonwealth waters.</w:t>
      </w:r>
    </w:p>
    <w:p w:rsidR="00E46BBC" w:rsidRPr="00F20B31" w:rsidRDefault="00822AD3" w:rsidP="00F20B31">
      <w:r w:rsidRPr="00F20B31">
        <w:t xml:space="preserve">Previously, petroleum and greenhouse gas activities in Commonwealth waters were subject to regulation under both the Offshore Petroleum and Greenhouse Gas Storage Act 2006 </w:t>
      </w:r>
      <w:r w:rsidR="00FC3FAD" w:rsidRPr="00F20B31">
        <w:t>and the</w:t>
      </w:r>
      <w:r w:rsidRPr="00F20B31">
        <w:t xml:space="preserve"> Environment Protection and Biodiversity Conservation Act 1999. This resulted in unnecessary duplication of </w:t>
      </w:r>
      <w:r w:rsidR="00FC3FAD" w:rsidRPr="00F20B31">
        <w:t>environmental approval processes</w:t>
      </w:r>
      <w:r w:rsidR="00BD2239" w:rsidRPr="00F20B31">
        <w:t xml:space="preserve"> </w:t>
      </w:r>
      <w:r w:rsidRPr="00F20B31">
        <w:t>and signifi</w:t>
      </w:r>
      <w:r w:rsidR="00BD2239" w:rsidRPr="00F20B31">
        <w:t>can</w:t>
      </w:r>
      <w:r w:rsidRPr="00F20B31">
        <w:t xml:space="preserve">t delay costs to industry, without any </w:t>
      </w:r>
      <w:r w:rsidR="00BD2239" w:rsidRPr="00F20B31">
        <w:t>significan</w:t>
      </w:r>
      <w:r w:rsidRPr="00F20B31">
        <w:t>t environmental benefi</w:t>
      </w:r>
      <w:r w:rsidR="00BD2239" w:rsidRPr="00F20B31">
        <w:t>ts.</w:t>
      </w:r>
    </w:p>
    <w:p w:rsidR="00E46BBC" w:rsidRPr="00F20B31" w:rsidRDefault="00822AD3" w:rsidP="00F20B31">
      <w:r w:rsidRPr="00F20B31">
        <w:t xml:space="preserve">During 2013-14, the Department of Industry, together with the Department of the Environment and NOPSEMA, conducted a strategic assessment of the </w:t>
      </w:r>
      <w:r w:rsidR="00FC3FAD" w:rsidRPr="00F20B31">
        <w:t>offshore</w:t>
      </w:r>
      <w:r w:rsidRPr="00F20B31">
        <w:t xml:space="preserve"> petroleum and greenhouse gas storage environmental management authorisation process.</w:t>
      </w:r>
    </w:p>
    <w:p w:rsidR="00E46BBC" w:rsidRPr="00F20B31" w:rsidRDefault="00822AD3" w:rsidP="00F20B31">
      <w:r w:rsidRPr="00F20B31">
        <w:t>Australia’s energy and resource sector plays an important role in the prosperity of Australia’s economy through its employment, scale of technology, and tax contribution.</w:t>
      </w:r>
      <w:r w:rsidR="00FF2998">
        <w:rPr>
          <w:rStyle w:val="FootnoteReference"/>
        </w:rPr>
        <w:footnoteReference w:id="6"/>
      </w:r>
      <w:r w:rsidRPr="00F20B31">
        <w:t xml:space="preserve"> In November 2014, the mining sector employed approximately 228 900 people (two per cent of the national workforce) including in minerals and petroleum exploration, extraction and associated services. Additionally, there are contributions from downstream mining related activities in industries such as manufacturing, building and construction, transport and storage, property and business services, as well as electricity and gas.</w:t>
      </w:r>
    </w:p>
    <w:p w:rsidR="00E46BBC" w:rsidRPr="00F20B31" w:rsidRDefault="00822AD3" w:rsidP="00F20B31">
      <w:r w:rsidRPr="00F20B31">
        <w:t>Australia’s exports of resource and energy commodities were estimated to be $195 billion in 2013–14 and are projected to increase to $274 billion in 2018-19. The industry remains one of the highest value-adding industries in the Australian economy.</w:t>
      </w:r>
      <w:r w:rsidR="00FF2998">
        <w:rPr>
          <w:rStyle w:val="FootnoteReference"/>
        </w:rPr>
        <w:footnoteReference w:id="7"/>
      </w:r>
    </w:p>
    <w:p w:rsidR="00E46BBC" w:rsidRPr="00F20B31" w:rsidRDefault="00822AD3" w:rsidP="00F20B31">
      <w:r w:rsidRPr="00F20B31">
        <w:t>Australia is now seeing a transition from the investment phase of the resources boom to the production phase as newly developed projects commence commercial production.</w:t>
      </w:r>
    </w:p>
    <w:p w:rsidR="00E46BBC" w:rsidRPr="00F20B31" w:rsidRDefault="00822AD3" w:rsidP="00F20B31">
      <w:r w:rsidRPr="00F20B31">
        <w:t>The new streamlined approach will encourage investment in the Australian off</w:t>
      </w:r>
      <w:r w:rsidR="00FC3FAD" w:rsidRPr="00F20B31">
        <w:t>shore</w:t>
      </w:r>
      <w:r w:rsidRPr="00F20B31">
        <w:t xml:space="preserve"> petroleum industry and improve regulations through reducing duplication and regulatory burden on industry. It is estimated to result in cost savings to industry and the community of $120 million per year.</w:t>
      </w:r>
    </w:p>
    <w:p w:rsidR="00E46BBC" w:rsidRPr="00F20B31" w:rsidRDefault="00822AD3" w:rsidP="00F20B31">
      <w:r w:rsidRPr="00F20B31">
        <w:t>The Department of Industry and Science is now seeking to build on the benefi</w:t>
      </w:r>
      <w:r w:rsidR="00BD2239" w:rsidRPr="00F20B31">
        <w:t xml:space="preserve">ts </w:t>
      </w:r>
      <w:r w:rsidRPr="00F20B31">
        <w:t>from the streamlining process</w:t>
      </w:r>
      <w:r w:rsidR="00FC3FAD" w:rsidRPr="00F20B31">
        <w:t xml:space="preserve"> </w:t>
      </w:r>
      <w:r w:rsidRPr="00F20B31">
        <w:t>and remove duplication for projects which cross both Commonwealth and a state or territory jurisdiction. At the COAG Energy Council meeting on 1 May 2014, ministers from the Northern Territory and South Australia agreed to</w:t>
      </w:r>
      <w:r w:rsidR="00FC3FAD" w:rsidRPr="00F20B31">
        <w:t xml:space="preserve"> </w:t>
      </w:r>
      <w:r w:rsidRPr="00F20B31">
        <w:t>commence discussions with the Commonwealth regarding potential conferral of powers and functions to NOPSEMA in designated coastal waters.</w:t>
      </w:r>
    </w:p>
    <w:p w:rsidR="00E46BBC" w:rsidRPr="00F20B31" w:rsidRDefault="00822AD3" w:rsidP="00F20B31">
      <w:r w:rsidRPr="00F20B31">
        <w:t xml:space="preserve">Conferral would establish NOPSEMA as the single regulator for occupational health and safety, integrity (including well integrity) and environmental management for all </w:t>
      </w:r>
      <w:r w:rsidR="00FC3FAD" w:rsidRPr="00F20B31">
        <w:t>offshore</w:t>
      </w:r>
      <w:r w:rsidRPr="00F20B31">
        <w:t xml:space="preserve"> oil and gas activities in Commonwealth and coastal waters. This would remove the need for multiple environment approvals for individual activities and increase certainty and consistency in the decision-making process.</w:t>
      </w:r>
    </w:p>
    <w:p w:rsidR="00FF2998" w:rsidRPr="00FF2998" w:rsidRDefault="00822AD3" w:rsidP="00FF2998">
      <w:r w:rsidRPr="00F20B31">
        <w:t>For more information about streamlining environmental approv</w:t>
      </w:r>
      <w:r w:rsidR="00BD2239" w:rsidRPr="00F20B31">
        <w:t xml:space="preserve">als </w:t>
      </w:r>
      <w:r w:rsidRPr="00F20B31">
        <w:t>for off</w:t>
      </w:r>
      <w:r w:rsidR="00BD2239" w:rsidRPr="00F20B31">
        <w:t>shor</w:t>
      </w:r>
      <w:r w:rsidRPr="00F20B31">
        <w:t>e petroleum</w:t>
      </w:r>
      <w:r w:rsidR="00BD2239" w:rsidRPr="00F20B31">
        <w:t xml:space="preserve"> </w:t>
      </w:r>
      <w:r w:rsidRPr="00F20B31">
        <w:t xml:space="preserve">activities go to </w:t>
      </w:r>
      <w:hyperlink r:id="rId18">
        <w:r w:rsidRPr="00F20B31">
          <w:rPr>
            <w:rStyle w:val="Hyperlink"/>
          </w:rPr>
          <w:t>www.industry.gov.au/streamlining</w:t>
        </w:r>
      </w:hyperlink>
      <w:r w:rsidR="00FF2998">
        <w:t>.</w:t>
      </w:r>
    </w:p>
    <w:p w:rsidR="000908D2" w:rsidRDefault="000908D2" w:rsidP="00FF2998">
      <w:r>
        <w:br w:type="page"/>
      </w:r>
    </w:p>
    <w:p w:rsidR="00E46BBC" w:rsidRPr="00915F01" w:rsidRDefault="00822AD3" w:rsidP="00A50DA3">
      <w:pPr>
        <w:pStyle w:val="Heading1"/>
      </w:pPr>
      <w:bookmarkStart w:id="48" w:name="_TOC_250011"/>
      <w:bookmarkStart w:id="49" w:name="_Toc414449044"/>
      <w:bookmarkStart w:id="50" w:name="_Toc414449101"/>
      <w:bookmarkStart w:id="51" w:name="_Toc414449241"/>
      <w:bookmarkStart w:id="52" w:name="_Toc414449417"/>
      <w:r w:rsidRPr="00915F01">
        <w:rPr>
          <w:w w:val="105"/>
        </w:rPr>
        <w:lastRenderedPageBreak/>
        <w:t>Und</w:t>
      </w:r>
      <w:r w:rsidRPr="00915F01">
        <w:rPr>
          <w:spacing w:val="-1"/>
          <w:w w:val="105"/>
        </w:rPr>
        <w:t>erstanding</w:t>
      </w:r>
      <w:r w:rsidRPr="00915F01">
        <w:rPr>
          <w:spacing w:val="-14"/>
          <w:w w:val="105"/>
        </w:rPr>
        <w:t xml:space="preserve"> </w:t>
      </w:r>
      <w:r w:rsidRPr="00915F01">
        <w:rPr>
          <w:w w:val="105"/>
        </w:rPr>
        <w:t>the</w:t>
      </w:r>
      <w:r w:rsidRPr="00915F01">
        <w:rPr>
          <w:spacing w:val="-13"/>
          <w:w w:val="105"/>
        </w:rPr>
        <w:t xml:space="preserve"> </w:t>
      </w:r>
      <w:r w:rsidRPr="00915F01">
        <w:rPr>
          <w:spacing w:val="-3"/>
          <w:w w:val="105"/>
        </w:rPr>
        <w:t>r</w:t>
      </w:r>
      <w:r w:rsidRPr="00915F01">
        <w:rPr>
          <w:w w:val="105"/>
        </w:rPr>
        <w:t>egulatory</w:t>
      </w:r>
      <w:r w:rsidRPr="00915F01">
        <w:rPr>
          <w:spacing w:val="-14"/>
          <w:w w:val="105"/>
        </w:rPr>
        <w:t xml:space="preserve"> </w:t>
      </w:r>
      <w:r w:rsidRPr="00915F01">
        <w:rPr>
          <w:w w:val="105"/>
        </w:rPr>
        <w:t>foo</w:t>
      </w:r>
      <w:r w:rsidRPr="00915F01">
        <w:rPr>
          <w:spacing w:val="-3"/>
          <w:w w:val="105"/>
        </w:rPr>
        <w:t>tprint</w:t>
      </w:r>
      <w:bookmarkEnd w:id="48"/>
      <w:bookmarkEnd w:id="49"/>
      <w:bookmarkEnd w:id="50"/>
      <w:bookmarkEnd w:id="51"/>
      <w:bookmarkEnd w:id="52"/>
    </w:p>
    <w:p w:rsidR="00E46BBC" w:rsidRPr="00F20B31" w:rsidRDefault="00822AD3" w:rsidP="00F20B31">
      <w:r w:rsidRPr="00F20B31">
        <w:t>The portfolio has a long history in pursuing best practice regulation. From developing the first version of the ‘business cost calculator’ that assesses regulatory burden to continually looking for opportunities to encourage other areas across Government to keep regulation to a minimum.</w:t>
      </w:r>
    </w:p>
    <w:p w:rsidR="00E46BBC" w:rsidRPr="00F20B31" w:rsidRDefault="00822AD3" w:rsidP="00F20B31">
      <w:r w:rsidRPr="00F20B31">
        <w:t>The portfolio has established a regulation reform team to help deliver the portfolio’s contribution to the Government’s regulation reform agenda. The regulation reform team is responsible for:</w:t>
      </w:r>
    </w:p>
    <w:p w:rsidR="00E46BBC" w:rsidRPr="002159E3" w:rsidRDefault="00822AD3" w:rsidP="00A50DA3">
      <w:pPr>
        <w:pStyle w:val="ListParagraph"/>
        <w:numPr>
          <w:ilvl w:val="0"/>
          <w:numId w:val="2"/>
        </w:numPr>
        <w:ind w:right="45"/>
      </w:pPr>
      <w:r w:rsidRPr="002159E3">
        <w:t>delivering capacity building initiatives for the portfolio to implement best practice approaches to regulation</w:t>
      </w:r>
    </w:p>
    <w:p w:rsidR="00E46BBC" w:rsidRPr="002159E3" w:rsidRDefault="00822AD3" w:rsidP="00A50DA3">
      <w:pPr>
        <w:pStyle w:val="ListParagraph"/>
        <w:numPr>
          <w:ilvl w:val="0"/>
          <w:numId w:val="2"/>
        </w:numPr>
        <w:ind w:right="45"/>
      </w:pPr>
      <w:r w:rsidRPr="002159E3">
        <w:t>liaising</w:t>
      </w:r>
      <w:r w:rsidRPr="000B6193">
        <w:rPr>
          <w:spacing w:val="-27"/>
        </w:rPr>
        <w:t xml:space="preserve"> </w:t>
      </w:r>
      <w:r w:rsidRPr="002159E3">
        <w:t>within</w:t>
      </w:r>
      <w:r w:rsidRPr="000B6193">
        <w:rPr>
          <w:spacing w:val="-27"/>
        </w:rPr>
        <w:t xml:space="preserve"> </w:t>
      </w:r>
      <w:r w:rsidRPr="002159E3">
        <w:t>the</w:t>
      </w:r>
      <w:r w:rsidRPr="000B6193">
        <w:rPr>
          <w:spacing w:val="-26"/>
        </w:rPr>
        <w:t xml:space="preserve"> </w:t>
      </w:r>
      <w:r w:rsidRPr="000B6193">
        <w:rPr>
          <w:spacing w:val="-1"/>
        </w:rPr>
        <w:t>portfolio</w:t>
      </w:r>
      <w:r w:rsidRPr="000B6193">
        <w:rPr>
          <w:spacing w:val="-27"/>
        </w:rPr>
        <w:t xml:space="preserve"> </w:t>
      </w:r>
      <w:r w:rsidRPr="002159E3">
        <w:t>and</w:t>
      </w:r>
      <w:r w:rsidRPr="000B6193">
        <w:rPr>
          <w:spacing w:val="-26"/>
        </w:rPr>
        <w:t xml:space="preserve"> </w:t>
      </w:r>
      <w:r w:rsidRPr="000B6193">
        <w:rPr>
          <w:spacing w:val="-3"/>
        </w:rPr>
        <w:t>across</w:t>
      </w:r>
      <w:r w:rsidRPr="000B6193">
        <w:rPr>
          <w:spacing w:val="-27"/>
        </w:rPr>
        <w:t xml:space="preserve"> </w:t>
      </w:r>
      <w:r w:rsidRPr="000B6193">
        <w:rPr>
          <w:spacing w:val="-1"/>
        </w:rPr>
        <w:t>gov</w:t>
      </w:r>
      <w:r w:rsidRPr="000B6193">
        <w:rPr>
          <w:spacing w:val="-2"/>
        </w:rPr>
        <w:t>ernmen</w:t>
      </w:r>
      <w:r w:rsidRPr="000B6193">
        <w:rPr>
          <w:spacing w:val="-1"/>
        </w:rPr>
        <w:t>ts</w:t>
      </w:r>
      <w:r w:rsidRPr="000B6193">
        <w:rPr>
          <w:spacing w:val="-26"/>
        </w:rPr>
        <w:t xml:space="preserve"> </w:t>
      </w:r>
      <w:r w:rsidRPr="000B6193">
        <w:rPr>
          <w:spacing w:val="-2"/>
        </w:rPr>
        <w:t>to</w:t>
      </w:r>
      <w:r w:rsidRPr="000B6193">
        <w:rPr>
          <w:spacing w:val="-27"/>
        </w:rPr>
        <w:t xml:space="preserve"> </w:t>
      </w:r>
      <w:r w:rsidRPr="000B6193">
        <w:rPr>
          <w:spacing w:val="-1"/>
        </w:rPr>
        <w:t>pur</w:t>
      </w:r>
      <w:r w:rsidRPr="000B6193">
        <w:rPr>
          <w:spacing w:val="-2"/>
        </w:rPr>
        <w:t>sue</w:t>
      </w:r>
      <w:r w:rsidRPr="000B6193">
        <w:rPr>
          <w:spacing w:val="-26"/>
        </w:rPr>
        <w:t xml:space="preserve"> </w:t>
      </w:r>
      <w:r w:rsidRPr="002159E3">
        <w:t>opportunities</w:t>
      </w:r>
      <w:r w:rsidRPr="000B6193">
        <w:rPr>
          <w:spacing w:val="-27"/>
        </w:rPr>
        <w:t xml:space="preserve"> </w:t>
      </w:r>
      <w:r w:rsidRPr="000B6193">
        <w:rPr>
          <w:spacing w:val="-1"/>
        </w:rPr>
        <w:t>for</w:t>
      </w:r>
      <w:r w:rsidRPr="000B6193">
        <w:rPr>
          <w:spacing w:val="-26"/>
        </w:rPr>
        <w:t xml:space="preserve"> </w:t>
      </w:r>
      <w:r w:rsidRPr="000B6193">
        <w:rPr>
          <w:spacing w:val="-2"/>
        </w:rPr>
        <w:t>regula</w:t>
      </w:r>
      <w:r w:rsidRPr="000B6193">
        <w:rPr>
          <w:spacing w:val="-1"/>
        </w:rPr>
        <w:t>tion</w:t>
      </w:r>
      <w:r w:rsidRPr="000B6193">
        <w:rPr>
          <w:spacing w:val="47"/>
          <w:w w:val="98"/>
        </w:rPr>
        <w:t xml:space="preserve"> </w:t>
      </w:r>
      <w:r w:rsidRPr="000B6193">
        <w:rPr>
          <w:spacing w:val="-3"/>
        </w:rPr>
        <w:t>reform</w:t>
      </w:r>
    </w:p>
    <w:p w:rsidR="00E46BBC" w:rsidRPr="002159E3" w:rsidRDefault="00822AD3" w:rsidP="00A50DA3">
      <w:pPr>
        <w:pStyle w:val="ListParagraph"/>
        <w:numPr>
          <w:ilvl w:val="0"/>
          <w:numId w:val="2"/>
        </w:numPr>
        <w:ind w:right="45"/>
      </w:pPr>
      <w:r w:rsidRPr="002159E3">
        <w:t>developing</w:t>
      </w:r>
      <w:r w:rsidRPr="000B6193">
        <w:rPr>
          <w:spacing w:val="-30"/>
        </w:rPr>
        <w:t xml:space="preserve"> </w:t>
      </w:r>
      <w:r w:rsidRPr="000B6193">
        <w:rPr>
          <w:spacing w:val="-2"/>
        </w:rPr>
        <w:t>regula</w:t>
      </w:r>
      <w:r w:rsidRPr="002159E3">
        <w:t>tion</w:t>
      </w:r>
      <w:r w:rsidRPr="000B6193">
        <w:rPr>
          <w:spacing w:val="-29"/>
        </w:rPr>
        <w:t xml:space="preserve"> </w:t>
      </w:r>
      <w:r w:rsidRPr="000B6193">
        <w:rPr>
          <w:spacing w:val="-3"/>
        </w:rPr>
        <w:t>reform</w:t>
      </w:r>
      <w:r w:rsidRPr="000B6193">
        <w:rPr>
          <w:spacing w:val="-30"/>
        </w:rPr>
        <w:t xml:space="preserve"> </w:t>
      </w:r>
      <w:r w:rsidRPr="000B6193">
        <w:rPr>
          <w:spacing w:val="-3"/>
        </w:rPr>
        <w:t>policy</w:t>
      </w:r>
      <w:r w:rsidRPr="000B6193">
        <w:rPr>
          <w:spacing w:val="-5"/>
        </w:rPr>
        <w:t>,</w:t>
      </w:r>
      <w:r w:rsidRPr="000B6193">
        <w:rPr>
          <w:spacing w:val="-29"/>
        </w:rPr>
        <w:t xml:space="preserve"> </w:t>
      </w:r>
      <w:r w:rsidRPr="002159E3">
        <w:t>including</w:t>
      </w:r>
      <w:r w:rsidRPr="000B6193">
        <w:rPr>
          <w:spacing w:val="-30"/>
        </w:rPr>
        <w:t xml:space="preserve"> </w:t>
      </w:r>
      <w:r w:rsidRPr="000B6193">
        <w:rPr>
          <w:spacing w:val="-2"/>
        </w:rPr>
        <w:t>gov</w:t>
      </w:r>
      <w:r w:rsidRPr="000B6193">
        <w:rPr>
          <w:spacing w:val="-3"/>
        </w:rPr>
        <w:t>ernance</w:t>
      </w:r>
      <w:r w:rsidRPr="000B6193">
        <w:rPr>
          <w:spacing w:val="-29"/>
        </w:rPr>
        <w:t xml:space="preserve"> </w:t>
      </w:r>
      <w:r w:rsidRPr="002159E3">
        <w:t>and</w:t>
      </w:r>
      <w:r w:rsidRPr="000B6193">
        <w:rPr>
          <w:spacing w:val="-30"/>
        </w:rPr>
        <w:t xml:space="preserve"> </w:t>
      </w:r>
      <w:r w:rsidRPr="002159E3">
        <w:t>for</w:t>
      </w:r>
      <w:r w:rsidRPr="000B6193">
        <w:rPr>
          <w:spacing w:val="-2"/>
        </w:rPr>
        <w:t>ecas</w:t>
      </w:r>
      <w:r w:rsidRPr="002159E3">
        <w:t>ting</w:t>
      </w:r>
      <w:r w:rsidRPr="000B6193">
        <w:rPr>
          <w:spacing w:val="-29"/>
        </w:rPr>
        <w:t xml:space="preserve"> </w:t>
      </w:r>
      <w:r w:rsidRPr="002159E3">
        <w:t>activities</w:t>
      </w:r>
    </w:p>
    <w:p w:rsidR="00E46BBC" w:rsidRPr="002159E3" w:rsidRDefault="00822AD3" w:rsidP="00A50DA3">
      <w:pPr>
        <w:pStyle w:val="ListParagraph"/>
        <w:numPr>
          <w:ilvl w:val="0"/>
          <w:numId w:val="2"/>
        </w:numPr>
        <w:ind w:right="45"/>
      </w:pPr>
      <w:r w:rsidRPr="002159E3">
        <w:t>advising</w:t>
      </w:r>
      <w:r w:rsidRPr="000B6193">
        <w:rPr>
          <w:spacing w:val="-28"/>
        </w:rPr>
        <w:t xml:space="preserve"> </w:t>
      </w:r>
      <w:r w:rsidRPr="002159E3">
        <w:t>on</w:t>
      </w:r>
      <w:r w:rsidRPr="000B6193">
        <w:rPr>
          <w:spacing w:val="-27"/>
        </w:rPr>
        <w:t xml:space="preserve"> </w:t>
      </w:r>
      <w:r w:rsidRPr="002159E3">
        <w:t>the</w:t>
      </w:r>
      <w:r w:rsidRPr="000B6193">
        <w:rPr>
          <w:spacing w:val="-27"/>
        </w:rPr>
        <w:t xml:space="preserve"> </w:t>
      </w:r>
      <w:r w:rsidRPr="000B6193">
        <w:rPr>
          <w:spacing w:val="-3"/>
        </w:rPr>
        <w:t>stra</w:t>
      </w:r>
      <w:r w:rsidRPr="000B6193">
        <w:rPr>
          <w:spacing w:val="-2"/>
        </w:rPr>
        <w:t>tegic</w:t>
      </w:r>
      <w:r w:rsidRPr="000B6193">
        <w:rPr>
          <w:spacing w:val="-28"/>
        </w:rPr>
        <w:t xml:space="preserve"> </w:t>
      </w:r>
      <w:r w:rsidRPr="002159E3">
        <w:t>direction</w:t>
      </w:r>
      <w:r w:rsidRPr="000B6193">
        <w:rPr>
          <w:spacing w:val="-27"/>
        </w:rPr>
        <w:t xml:space="preserve"> </w:t>
      </w:r>
      <w:r w:rsidRPr="002159E3">
        <w:t>and</w:t>
      </w:r>
      <w:r w:rsidRPr="000B6193">
        <w:rPr>
          <w:spacing w:val="-27"/>
        </w:rPr>
        <w:t xml:space="preserve"> </w:t>
      </w:r>
      <w:r w:rsidRPr="002159E3">
        <w:t>priorities</w:t>
      </w:r>
      <w:r w:rsidRPr="000B6193">
        <w:rPr>
          <w:spacing w:val="-28"/>
        </w:rPr>
        <w:t xml:space="preserve"> </w:t>
      </w:r>
      <w:r w:rsidRPr="002159E3">
        <w:t>for</w:t>
      </w:r>
      <w:r w:rsidRPr="000B6193">
        <w:rPr>
          <w:spacing w:val="-27"/>
        </w:rPr>
        <w:t xml:space="preserve"> </w:t>
      </w:r>
      <w:r w:rsidRPr="002159E3">
        <w:t>der</w:t>
      </w:r>
      <w:r w:rsidRPr="000B6193">
        <w:rPr>
          <w:spacing w:val="-2"/>
        </w:rPr>
        <w:t>egula</w:t>
      </w:r>
      <w:r w:rsidRPr="002159E3">
        <w:t>tion</w:t>
      </w:r>
      <w:r w:rsidRPr="000B6193">
        <w:rPr>
          <w:spacing w:val="-27"/>
        </w:rPr>
        <w:t xml:space="preserve"> </w:t>
      </w:r>
      <w:r w:rsidRPr="002159E3">
        <w:t>and</w:t>
      </w:r>
      <w:r w:rsidRPr="000B6193">
        <w:rPr>
          <w:spacing w:val="-28"/>
        </w:rPr>
        <w:t xml:space="preserve"> </w:t>
      </w:r>
      <w:r w:rsidRPr="000B6193">
        <w:rPr>
          <w:spacing w:val="-2"/>
        </w:rPr>
        <w:t>regula</w:t>
      </w:r>
      <w:r w:rsidRPr="002159E3">
        <w:t>tion</w:t>
      </w:r>
      <w:r w:rsidRPr="000B6193">
        <w:rPr>
          <w:spacing w:val="43"/>
          <w:w w:val="98"/>
        </w:rPr>
        <w:t xml:space="preserve"> </w:t>
      </w:r>
      <w:r w:rsidRPr="000B6193">
        <w:rPr>
          <w:spacing w:val="-3"/>
        </w:rPr>
        <w:t>reform</w:t>
      </w:r>
      <w:r w:rsidRPr="000B6193">
        <w:rPr>
          <w:spacing w:val="-38"/>
        </w:rPr>
        <w:t xml:space="preserve"> </w:t>
      </w:r>
      <w:r w:rsidRPr="002159E3">
        <w:t>activities</w:t>
      </w:r>
    </w:p>
    <w:p w:rsidR="00E46BBC" w:rsidRPr="002159E3" w:rsidRDefault="00822AD3" w:rsidP="00A50DA3">
      <w:pPr>
        <w:pStyle w:val="ListParagraph"/>
        <w:numPr>
          <w:ilvl w:val="0"/>
          <w:numId w:val="2"/>
        </w:numPr>
        <w:ind w:right="45"/>
      </w:pPr>
      <w:r w:rsidRPr="002159E3">
        <w:t>managing</w:t>
      </w:r>
      <w:r w:rsidRPr="000B6193">
        <w:rPr>
          <w:spacing w:val="-27"/>
        </w:rPr>
        <w:t xml:space="preserve"> </w:t>
      </w:r>
      <w:r w:rsidRPr="002159E3">
        <w:t>da</w:t>
      </w:r>
      <w:r w:rsidRPr="000B6193">
        <w:rPr>
          <w:spacing w:val="-2"/>
        </w:rPr>
        <w:t>ta</w:t>
      </w:r>
      <w:r w:rsidRPr="000B6193">
        <w:rPr>
          <w:spacing w:val="-26"/>
        </w:rPr>
        <w:t xml:space="preserve"> </w:t>
      </w:r>
      <w:r w:rsidRPr="002159E3">
        <w:t>and</w:t>
      </w:r>
      <w:r w:rsidRPr="000B6193">
        <w:rPr>
          <w:spacing w:val="-26"/>
        </w:rPr>
        <w:t xml:space="preserve"> </w:t>
      </w:r>
      <w:r w:rsidRPr="000B6193">
        <w:rPr>
          <w:spacing w:val="-2"/>
        </w:rPr>
        <w:t>in</w:t>
      </w:r>
      <w:r w:rsidRPr="002159E3">
        <w:t>f</w:t>
      </w:r>
      <w:r w:rsidRPr="000B6193">
        <w:rPr>
          <w:spacing w:val="-2"/>
        </w:rPr>
        <w:t>orma</w:t>
      </w:r>
      <w:r w:rsidRPr="002159E3">
        <w:t>tion</w:t>
      </w:r>
      <w:r w:rsidRPr="000B6193">
        <w:rPr>
          <w:spacing w:val="-27"/>
        </w:rPr>
        <w:t xml:space="preserve"> </w:t>
      </w:r>
      <w:r w:rsidRPr="000B6193">
        <w:rPr>
          <w:spacing w:val="-2"/>
        </w:rPr>
        <w:t>as</w:t>
      </w:r>
      <w:r w:rsidRPr="002159E3">
        <w:t>sociated</w:t>
      </w:r>
      <w:r w:rsidRPr="000B6193">
        <w:rPr>
          <w:spacing w:val="-26"/>
        </w:rPr>
        <w:t xml:space="preserve"> </w:t>
      </w:r>
      <w:r w:rsidRPr="002159E3">
        <w:t>with</w:t>
      </w:r>
      <w:r w:rsidRPr="000B6193">
        <w:rPr>
          <w:spacing w:val="-26"/>
        </w:rPr>
        <w:t xml:space="preserve"> </w:t>
      </w:r>
      <w:r w:rsidRPr="002159E3">
        <w:t>the</w:t>
      </w:r>
      <w:r w:rsidRPr="000B6193">
        <w:rPr>
          <w:spacing w:val="-27"/>
        </w:rPr>
        <w:t xml:space="preserve"> </w:t>
      </w:r>
      <w:r w:rsidRPr="002159E3">
        <w:t>complianc</w:t>
      </w:r>
      <w:r w:rsidRPr="000B6193">
        <w:rPr>
          <w:spacing w:val="-2"/>
        </w:rPr>
        <w:t>e</w:t>
      </w:r>
      <w:r w:rsidRPr="000B6193">
        <w:rPr>
          <w:spacing w:val="-26"/>
        </w:rPr>
        <w:t xml:space="preserve"> </w:t>
      </w:r>
      <w:r w:rsidRPr="002159E3">
        <w:t>bur</w:t>
      </w:r>
      <w:r w:rsidRPr="000B6193">
        <w:rPr>
          <w:spacing w:val="-2"/>
        </w:rPr>
        <w:t>den</w:t>
      </w:r>
      <w:r w:rsidRPr="000B6193">
        <w:rPr>
          <w:spacing w:val="-26"/>
        </w:rPr>
        <w:t xml:space="preserve"> </w:t>
      </w:r>
      <w:r w:rsidRPr="002159E3">
        <w:t>of</w:t>
      </w:r>
      <w:r w:rsidRPr="000B6193">
        <w:rPr>
          <w:spacing w:val="-27"/>
        </w:rPr>
        <w:t xml:space="preserve"> </w:t>
      </w:r>
      <w:r w:rsidRPr="002159E3">
        <w:t>the</w:t>
      </w:r>
      <w:r w:rsidRPr="000B6193">
        <w:rPr>
          <w:spacing w:val="39"/>
          <w:w w:val="97"/>
        </w:rPr>
        <w:t xml:space="preserve"> </w:t>
      </w:r>
      <w:r w:rsidRPr="002159E3">
        <w:t>portfolio’</w:t>
      </w:r>
      <w:r w:rsidRPr="000B6193">
        <w:rPr>
          <w:spacing w:val="-2"/>
        </w:rPr>
        <w:t>s</w:t>
      </w:r>
      <w:r w:rsidRPr="000B6193">
        <w:rPr>
          <w:spacing w:val="-41"/>
        </w:rPr>
        <w:t xml:space="preserve"> </w:t>
      </w:r>
      <w:r w:rsidRPr="000B6193">
        <w:rPr>
          <w:spacing w:val="-2"/>
        </w:rPr>
        <w:t>regula</w:t>
      </w:r>
      <w:r w:rsidRPr="002159E3">
        <w:t>tion</w:t>
      </w:r>
    </w:p>
    <w:p w:rsidR="00E46BBC" w:rsidRPr="00F20B31" w:rsidRDefault="00822AD3" w:rsidP="00F20B31">
      <w:r w:rsidRPr="00F20B31">
        <w:t>As the portfolio administers a wide range of regulations, during 2014 we measured the impact of all regulations across the portfolio to better understand the scope and scale of the costs and help identify areas for future reform (refer to Appendix B for further information). All portfolios undertook a similar audit of existing regulations for this purpose.</w:t>
      </w:r>
    </w:p>
    <w:p w:rsidR="00E46BBC" w:rsidRPr="00F20B31" w:rsidRDefault="00822AD3" w:rsidP="00F20B31">
      <w:r w:rsidRPr="00F20B31">
        <w:t>In October 2013, the portfolio was responsible for $2.15 billion in regulatory burden and administered</w:t>
      </w:r>
      <w:r w:rsidR="00FC3FAD" w:rsidRPr="00F20B31">
        <w:t xml:space="preserve"> </w:t>
      </w:r>
      <w:r w:rsidRPr="00F20B31">
        <w:t>79 legislative acts</w:t>
      </w:r>
      <w:r w:rsidR="00FF2998">
        <w:rPr>
          <w:rStyle w:val="FootnoteReference"/>
        </w:rPr>
        <w:footnoteReference w:id="8"/>
      </w:r>
      <w:r w:rsidRPr="00F20B31">
        <w:t>. A full list of the portfolio’s legislation is at Appendix D. Programmes, legislation and</w:t>
      </w:r>
      <w:r w:rsidR="00896123">
        <w:t xml:space="preserve"> </w:t>
      </w:r>
      <w:r w:rsidRPr="00F20B31">
        <w:t>legislative instruments accounted for almost 80 per cent of the burden and the remaining 20 per cent was from complying with other regulations, such as codes of practice, standards and accreditation schemes.</w:t>
      </w:r>
    </w:p>
    <w:p w:rsidR="00E46BBC" w:rsidRPr="00F20B31" w:rsidRDefault="00822AD3" w:rsidP="00F20B31">
      <w:r w:rsidRPr="00F20B31">
        <w:t>This information provides the portfolio with an opportunity to gain a greater understanding on how the regulations we administer impacts on our stakeholders. This will assist in developing regulation with the minimum burden possible.</w:t>
      </w:r>
    </w:p>
    <w:p w:rsidR="00E46BBC" w:rsidRPr="00915F01" w:rsidRDefault="00822AD3" w:rsidP="00A50DA3">
      <w:pPr>
        <w:pStyle w:val="Heading2"/>
      </w:pPr>
      <w:bookmarkStart w:id="53" w:name="_TOC_250010"/>
      <w:bookmarkStart w:id="54" w:name="_Toc414449045"/>
      <w:bookmarkStart w:id="55" w:name="_Toc414449102"/>
      <w:bookmarkStart w:id="56" w:name="_Toc414449242"/>
      <w:bookmarkStart w:id="57" w:name="_Toc414449418"/>
      <w:r w:rsidRPr="00915F01">
        <w:rPr>
          <w:spacing w:val="-2"/>
          <w:w w:val="105"/>
        </w:rPr>
        <w:t>Eng</w:t>
      </w:r>
      <w:r w:rsidRPr="00915F01">
        <w:rPr>
          <w:w w:val="105"/>
        </w:rPr>
        <w:t>aging</w:t>
      </w:r>
      <w:r w:rsidRPr="00915F01">
        <w:rPr>
          <w:spacing w:val="-16"/>
          <w:w w:val="105"/>
        </w:rPr>
        <w:t xml:space="preserve"> </w:t>
      </w:r>
      <w:r w:rsidRPr="00915F01">
        <w:rPr>
          <w:w w:val="105"/>
        </w:rPr>
        <w:t>with</w:t>
      </w:r>
      <w:r w:rsidRPr="00915F01">
        <w:rPr>
          <w:spacing w:val="-15"/>
          <w:w w:val="105"/>
        </w:rPr>
        <w:t xml:space="preserve"> </w:t>
      </w:r>
      <w:r w:rsidRPr="00915F01">
        <w:rPr>
          <w:w w:val="105"/>
        </w:rPr>
        <w:t>portfolio</w:t>
      </w:r>
      <w:r w:rsidRPr="00915F01">
        <w:rPr>
          <w:spacing w:val="-15"/>
          <w:w w:val="105"/>
        </w:rPr>
        <w:t xml:space="preserve"> </w:t>
      </w:r>
      <w:r w:rsidRPr="00915F01">
        <w:rPr>
          <w:spacing w:val="-3"/>
          <w:w w:val="105"/>
        </w:rPr>
        <w:t>r</w:t>
      </w:r>
      <w:r w:rsidRPr="00915F01">
        <w:rPr>
          <w:spacing w:val="-2"/>
          <w:w w:val="105"/>
        </w:rPr>
        <w:t>egulators</w:t>
      </w:r>
      <w:bookmarkEnd w:id="53"/>
      <w:bookmarkEnd w:id="54"/>
      <w:bookmarkEnd w:id="55"/>
      <w:bookmarkEnd w:id="56"/>
      <w:bookmarkEnd w:id="57"/>
    </w:p>
    <w:p w:rsidR="00E46BBC" w:rsidRPr="00F20B31" w:rsidRDefault="00822AD3" w:rsidP="00F20B31">
      <w:r w:rsidRPr="00F20B31">
        <w:t>The way regulation is implemented also affects compliance costs. That is why the Government is engaging closely with regulators to ensure implementation of regulation is efficient, effective and targeted. All ministers issued statements of expectations to major regulators in April 2014, to administer regulation in a way that reduces compliance costs while still achieving their regulatory objectives.</w:t>
      </w:r>
    </w:p>
    <w:p w:rsidR="00E46BBC" w:rsidRPr="00F20B31" w:rsidRDefault="00822AD3" w:rsidP="00F20B31">
      <w:r w:rsidRPr="00F20B31">
        <w:t>In 2014, the Minister for Industry issued statements of expectations to the major regulators including:</w:t>
      </w:r>
    </w:p>
    <w:p w:rsidR="00E46BBC" w:rsidRPr="000C1CD3" w:rsidRDefault="00822AD3" w:rsidP="00A50DA3">
      <w:pPr>
        <w:pStyle w:val="ListParagraph"/>
        <w:numPr>
          <w:ilvl w:val="0"/>
          <w:numId w:val="1"/>
        </w:numPr>
        <w:ind w:right="45"/>
      </w:pPr>
      <w:r w:rsidRPr="000C1CD3">
        <w:t>Anti-Dumping Commission</w:t>
      </w:r>
    </w:p>
    <w:p w:rsidR="00E46BBC" w:rsidRPr="000B6193" w:rsidRDefault="00822AD3" w:rsidP="00A50DA3">
      <w:pPr>
        <w:pStyle w:val="ListParagraph"/>
        <w:numPr>
          <w:ilvl w:val="0"/>
          <w:numId w:val="1"/>
        </w:numPr>
        <w:ind w:right="45"/>
        <w:rPr>
          <w:szCs w:val="18"/>
        </w:rPr>
      </w:pPr>
      <w:r>
        <w:t>A</w:t>
      </w:r>
      <w:r w:rsidRPr="000B6193">
        <w:rPr>
          <w:spacing w:val="-2"/>
        </w:rPr>
        <w:t>us</w:t>
      </w:r>
      <w:r>
        <w:t>tr</w:t>
      </w:r>
      <w:r w:rsidRPr="000B6193">
        <w:rPr>
          <w:spacing w:val="-2"/>
        </w:rPr>
        <w:t>alian</w:t>
      </w:r>
      <w:r w:rsidRPr="000B6193">
        <w:rPr>
          <w:spacing w:val="-23"/>
        </w:rPr>
        <w:t xml:space="preserve"> </w:t>
      </w:r>
      <w:r>
        <w:t>Building</w:t>
      </w:r>
      <w:r w:rsidRPr="000B6193">
        <w:rPr>
          <w:spacing w:val="-22"/>
        </w:rPr>
        <w:t xml:space="preserve"> </w:t>
      </w:r>
      <w:r>
        <w:t>Codes</w:t>
      </w:r>
      <w:r w:rsidRPr="000B6193">
        <w:rPr>
          <w:spacing w:val="-22"/>
        </w:rPr>
        <w:t xml:space="preserve"> </w:t>
      </w:r>
      <w:r>
        <w:t>Board</w:t>
      </w:r>
    </w:p>
    <w:p w:rsidR="00E46BBC" w:rsidRPr="000B6193" w:rsidRDefault="00822AD3" w:rsidP="00A50DA3">
      <w:pPr>
        <w:pStyle w:val="ListParagraph"/>
        <w:numPr>
          <w:ilvl w:val="0"/>
          <w:numId w:val="1"/>
        </w:numPr>
        <w:ind w:right="45"/>
        <w:rPr>
          <w:szCs w:val="18"/>
        </w:rPr>
      </w:pPr>
      <w:r>
        <w:t>A</w:t>
      </w:r>
      <w:r w:rsidRPr="000B6193">
        <w:rPr>
          <w:spacing w:val="-2"/>
        </w:rPr>
        <w:t>us</w:t>
      </w:r>
      <w:r>
        <w:t>tr</w:t>
      </w:r>
      <w:r w:rsidRPr="000B6193">
        <w:rPr>
          <w:spacing w:val="-2"/>
        </w:rPr>
        <w:t>alian</w:t>
      </w:r>
      <w:r w:rsidRPr="000B6193">
        <w:rPr>
          <w:spacing w:val="-24"/>
        </w:rPr>
        <w:t xml:space="preserve"> </w:t>
      </w:r>
      <w:r>
        <w:t>Skills</w:t>
      </w:r>
      <w:r w:rsidRPr="000B6193">
        <w:rPr>
          <w:spacing w:val="-24"/>
        </w:rPr>
        <w:t xml:space="preserve"> </w:t>
      </w:r>
      <w:r w:rsidRPr="000B6193">
        <w:rPr>
          <w:spacing w:val="-2"/>
        </w:rPr>
        <w:t>Qualit</w:t>
      </w:r>
      <w:r>
        <w:t>y</w:t>
      </w:r>
      <w:r w:rsidRPr="000B6193">
        <w:rPr>
          <w:spacing w:val="-24"/>
        </w:rPr>
        <w:t xml:space="preserve"> </w:t>
      </w:r>
      <w:r>
        <w:t>Authority</w:t>
      </w:r>
    </w:p>
    <w:p w:rsidR="00E46BBC" w:rsidRPr="000B6193" w:rsidRDefault="00822AD3" w:rsidP="00A50DA3">
      <w:pPr>
        <w:pStyle w:val="ListParagraph"/>
        <w:numPr>
          <w:ilvl w:val="0"/>
          <w:numId w:val="1"/>
        </w:numPr>
        <w:ind w:right="45"/>
        <w:rPr>
          <w:szCs w:val="18"/>
        </w:rPr>
      </w:pPr>
      <w:r w:rsidRPr="000B6193">
        <w:rPr>
          <w:spacing w:val="-1"/>
        </w:rPr>
        <w:t>Commonw</w:t>
      </w:r>
      <w:r>
        <w:t>ealth</w:t>
      </w:r>
      <w:r w:rsidRPr="000B6193">
        <w:rPr>
          <w:spacing w:val="-39"/>
        </w:rPr>
        <w:t xml:space="preserve"> </w:t>
      </w:r>
      <w:r>
        <w:t>Scien</w:t>
      </w:r>
      <w:r w:rsidRPr="000B6193">
        <w:rPr>
          <w:spacing w:val="-1"/>
        </w:rPr>
        <w:t>tific</w:t>
      </w:r>
      <w:r w:rsidRPr="000B6193">
        <w:rPr>
          <w:spacing w:val="-38"/>
        </w:rPr>
        <w:t xml:space="preserve"> </w:t>
      </w:r>
      <w:r>
        <w:t>and</w:t>
      </w:r>
      <w:r w:rsidRPr="000B6193">
        <w:rPr>
          <w:spacing w:val="-38"/>
        </w:rPr>
        <w:t xml:space="preserve"> </w:t>
      </w:r>
      <w:r>
        <w:t>Industrial</w:t>
      </w:r>
      <w:r w:rsidRPr="000B6193">
        <w:rPr>
          <w:spacing w:val="-38"/>
        </w:rPr>
        <w:t xml:space="preserve"> </w:t>
      </w:r>
      <w:r w:rsidRPr="000B6193">
        <w:rPr>
          <w:spacing w:val="-1"/>
        </w:rPr>
        <w:t>R</w:t>
      </w:r>
      <w:r>
        <w:t>esear</w:t>
      </w:r>
      <w:r w:rsidRPr="000B6193">
        <w:rPr>
          <w:spacing w:val="-1"/>
        </w:rPr>
        <w:t>ch</w:t>
      </w:r>
      <w:r w:rsidRPr="000B6193">
        <w:rPr>
          <w:spacing w:val="-38"/>
        </w:rPr>
        <w:t xml:space="preserve"> </w:t>
      </w:r>
      <w:r w:rsidRPr="000B6193">
        <w:rPr>
          <w:spacing w:val="-1"/>
        </w:rPr>
        <w:t>Or</w:t>
      </w:r>
      <w:r>
        <w:t>ganisa</w:t>
      </w:r>
      <w:r w:rsidRPr="000B6193">
        <w:rPr>
          <w:spacing w:val="-1"/>
        </w:rPr>
        <w:t>tion</w:t>
      </w:r>
    </w:p>
    <w:p w:rsidR="00E46BBC" w:rsidRPr="00565FA9" w:rsidRDefault="00822AD3" w:rsidP="00A50DA3">
      <w:pPr>
        <w:pStyle w:val="ListParagraph"/>
        <w:numPr>
          <w:ilvl w:val="0"/>
          <w:numId w:val="1"/>
        </w:numPr>
        <w:ind w:right="45"/>
      </w:pPr>
      <w:r w:rsidRPr="00565FA9">
        <w:t>IP Australia</w:t>
      </w:r>
    </w:p>
    <w:p w:rsidR="00E46BBC" w:rsidRPr="000B6193" w:rsidRDefault="00822AD3" w:rsidP="00A50DA3">
      <w:pPr>
        <w:pStyle w:val="ListParagraph"/>
        <w:numPr>
          <w:ilvl w:val="0"/>
          <w:numId w:val="1"/>
        </w:numPr>
        <w:ind w:right="45"/>
        <w:rPr>
          <w:szCs w:val="18"/>
        </w:rPr>
      </w:pPr>
      <w:r w:rsidRPr="000B6193">
        <w:rPr>
          <w:spacing w:val="-1"/>
        </w:rPr>
        <w:t>Na</w:t>
      </w:r>
      <w:r>
        <w:t>tional</w:t>
      </w:r>
      <w:r w:rsidRPr="000B6193">
        <w:rPr>
          <w:spacing w:val="-29"/>
        </w:rPr>
        <w:t xml:space="preserve"> </w:t>
      </w:r>
      <w:r w:rsidRPr="000B6193">
        <w:rPr>
          <w:spacing w:val="-1"/>
        </w:rPr>
        <w:t>Offshor</w:t>
      </w:r>
      <w:r>
        <w:t>e</w:t>
      </w:r>
      <w:r w:rsidRPr="000B6193">
        <w:rPr>
          <w:spacing w:val="-28"/>
        </w:rPr>
        <w:t xml:space="preserve"> </w:t>
      </w:r>
      <w:r w:rsidRPr="000B6193">
        <w:rPr>
          <w:spacing w:val="-1"/>
        </w:rPr>
        <w:t>P</w:t>
      </w:r>
      <w:r>
        <w:t>e</w:t>
      </w:r>
      <w:r w:rsidRPr="000B6193">
        <w:rPr>
          <w:spacing w:val="-1"/>
        </w:rPr>
        <w:t>tr</w:t>
      </w:r>
      <w:r>
        <w:t>oleum</w:t>
      </w:r>
      <w:r w:rsidRPr="000B6193">
        <w:rPr>
          <w:spacing w:val="-28"/>
        </w:rPr>
        <w:t xml:space="preserve"> </w:t>
      </w:r>
      <w:r w:rsidRPr="000B6193">
        <w:rPr>
          <w:spacing w:val="-1"/>
        </w:rPr>
        <w:t>S</w:t>
      </w:r>
      <w:r>
        <w:t>afe</w:t>
      </w:r>
      <w:r w:rsidRPr="000B6193">
        <w:rPr>
          <w:spacing w:val="-1"/>
        </w:rPr>
        <w:t>ty</w:t>
      </w:r>
      <w:r w:rsidRPr="000B6193">
        <w:rPr>
          <w:spacing w:val="-28"/>
        </w:rPr>
        <w:t xml:space="preserve"> </w:t>
      </w:r>
      <w:r>
        <w:t>and</w:t>
      </w:r>
      <w:r w:rsidRPr="000B6193">
        <w:rPr>
          <w:spacing w:val="-29"/>
        </w:rPr>
        <w:t xml:space="preserve"> </w:t>
      </w:r>
      <w:r w:rsidRPr="000B6193">
        <w:rPr>
          <w:spacing w:val="-1"/>
        </w:rPr>
        <w:t>Envir</w:t>
      </w:r>
      <w:r>
        <w:t>onmental</w:t>
      </w:r>
      <w:r w:rsidRPr="000B6193">
        <w:rPr>
          <w:spacing w:val="-28"/>
        </w:rPr>
        <w:t xml:space="preserve"> </w:t>
      </w:r>
      <w:r>
        <w:t>Managemen</w:t>
      </w:r>
      <w:r w:rsidRPr="000B6193">
        <w:rPr>
          <w:spacing w:val="-1"/>
        </w:rPr>
        <w:t>t</w:t>
      </w:r>
      <w:r w:rsidRPr="000B6193">
        <w:rPr>
          <w:spacing w:val="-28"/>
        </w:rPr>
        <w:t xml:space="preserve"> </w:t>
      </w:r>
      <w:r w:rsidRPr="000B6193">
        <w:rPr>
          <w:spacing w:val="-1"/>
        </w:rPr>
        <w:t>Authority</w:t>
      </w:r>
    </w:p>
    <w:p w:rsidR="000B6193" w:rsidRPr="000B6193" w:rsidRDefault="00822AD3" w:rsidP="00A50DA3">
      <w:pPr>
        <w:pStyle w:val="ListParagraph"/>
        <w:numPr>
          <w:ilvl w:val="0"/>
          <w:numId w:val="1"/>
        </w:numPr>
        <w:ind w:right="45"/>
        <w:rPr>
          <w:szCs w:val="18"/>
        </w:rPr>
      </w:pPr>
      <w:r w:rsidRPr="000B6193">
        <w:rPr>
          <w:spacing w:val="-1"/>
        </w:rPr>
        <w:t>Prof</w:t>
      </w:r>
      <w:r>
        <w:t>essional</w:t>
      </w:r>
      <w:r w:rsidRPr="000B6193">
        <w:rPr>
          <w:spacing w:val="-25"/>
        </w:rPr>
        <w:t xml:space="preserve"> </w:t>
      </w:r>
      <w:r w:rsidRPr="000B6193">
        <w:rPr>
          <w:spacing w:val="-1"/>
        </w:rPr>
        <w:t>S</w:t>
      </w:r>
      <w:r>
        <w:t>tandar</w:t>
      </w:r>
      <w:r w:rsidRPr="000B6193">
        <w:rPr>
          <w:spacing w:val="-1"/>
        </w:rPr>
        <w:t>ds</w:t>
      </w:r>
      <w:r w:rsidRPr="000B6193">
        <w:rPr>
          <w:spacing w:val="-24"/>
        </w:rPr>
        <w:t xml:space="preserve"> </w:t>
      </w:r>
      <w:r w:rsidRPr="000B6193">
        <w:rPr>
          <w:spacing w:val="-1"/>
        </w:rPr>
        <w:t>Board</w:t>
      </w:r>
      <w:r w:rsidRPr="000B6193">
        <w:rPr>
          <w:spacing w:val="-24"/>
        </w:rPr>
        <w:t xml:space="preserve"> </w:t>
      </w:r>
      <w:r w:rsidRPr="000B6193">
        <w:rPr>
          <w:spacing w:val="-1"/>
        </w:rPr>
        <w:t>for</w:t>
      </w:r>
      <w:r w:rsidRPr="000B6193">
        <w:rPr>
          <w:spacing w:val="-24"/>
        </w:rPr>
        <w:t xml:space="preserve"> </w:t>
      </w:r>
      <w:r>
        <w:t>P</w:t>
      </w:r>
      <w:r w:rsidRPr="000B6193">
        <w:rPr>
          <w:spacing w:val="-3"/>
        </w:rPr>
        <w:t>a</w:t>
      </w:r>
      <w:r>
        <w:t>t</w:t>
      </w:r>
      <w:r w:rsidRPr="000B6193">
        <w:rPr>
          <w:spacing w:val="-3"/>
        </w:rPr>
        <w:t>en</w:t>
      </w:r>
      <w:r>
        <w:t>t</w:t>
      </w:r>
      <w:r w:rsidRPr="000B6193">
        <w:rPr>
          <w:spacing w:val="-24"/>
        </w:rPr>
        <w:t xml:space="preserve"> </w:t>
      </w:r>
      <w:r>
        <w:t>and</w:t>
      </w:r>
      <w:r w:rsidRPr="000B6193">
        <w:rPr>
          <w:spacing w:val="-24"/>
        </w:rPr>
        <w:t xml:space="preserve"> </w:t>
      </w:r>
      <w:r w:rsidRPr="000B6193">
        <w:rPr>
          <w:spacing w:val="-5"/>
        </w:rPr>
        <w:t>Trade</w:t>
      </w:r>
      <w:r w:rsidRPr="000B6193">
        <w:rPr>
          <w:spacing w:val="-24"/>
        </w:rPr>
        <w:t xml:space="preserve"> </w:t>
      </w:r>
      <w:r>
        <w:t>Mark</w:t>
      </w:r>
      <w:r w:rsidRPr="000B6193">
        <w:rPr>
          <w:spacing w:val="-24"/>
        </w:rPr>
        <w:t xml:space="preserve"> </w:t>
      </w:r>
      <w:r>
        <w:t>Att</w:t>
      </w:r>
      <w:r w:rsidRPr="000B6193">
        <w:rPr>
          <w:spacing w:val="-3"/>
        </w:rPr>
        <w:t>orne</w:t>
      </w:r>
      <w:r>
        <w:t>y</w:t>
      </w:r>
      <w:r w:rsidRPr="000B6193">
        <w:rPr>
          <w:spacing w:val="-3"/>
        </w:rPr>
        <w:t>s</w:t>
      </w:r>
    </w:p>
    <w:p w:rsidR="00E46BBC" w:rsidRPr="000B6193" w:rsidRDefault="00822AD3" w:rsidP="00A50DA3">
      <w:pPr>
        <w:pStyle w:val="ListParagraph"/>
        <w:numPr>
          <w:ilvl w:val="0"/>
          <w:numId w:val="1"/>
        </w:numPr>
        <w:ind w:right="45"/>
        <w:rPr>
          <w:szCs w:val="18"/>
        </w:rPr>
      </w:pPr>
      <w:r>
        <w:t>Prior</w:t>
      </w:r>
      <w:r w:rsidRPr="000B6193">
        <w:rPr>
          <w:spacing w:val="-24"/>
        </w:rPr>
        <w:t xml:space="preserve"> </w:t>
      </w:r>
      <w:r>
        <w:t>to</w:t>
      </w:r>
      <w:r w:rsidRPr="000B6193">
        <w:rPr>
          <w:spacing w:val="-23"/>
        </w:rPr>
        <w:t xml:space="preserve"> </w:t>
      </w:r>
      <w:r>
        <w:t>the</w:t>
      </w:r>
      <w:r w:rsidRPr="000B6193">
        <w:rPr>
          <w:spacing w:val="-23"/>
        </w:rPr>
        <w:t xml:space="preserve"> </w:t>
      </w:r>
      <w:r w:rsidRPr="000B6193">
        <w:rPr>
          <w:spacing w:val="-2"/>
        </w:rPr>
        <w:t>machinery</w:t>
      </w:r>
      <w:r>
        <w:t>-of-gov</w:t>
      </w:r>
      <w:r w:rsidRPr="000B6193">
        <w:rPr>
          <w:spacing w:val="-2"/>
        </w:rPr>
        <w:t>ernmen</w:t>
      </w:r>
      <w:r>
        <w:t>t</w:t>
      </w:r>
      <w:r w:rsidRPr="000B6193">
        <w:rPr>
          <w:spacing w:val="-23"/>
        </w:rPr>
        <w:t xml:space="preserve"> </w:t>
      </w:r>
      <w:r>
        <w:t>changes</w:t>
      </w:r>
      <w:r w:rsidRPr="000B6193">
        <w:rPr>
          <w:spacing w:val="-24"/>
        </w:rPr>
        <w:t xml:space="preserve"> </w:t>
      </w:r>
      <w:r>
        <w:t>in</w:t>
      </w:r>
      <w:r w:rsidRPr="000B6193">
        <w:rPr>
          <w:spacing w:val="-23"/>
        </w:rPr>
        <w:t xml:space="preserve"> </w:t>
      </w:r>
      <w:r>
        <w:t>December</w:t>
      </w:r>
      <w:r w:rsidRPr="000B6193">
        <w:rPr>
          <w:spacing w:val="-23"/>
        </w:rPr>
        <w:t xml:space="preserve"> </w:t>
      </w:r>
      <w:r>
        <w:t>20</w:t>
      </w:r>
      <w:r w:rsidRPr="000B6193">
        <w:rPr>
          <w:spacing w:val="-2"/>
        </w:rPr>
        <w:t>14.</w:t>
      </w:r>
    </w:p>
    <w:p w:rsidR="00E46BBC" w:rsidRPr="000C1CD3" w:rsidRDefault="00822AD3" w:rsidP="00A50DA3">
      <w:pPr>
        <w:pStyle w:val="ListParagraph"/>
        <w:numPr>
          <w:ilvl w:val="0"/>
          <w:numId w:val="1"/>
        </w:numPr>
        <w:ind w:right="45"/>
      </w:pPr>
      <w:r w:rsidRPr="000C1CD3">
        <w:t>National Measurement Institute</w:t>
      </w:r>
    </w:p>
    <w:p w:rsidR="00E46BBC" w:rsidRPr="000B6193" w:rsidRDefault="00822AD3" w:rsidP="00A50DA3">
      <w:pPr>
        <w:pStyle w:val="ListParagraph"/>
        <w:numPr>
          <w:ilvl w:val="0"/>
          <w:numId w:val="1"/>
        </w:numPr>
        <w:ind w:right="45"/>
        <w:rPr>
          <w:szCs w:val="18"/>
        </w:rPr>
      </w:pPr>
      <w:r w:rsidRPr="000B6193">
        <w:rPr>
          <w:spacing w:val="-1"/>
        </w:rPr>
        <w:t>Gr</w:t>
      </w:r>
      <w:r>
        <w:t>eenhouse</w:t>
      </w:r>
      <w:r w:rsidRPr="000B6193">
        <w:rPr>
          <w:spacing w:val="-33"/>
        </w:rPr>
        <w:t xml:space="preserve"> </w:t>
      </w:r>
      <w:r>
        <w:t>and</w:t>
      </w:r>
      <w:r w:rsidRPr="000B6193">
        <w:rPr>
          <w:spacing w:val="-32"/>
        </w:rPr>
        <w:t xml:space="preserve"> </w:t>
      </w:r>
      <w:r>
        <w:t>Ener</w:t>
      </w:r>
      <w:r w:rsidRPr="000B6193">
        <w:rPr>
          <w:spacing w:val="-1"/>
        </w:rPr>
        <w:t>gy</w:t>
      </w:r>
      <w:r w:rsidRPr="000B6193">
        <w:rPr>
          <w:spacing w:val="-33"/>
        </w:rPr>
        <w:t xml:space="preserve"> </w:t>
      </w:r>
      <w:r>
        <w:t>Minimum</w:t>
      </w:r>
      <w:r w:rsidRPr="000B6193">
        <w:rPr>
          <w:spacing w:val="-32"/>
        </w:rPr>
        <w:t xml:space="preserve"> </w:t>
      </w:r>
      <w:r w:rsidRPr="000B6193">
        <w:rPr>
          <w:spacing w:val="-1"/>
        </w:rPr>
        <w:t>S</w:t>
      </w:r>
      <w:r>
        <w:t>tandar</w:t>
      </w:r>
      <w:r w:rsidRPr="000B6193">
        <w:rPr>
          <w:spacing w:val="-1"/>
        </w:rPr>
        <w:t>ds</w:t>
      </w:r>
      <w:r w:rsidRPr="000B6193">
        <w:rPr>
          <w:spacing w:val="-33"/>
        </w:rPr>
        <w:t xml:space="preserve"> </w:t>
      </w:r>
      <w:r w:rsidRPr="000B6193">
        <w:rPr>
          <w:spacing w:val="-1"/>
        </w:rPr>
        <w:t>R</w:t>
      </w:r>
      <w:r>
        <w:t>egula</w:t>
      </w:r>
      <w:r w:rsidRPr="000B6193">
        <w:rPr>
          <w:spacing w:val="-1"/>
        </w:rPr>
        <w:t>tor</w:t>
      </w:r>
    </w:p>
    <w:p w:rsidR="00E46BBC" w:rsidRPr="000B6193" w:rsidRDefault="00822AD3" w:rsidP="00A50DA3">
      <w:pPr>
        <w:pStyle w:val="ListParagraph"/>
        <w:numPr>
          <w:ilvl w:val="0"/>
          <w:numId w:val="1"/>
        </w:numPr>
        <w:ind w:right="45"/>
        <w:rPr>
          <w:szCs w:val="18"/>
        </w:rPr>
      </w:pPr>
      <w:r w:rsidRPr="000B6193">
        <w:rPr>
          <w:spacing w:val="-1"/>
        </w:rPr>
        <w:t>Na</w:t>
      </w:r>
      <w:r>
        <w:t>tional</w:t>
      </w:r>
      <w:r w:rsidRPr="000B6193">
        <w:rPr>
          <w:spacing w:val="-28"/>
        </w:rPr>
        <w:t xml:space="preserve"> </w:t>
      </w:r>
      <w:r w:rsidRPr="000B6193">
        <w:rPr>
          <w:spacing w:val="-1"/>
        </w:rPr>
        <w:t>Offshor</w:t>
      </w:r>
      <w:r>
        <w:t>e</w:t>
      </w:r>
      <w:r w:rsidRPr="000B6193">
        <w:rPr>
          <w:spacing w:val="-27"/>
        </w:rPr>
        <w:t xml:space="preserve"> </w:t>
      </w:r>
      <w:r w:rsidRPr="000B6193">
        <w:rPr>
          <w:spacing w:val="-1"/>
        </w:rPr>
        <w:t>P</w:t>
      </w:r>
      <w:r>
        <w:t>e</w:t>
      </w:r>
      <w:r w:rsidRPr="000B6193">
        <w:rPr>
          <w:spacing w:val="-1"/>
        </w:rPr>
        <w:t>tr</w:t>
      </w:r>
      <w:r>
        <w:t>oleum</w:t>
      </w:r>
      <w:r w:rsidRPr="000B6193">
        <w:rPr>
          <w:spacing w:val="-28"/>
        </w:rPr>
        <w:t xml:space="preserve"> </w:t>
      </w:r>
      <w:r>
        <w:t>Titles</w:t>
      </w:r>
      <w:r w:rsidRPr="000B6193">
        <w:rPr>
          <w:spacing w:val="-27"/>
        </w:rPr>
        <w:t xml:space="preserve"> </w:t>
      </w:r>
      <w:r>
        <w:t>A</w:t>
      </w:r>
      <w:r w:rsidRPr="000B6193">
        <w:rPr>
          <w:spacing w:val="-3"/>
        </w:rPr>
        <w:t>dministra</w:t>
      </w:r>
      <w:r>
        <w:t>t</w:t>
      </w:r>
      <w:r w:rsidRPr="000B6193">
        <w:rPr>
          <w:spacing w:val="-3"/>
        </w:rPr>
        <w:t>or</w:t>
      </w:r>
    </w:p>
    <w:p w:rsidR="00E46BBC" w:rsidRPr="000B6193" w:rsidRDefault="00822AD3" w:rsidP="00A50DA3">
      <w:pPr>
        <w:pStyle w:val="ListParagraph"/>
        <w:numPr>
          <w:ilvl w:val="0"/>
          <w:numId w:val="1"/>
        </w:numPr>
        <w:ind w:right="45"/>
        <w:rPr>
          <w:szCs w:val="18"/>
        </w:rPr>
      </w:pPr>
      <w:r>
        <w:t>A</w:t>
      </w:r>
      <w:r w:rsidRPr="000B6193">
        <w:rPr>
          <w:spacing w:val="-2"/>
        </w:rPr>
        <w:t>us</w:t>
      </w:r>
      <w:r>
        <w:t>tr</w:t>
      </w:r>
      <w:r w:rsidRPr="000B6193">
        <w:rPr>
          <w:spacing w:val="-2"/>
        </w:rPr>
        <w:t>alian</w:t>
      </w:r>
      <w:r w:rsidRPr="000B6193">
        <w:rPr>
          <w:spacing w:val="-32"/>
        </w:rPr>
        <w:t xml:space="preserve"> </w:t>
      </w:r>
      <w:r w:rsidRPr="000B6193">
        <w:rPr>
          <w:spacing w:val="-2"/>
        </w:rPr>
        <w:t>Indus</w:t>
      </w:r>
      <w:r>
        <w:t>try</w:t>
      </w:r>
      <w:r w:rsidRPr="000B6193">
        <w:rPr>
          <w:spacing w:val="-31"/>
        </w:rPr>
        <w:t xml:space="preserve"> </w:t>
      </w:r>
      <w:r>
        <w:t>Participation</w:t>
      </w:r>
      <w:r w:rsidRPr="000B6193">
        <w:rPr>
          <w:spacing w:val="-31"/>
        </w:rPr>
        <w:t xml:space="preserve"> </w:t>
      </w:r>
      <w:r>
        <w:t>Authority</w:t>
      </w:r>
    </w:p>
    <w:p w:rsidR="00E46BBC" w:rsidRPr="00F20B31" w:rsidRDefault="00822AD3" w:rsidP="00F20B31">
      <w:r w:rsidRPr="00F20B31">
        <w:t xml:space="preserve">In October 2014, the Government released a </w:t>
      </w:r>
      <w:hyperlink r:id="rId19">
        <w:r w:rsidRPr="00F20B31">
          <w:rPr>
            <w:rStyle w:val="Hyperlink"/>
          </w:rPr>
          <w:t>Regulator Performance Framework</w:t>
        </w:r>
      </w:hyperlink>
      <w:r w:rsidR="00FF2998">
        <w:rPr>
          <w:rStyle w:val="FootnoteReference"/>
          <w:color w:val="0000FF" w:themeColor="hyperlink"/>
          <w:u w:val="single"/>
        </w:rPr>
        <w:footnoteReference w:id="9"/>
      </w:r>
      <w:r w:rsidRPr="00F20B31">
        <w:t xml:space="preserve"> as part of the</w:t>
      </w:r>
    </w:p>
    <w:p w:rsidR="00E46BBC" w:rsidRPr="00F20B31" w:rsidRDefault="00822AD3" w:rsidP="00F20B31">
      <w:r w:rsidRPr="00F20B31">
        <w:lastRenderedPageBreak/>
        <w:t>Industry Innovation and Competiveness Agenda which sets out best practice considerations for regulators to minimise the burden imposed on the community. We have commenced engagement with portfolio regulators to develop metrics to measure their performance. The framework will commence on</w:t>
      </w:r>
      <w:r w:rsidR="000908D2">
        <w:t xml:space="preserve"> </w:t>
      </w:r>
      <w:r w:rsidRPr="00F20B31">
        <w:t>1 July 2015.</w:t>
      </w:r>
    </w:p>
    <w:p w:rsidR="00E46BBC" w:rsidRPr="00F20B31" w:rsidRDefault="00822AD3" w:rsidP="00F20B31">
      <w:r w:rsidRPr="00F20B31">
        <w:t>Furthermore, the Government is adopting a new principle that, if a system, service or product has been approved under a trusted international standard or risk assessment, then our regulators should not impose any additional requirements for approval in Australia. The portfolio is working with relevant stakeholders to develop criteria for assessing Australian regulations against this principle. These criteria will be used to assess the ongoing need for unique Australian standards in existing regulations, as well as new regulation policy proposals.</w:t>
      </w:r>
    </w:p>
    <w:p w:rsidR="00E46BBC" w:rsidRPr="00915F01" w:rsidRDefault="00822AD3" w:rsidP="00A50DA3">
      <w:pPr>
        <w:pStyle w:val="Heading2"/>
      </w:pPr>
      <w:bookmarkStart w:id="58" w:name="_TOC_250009"/>
      <w:bookmarkStart w:id="59" w:name="_Toc414449046"/>
      <w:bookmarkStart w:id="60" w:name="_Toc414449103"/>
      <w:bookmarkStart w:id="61" w:name="_Toc414449243"/>
      <w:bookmarkStart w:id="62" w:name="_Toc414449419"/>
      <w:r w:rsidRPr="00915F01">
        <w:rPr>
          <w:spacing w:val="-3"/>
          <w:w w:val="110"/>
        </w:rPr>
        <w:t>Coll</w:t>
      </w:r>
      <w:r w:rsidRPr="00915F01">
        <w:rPr>
          <w:w w:val="110"/>
        </w:rPr>
        <w:t>aboration</w:t>
      </w:r>
      <w:bookmarkEnd w:id="58"/>
      <w:bookmarkEnd w:id="59"/>
      <w:bookmarkEnd w:id="60"/>
      <w:bookmarkEnd w:id="61"/>
      <w:bookmarkEnd w:id="62"/>
    </w:p>
    <w:p w:rsidR="00E46BBC" w:rsidRPr="00F20B31" w:rsidRDefault="00822AD3" w:rsidP="000908D2">
      <w:r w:rsidRPr="00F20B31">
        <w:t xml:space="preserve">There are considerable </w:t>
      </w:r>
      <w:r w:rsidRPr="000908D2">
        <w:t>costs</w:t>
      </w:r>
      <w:r w:rsidRPr="00F20B31">
        <w:t xml:space="preserve"> to business arising from complying with regulatio</w:t>
      </w:r>
      <w:r w:rsidR="00896123">
        <w:t xml:space="preserve">ns at all levels of government. </w:t>
      </w:r>
      <w:r w:rsidRPr="00F20B31">
        <w:t>Governments are listening to this feedback, with a number of regulation reform agendas already underway in states and territories in addition to those being pursued nationally.</w:t>
      </w:r>
    </w:p>
    <w:p w:rsidR="00E46BBC" w:rsidRPr="00FF2998" w:rsidRDefault="00822AD3" w:rsidP="00A50DA3">
      <w:pPr>
        <w:pStyle w:val="Heading3"/>
      </w:pPr>
      <w:bookmarkStart w:id="63" w:name="_TOC_250008"/>
      <w:bookmarkStart w:id="64" w:name="_Toc414449244"/>
      <w:bookmarkStart w:id="65" w:name="_Toc414449420"/>
      <w:r w:rsidRPr="00FF2998">
        <w:t>Inter-jurisdictional reforms</w:t>
      </w:r>
      <w:bookmarkEnd w:id="63"/>
      <w:bookmarkEnd w:id="64"/>
      <w:bookmarkEnd w:id="65"/>
    </w:p>
    <w:p w:rsidR="00E46BBC" w:rsidRPr="00F20B31" w:rsidRDefault="00822AD3" w:rsidP="00F20B31">
      <w:r w:rsidRPr="00F20B31">
        <w:t>Many Commonwealth regulations are made and administered in partnership with state and territory governments. In 2014, around one quarter of the portfolio’s regulatory stock was administered through such partnership arrangements. Often it is the cumulative impact of multiple commonwealth/state/local government regulations that really stifles productivity and competitiveness, and so our attention will be on:</w:t>
      </w:r>
    </w:p>
    <w:p w:rsidR="00E46BBC" w:rsidRPr="000C1CD3" w:rsidRDefault="00822AD3" w:rsidP="00A50DA3">
      <w:pPr>
        <w:pStyle w:val="ListParagraph"/>
        <w:numPr>
          <w:ilvl w:val="0"/>
          <w:numId w:val="3"/>
        </w:numPr>
        <w:ind w:right="45"/>
      </w:pPr>
      <w:r w:rsidRPr="000C1CD3">
        <w:t>removing regulatory inconsistencies</w:t>
      </w:r>
    </w:p>
    <w:p w:rsidR="00E46BBC" w:rsidRPr="000908D2" w:rsidRDefault="00822AD3" w:rsidP="00A50DA3">
      <w:pPr>
        <w:pStyle w:val="ListParagraph"/>
        <w:numPr>
          <w:ilvl w:val="0"/>
          <w:numId w:val="3"/>
        </w:numPr>
        <w:ind w:right="45"/>
        <w:rPr>
          <w:szCs w:val="18"/>
        </w:rPr>
      </w:pPr>
      <w:r w:rsidRPr="000908D2">
        <w:rPr>
          <w:spacing w:val="-2"/>
        </w:rPr>
        <w:t>encour</w:t>
      </w:r>
      <w:r>
        <w:t>aging</w:t>
      </w:r>
      <w:r w:rsidRPr="000908D2">
        <w:rPr>
          <w:spacing w:val="-41"/>
        </w:rPr>
        <w:t xml:space="preserve"> </w:t>
      </w:r>
      <w:r>
        <w:t>mutual</w:t>
      </w:r>
      <w:r w:rsidRPr="000908D2">
        <w:rPr>
          <w:spacing w:val="-40"/>
        </w:rPr>
        <w:t xml:space="preserve"> </w:t>
      </w:r>
      <w:r w:rsidRPr="000908D2">
        <w:rPr>
          <w:spacing w:val="-2"/>
        </w:rPr>
        <w:t>r</w:t>
      </w:r>
      <w:r>
        <w:t>ecognition</w:t>
      </w:r>
    </w:p>
    <w:p w:rsidR="00E46BBC" w:rsidRPr="000908D2" w:rsidRDefault="00822AD3" w:rsidP="00A50DA3">
      <w:pPr>
        <w:pStyle w:val="ListParagraph"/>
        <w:numPr>
          <w:ilvl w:val="0"/>
          <w:numId w:val="3"/>
        </w:numPr>
        <w:ind w:right="45"/>
        <w:rPr>
          <w:szCs w:val="18"/>
        </w:rPr>
      </w:pPr>
      <w:r>
        <w:t>s</w:t>
      </w:r>
      <w:r w:rsidRPr="000908D2">
        <w:rPr>
          <w:spacing w:val="-1"/>
        </w:rPr>
        <w:t>tr</w:t>
      </w:r>
      <w:r>
        <w:t>eamlining</w:t>
      </w:r>
      <w:r w:rsidRPr="000908D2">
        <w:rPr>
          <w:spacing w:val="-37"/>
        </w:rPr>
        <w:t xml:space="preserve"> </w:t>
      </w:r>
      <w:r>
        <w:t>r</w:t>
      </w:r>
      <w:r w:rsidRPr="000908D2">
        <w:rPr>
          <w:spacing w:val="-1"/>
        </w:rPr>
        <w:t>eporting</w:t>
      </w:r>
      <w:r w:rsidRPr="000908D2">
        <w:rPr>
          <w:spacing w:val="-36"/>
        </w:rPr>
        <w:t xml:space="preserve"> </w:t>
      </w:r>
      <w:r>
        <w:t>requirements,</w:t>
      </w:r>
      <w:r w:rsidRPr="000908D2">
        <w:rPr>
          <w:spacing w:val="-36"/>
        </w:rPr>
        <w:t xml:space="preserve"> </w:t>
      </w:r>
      <w:r>
        <w:t>where</w:t>
      </w:r>
      <w:r w:rsidRPr="000908D2">
        <w:rPr>
          <w:spacing w:val="-36"/>
        </w:rPr>
        <w:t xml:space="preserve"> </w:t>
      </w:r>
      <w:r w:rsidRPr="000908D2">
        <w:rPr>
          <w:spacing w:val="-1"/>
        </w:rPr>
        <w:t>pos</w:t>
      </w:r>
      <w:r>
        <w:t>sible</w:t>
      </w:r>
    </w:p>
    <w:p w:rsidR="00E46BBC" w:rsidRPr="00F20B31" w:rsidRDefault="00822AD3" w:rsidP="00F20B31">
      <w:r w:rsidRPr="00F20B31">
        <w:t>COAG is seen as one pathway to collaborative inter-jurisdictional red tape reduction. In December 2013, COAG committed all jurisdictions to focus on reducing red tape in four areas:</w:t>
      </w:r>
    </w:p>
    <w:p w:rsidR="00E46BBC" w:rsidRPr="000C1CD3" w:rsidRDefault="00822AD3" w:rsidP="00A50DA3">
      <w:pPr>
        <w:pStyle w:val="ListParagraph"/>
        <w:numPr>
          <w:ilvl w:val="0"/>
          <w:numId w:val="4"/>
        </w:numPr>
        <w:ind w:right="45"/>
      </w:pPr>
      <w:r w:rsidRPr="000C1CD3">
        <w:t>higher education</w:t>
      </w:r>
    </w:p>
    <w:p w:rsidR="00E46BBC" w:rsidRPr="00944E7C" w:rsidRDefault="00822AD3" w:rsidP="00A50DA3">
      <w:pPr>
        <w:pStyle w:val="ListParagraph"/>
        <w:numPr>
          <w:ilvl w:val="0"/>
          <w:numId w:val="4"/>
        </w:numPr>
        <w:ind w:right="45"/>
      </w:pPr>
      <w:r w:rsidRPr="00944E7C">
        <w:t>manufacturing</w:t>
      </w:r>
    </w:p>
    <w:p w:rsidR="00E46BBC" w:rsidRPr="00944E7C" w:rsidRDefault="00822AD3" w:rsidP="00A50DA3">
      <w:pPr>
        <w:pStyle w:val="ListParagraph"/>
        <w:numPr>
          <w:ilvl w:val="0"/>
          <w:numId w:val="4"/>
        </w:numPr>
        <w:ind w:right="45"/>
      </w:pPr>
      <w:r w:rsidRPr="00944E7C">
        <w:t>early childhood</w:t>
      </w:r>
    </w:p>
    <w:p w:rsidR="00E46BBC" w:rsidRPr="00944E7C" w:rsidRDefault="00822AD3" w:rsidP="00A50DA3">
      <w:pPr>
        <w:pStyle w:val="ListParagraph"/>
        <w:numPr>
          <w:ilvl w:val="0"/>
          <w:numId w:val="4"/>
        </w:numPr>
        <w:ind w:right="45"/>
      </w:pPr>
      <w:r w:rsidRPr="00944E7C">
        <w:t>small business</w:t>
      </w:r>
    </w:p>
    <w:p w:rsidR="00ED12CF" w:rsidRPr="00F20B31" w:rsidRDefault="00822AD3" w:rsidP="00F20B31">
      <w:r w:rsidRPr="00F20B31">
        <w:t>This portfolio has partnered with other jurisdictions to pursue the manufacturing reform work in the area of industrial chemicals. We have collaborated with Victoria and South Australia in the beef and dairy processing sectors. Other sectoral reforms including improvements to regulatory barriers are also being investigated through the COAG Energy Council and the COAG Industry and Skills Council.</w:t>
      </w:r>
    </w:p>
    <w:p w:rsidR="00E46BBC" w:rsidRPr="00F20B31" w:rsidRDefault="00822AD3" w:rsidP="00F20B31">
      <w:r w:rsidRPr="00F20B31">
        <w:t xml:space="preserve">At the 2014 Building Ministers’ Forum, ministers from all jurisdictions agreed to a number of building regulation reforms, including that future editions of the </w:t>
      </w:r>
      <w:hyperlink r:id="rId20">
        <w:r w:rsidRPr="00F20B31">
          <w:rPr>
            <w:rStyle w:val="Hyperlink"/>
          </w:rPr>
          <w:t>National Construction Code</w:t>
        </w:r>
      </w:hyperlink>
      <w:r w:rsidRPr="00F20B31">
        <w:t xml:space="preserve"> become available free of charge online, from 1 February 2015. This commitment will have a significant effect on reducing red tape for industry, improving the usability of the National Construction Code and ensuring that Australia continues to maintain high standards in the building and construction industry. While this not</w:t>
      </w:r>
      <w:r w:rsidR="00896123">
        <w:t xml:space="preserve"> </w:t>
      </w:r>
      <w:r w:rsidRPr="00F20B31">
        <w:t>a Commonwealth regulation, it is a case in point of how we have been working closely with our interstate colleagues to achieve reforms.</w:t>
      </w:r>
    </w:p>
    <w:p w:rsidR="00E46BBC" w:rsidRPr="00F20B31" w:rsidRDefault="00822AD3" w:rsidP="00F20B31">
      <w:r w:rsidRPr="00F20B31">
        <w:t>We have also streamlined the Greenhouse and Energy Minimum Standards legislation administrative processes and allowed the voluntary marking of Mark VI on External Power Supplies products. This will not only save Australian businesses time and money, but also aligns Australian requirements to international technological developments and standards.</w:t>
      </w:r>
    </w:p>
    <w:p w:rsidR="00FF2998" w:rsidRDefault="00822AD3" w:rsidP="00F20B31">
      <w:r w:rsidRPr="00F20B31">
        <w:t>At the COAG Industry and Skills Council in September 2014, ministers agreed to new regulatory standards for training providers and regulators. These standards are an important step towards an effective risk-based regulatory system. This system encourages policy makers and regulators to move away from prescriptive rules, and better respond to poor quality providers.</w:t>
      </w:r>
    </w:p>
    <w:p w:rsidR="00FF2998" w:rsidRDefault="00FF2998">
      <w:pPr>
        <w:spacing w:before="0" w:after="0" w:line="240" w:lineRule="auto"/>
      </w:pPr>
      <w:r>
        <w:br w:type="page"/>
      </w:r>
    </w:p>
    <w:p w:rsidR="00E46BBC" w:rsidRDefault="00822AD3" w:rsidP="00A50DA3">
      <w:pPr>
        <w:pStyle w:val="Heading3"/>
      </w:pPr>
      <w:bookmarkStart w:id="66" w:name="_TOC_250007"/>
      <w:bookmarkStart w:id="67" w:name="_Toc414449245"/>
      <w:bookmarkStart w:id="68" w:name="_Toc414449421"/>
      <w:r>
        <w:rPr>
          <w:spacing w:val="-3"/>
          <w:w w:val="110"/>
        </w:rPr>
        <w:lastRenderedPageBreak/>
        <w:t>Cr</w:t>
      </w:r>
      <w:r>
        <w:rPr>
          <w:w w:val="110"/>
        </w:rPr>
        <w:t>oss</w:t>
      </w:r>
      <w:r>
        <w:rPr>
          <w:spacing w:val="-22"/>
          <w:w w:val="110"/>
        </w:rPr>
        <w:t xml:space="preserve"> </w:t>
      </w:r>
      <w:r>
        <w:rPr>
          <w:spacing w:val="-1"/>
          <w:w w:val="110"/>
        </w:rPr>
        <w:t>portf</w:t>
      </w:r>
      <w:r>
        <w:rPr>
          <w:w w:val="110"/>
        </w:rPr>
        <w:t>olio</w:t>
      </w:r>
      <w:r>
        <w:rPr>
          <w:spacing w:val="-22"/>
          <w:w w:val="110"/>
        </w:rPr>
        <w:t xml:space="preserve"> </w:t>
      </w:r>
      <w:r>
        <w:rPr>
          <w:w w:val="110"/>
        </w:rPr>
        <w:t>r</w:t>
      </w:r>
      <w:r>
        <w:rPr>
          <w:spacing w:val="-3"/>
          <w:w w:val="110"/>
        </w:rPr>
        <w:t>ef</w:t>
      </w:r>
      <w:r>
        <w:rPr>
          <w:w w:val="110"/>
        </w:rPr>
        <w:t>orms</w:t>
      </w:r>
      <w:bookmarkEnd w:id="66"/>
      <w:bookmarkEnd w:id="67"/>
      <w:bookmarkEnd w:id="68"/>
    </w:p>
    <w:p w:rsidR="00E46BBC" w:rsidRPr="00F20B31" w:rsidRDefault="00822AD3" w:rsidP="00F20B31">
      <w:r w:rsidRPr="00F20B31">
        <w:t>We are also working with our colleagues across the Government to eliminate regulatory overlap and identify opportunities for reform.</w:t>
      </w:r>
    </w:p>
    <w:p w:rsidR="00E46BBC" w:rsidRDefault="00822AD3" w:rsidP="00F20B31">
      <w:r w:rsidRPr="00F20B31">
        <w:t>During 2013-14, the Department of Industry, together with the Department of the Environment</w:t>
      </w:r>
      <w:r w:rsidR="00A942E6">
        <w:t xml:space="preserve"> </w:t>
      </w:r>
      <w:r w:rsidRPr="00F20B31">
        <w:t>and NOPSEMA, conducted a strategic assessment of the offshore petroleum and greenhouse gas storage environmental management authorisation process. On 28 February 2014, the Minister for the Environment and the Minister for Industry announced that NOPSEMA would be the sole, designated assessor for environmental approvals within its jurisdiction (see case study on page 5 for more detail).</w:t>
      </w:r>
    </w:p>
    <w:p w:rsidR="000908D2" w:rsidRDefault="000908D2" w:rsidP="00A50DA3">
      <w:pPr>
        <w:pStyle w:val="Heading3"/>
      </w:pPr>
      <w:bookmarkStart w:id="69" w:name="_Toc414449246"/>
      <w:bookmarkStart w:id="70" w:name="_Toc414449422"/>
      <w:r>
        <w:t>Case Study – Tasmanian Major Projects Approval Agency</w:t>
      </w:r>
      <w:bookmarkEnd w:id="69"/>
      <w:bookmarkEnd w:id="70"/>
    </w:p>
    <w:p w:rsidR="000908D2" w:rsidRDefault="000908D2" w:rsidP="000908D2">
      <w:r>
        <w:t>The Tasmanian Major Projects Approval Agency (the Agency) is a case in point of how the Government is crossing borders and working closely with jurisdictions by working with the Tasmanian Government to create a single entry point into Commonwealth approval processes. The Agency was established on 1 July 2014 and allows companies undertaking major projects to be aware of their regulatory and compliance obligations and approval pathways. The Agency ensures that significant investment is not delayed because of unclear or unknown requirements. The Agency works closely with Commonwealth regulators, in collaboration with the Tasmanian Government’s Office of the Coordinator-General and with Tasmanian regulators. It also provides feedback to regulators and policy developers on inefficiencies and duplication in the approval process.</w:t>
      </w:r>
    </w:p>
    <w:p w:rsidR="000908D2" w:rsidRDefault="000908D2">
      <w:pPr>
        <w:spacing w:before="0" w:line="240" w:lineRule="auto"/>
      </w:pPr>
      <w:r>
        <w:br w:type="page"/>
      </w:r>
    </w:p>
    <w:p w:rsidR="00E46BBC" w:rsidRPr="00915F01" w:rsidRDefault="00822AD3" w:rsidP="00A50DA3">
      <w:pPr>
        <w:pStyle w:val="Heading2"/>
      </w:pPr>
      <w:bookmarkStart w:id="71" w:name="_TOC_250006"/>
      <w:bookmarkStart w:id="72" w:name="_Toc414449047"/>
      <w:bookmarkStart w:id="73" w:name="_Toc414449104"/>
      <w:bookmarkStart w:id="74" w:name="_Toc414449247"/>
      <w:bookmarkStart w:id="75" w:name="_Toc414449423"/>
      <w:r w:rsidRPr="00915F01">
        <w:rPr>
          <w:spacing w:val="-3"/>
          <w:w w:val="105"/>
        </w:rPr>
        <w:lastRenderedPageBreak/>
        <w:t>E</w:t>
      </w:r>
      <w:r w:rsidRPr="00915F01">
        <w:rPr>
          <w:w w:val="105"/>
        </w:rPr>
        <w:t>nco</w:t>
      </w:r>
      <w:r w:rsidRPr="00915F01">
        <w:rPr>
          <w:spacing w:val="-3"/>
          <w:w w:val="105"/>
        </w:rPr>
        <w:t>ur</w:t>
      </w:r>
      <w:r w:rsidRPr="00915F01">
        <w:rPr>
          <w:w w:val="105"/>
        </w:rPr>
        <w:t>aging</w:t>
      </w:r>
      <w:r w:rsidRPr="00915F01">
        <w:rPr>
          <w:spacing w:val="-38"/>
          <w:w w:val="105"/>
        </w:rPr>
        <w:t xml:space="preserve"> </w:t>
      </w:r>
      <w:r w:rsidRPr="00915F01">
        <w:rPr>
          <w:spacing w:val="-3"/>
          <w:w w:val="105"/>
        </w:rPr>
        <w:t>innov</w:t>
      </w:r>
      <w:r w:rsidRPr="00915F01">
        <w:rPr>
          <w:w w:val="105"/>
        </w:rPr>
        <w:t>ation</w:t>
      </w:r>
      <w:bookmarkEnd w:id="71"/>
      <w:bookmarkEnd w:id="72"/>
      <w:bookmarkEnd w:id="73"/>
      <w:bookmarkEnd w:id="74"/>
      <w:bookmarkEnd w:id="75"/>
    </w:p>
    <w:p w:rsidR="00E46BBC" w:rsidRDefault="00822AD3" w:rsidP="00F20B31">
      <w:pPr>
        <w:ind w:right="45"/>
      </w:pPr>
      <w:r>
        <w:t>In</w:t>
      </w:r>
      <w:r>
        <w:rPr>
          <w:spacing w:val="-24"/>
        </w:rPr>
        <w:t xml:space="preserve"> </w:t>
      </w:r>
      <w:r>
        <w:rPr>
          <w:spacing w:val="-2"/>
        </w:rPr>
        <w:t>accordanc</w:t>
      </w:r>
      <w:r>
        <w:rPr>
          <w:spacing w:val="-3"/>
        </w:rPr>
        <w:t>e</w:t>
      </w:r>
      <w:r>
        <w:rPr>
          <w:spacing w:val="-24"/>
        </w:rPr>
        <w:t xml:space="preserve"> </w:t>
      </w:r>
      <w:r>
        <w:t>with</w:t>
      </w:r>
      <w:r>
        <w:rPr>
          <w:spacing w:val="-23"/>
        </w:rPr>
        <w:t xml:space="preserve"> </w:t>
      </w:r>
      <w:r>
        <w:t>the</w:t>
      </w:r>
      <w:r>
        <w:rPr>
          <w:spacing w:val="-24"/>
        </w:rPr>
        <w:t xml:space="preserve"> </w:t>
      </w:r>
      <w:r>
        <w:rPr>
          <w:spacing w:val="-2"/>
        </w:rPr>
        <w:t>Government’</w:t>
      </w:r>
      <w:r>
        <w:rPr>
          <w:spacing w:val="-3"/>
        </w:rPr>
        <w:t>s</w:t>
      </w:r>
      <w:r>
        <w:rPr>
          <w:spacing w:val="-24"/>
        </w:rPr>
        <w:t xml:space="preserve"> </w:t>
      </w:r>
      <w:r>
        <w:t>broader</w:t>
      </w:r>
      <w:r>
        <w:rPr>
          <w:spacing w:val="-24"/>
        </w:rPr>
        <w:t xml:space="preserve"> </w:t>
      </w:r>
      <w:r>
        <w:t>economic</w:t>
      </w:r>
      <w:r>
        <w:rPr>
          <w:spacing w:val="-23"/>
        </w:rPr>
        <w:t xml:space="preserve"> </w:t>
      </w:r>
      <w:r>
        <w:rPr>
          <w:spacing w:val="-2"/>
        </w:rPr>
        <w:t>framew</w:t>
      </w:r>
      <w:r>
        <w:rPr>
          <w:spacing w:val="-3"/>
        </w:rPr>
        <w:t>ork,</w:t>
      </w:r>
      <w:r>
        <w:rPr>
          <w:spacing w:val="-24"/>
        </w:rPr>
        <w:t xml:space="preserve"> </w:t>
      </w:r>
      <w:r>
        <w:t>set</w:t>
      </w:r>
      <w:r>
        <w:rPr>
          <w:spacing w:val="-24"/>
        </w:rPr>
        <w:t xml:space="preserve"> </w:t>
      </w:r>
      <w:r>
        <w:t>out</w:t>
      </w:r>
      <w:r>
        <w:rPr>
          <w:spacing w:val="-23"/>
        </w:rPr>
        <w:t xml:space="preserve"> </w:t>
      </w:r>
      <w:r>
        <w:t>in</w:t>
      </w:r>
      <w:r>
        <w:rPr>
          <w:spacing w:val="-24"/>
        </w:rPr>
        <w:t xml:space="preserve"> </w:t>
      </w:r>
      <w:r>
        <w:t>the</w:t>
      </w:r>
      <w:r>
        <w:rPr>
          <w:spacing w:val="-24"/>
        </w:rPr>
        <w:t xml:space="preserve"> </w:t>
      </w:r>
      <w:r w:rsidRPr="00790E6A">
        <w:rPr>
          <w:i/>
          <w:spacing w:val="-4"/>
        </w:rPr>
        <w:t>Economic Action Strategy</w:t>
      </w:r>
      <w:r>
        <w:rPr>
          <w:rFonts w:ascii="Century Gothic" w:eastAsia="Century Gothic" w:hAnsi="Century Gothic" w:cs="Century Gothic"/>
          <w:i/>
          <w:spacing w:val="-15"/>
          <w:w w:val="95"/>
        </w:rPr>
        <w:t xml:space="preserve"> </w:t>
      </w:r>
      <w:r w:rsidRPr="00790E6A">
        <w:t>and the recently released</w:t>
      </w:r>
      <w:r>
        <w:rPr>
          <w:spacing w:val="-20"/>
          <w:w w:val="95"/>
        </w:rPr>
        <w:t xml:space="preserve"> </w:t>
      </w:r>
      <w:r w:rsidRPr="00790E6A">
        <w:rPr>
          <w:i/>
          <w:spacing w:val="-4"/>
        </w:rPr>
        <w:t>Industry Innovation and Competitiveness Agenda</w:t>
      </w:r>
      <w:r>
        <w:rPr>
          <w:spacing w:val="-2"/>
          <w:w w:val="95"/>
        </w:rPr>
        <w:t>,</w:t>
      </w:r>
      <w:r w:rsidR="00790E6A">
        <w:rPr>
          <w:spacing w:val="-2"/>
          <w:w w:val="95"/>
        </w:rPr>
        <w:t xml:space="preserve"> </w:t>
      </w:r>
      <w:r w:rsidRPr="00790E6A">
        <w:t>the Industry and</w:t>
      </w:r>
      <w:r w:rsidR="00790E6A">
        <w:rPr>
          <w:spacing w:val="77"/>
        </w:rPr>
        <w:t xml:space="preserve"> </w:t>
      </w:r>
      <w:r>
        <w:t>Science</w:t>
      </w:r>
      <w:r>
        <w:rPr>
          <w:spacing w:val="-10"/>
        </w:rPr>
        <w:t xml:space="preserve"> </w:t>
      </w:r>
      <w:r>
        <w:t>Portfolio</w:t>
      </w:r>
      <w:r>
        <w:rPr>
          <w:spacing w:val="-10"/>
        </w:rPr>
        <w:t xml:space="preserve"> </w:t>
      </w:r>
      <w:r>
        <w:t>is</w:t>
      </w:r>
      <w:r>
        <w:rPr>
          <w:spacing w:val="-9"/>
        </w:rPr>
        <w:t xml:space="preserve"> </w:t>
      </w:r>
      <w:r>
        <w:t>focusing</w:t>
      </w:r>
      <w:r>
        <w:rPr>
          <w:spacing w:val="-10"/>
        </w:rPr>
        <w:t xml:space="preserve"> </w:t>
      </w:r>
      <w:r>
        <w:t>on</w:t>
      </w:r>
      <w:r>
        <w:rPr>
          <w:spacing w:val="-9"/>
        </w:rPr>
        <w:t xml:space="preserve"> </w:t>
      </w:r>
      <w:r>
        <w:rPr>
          <w:spacing w:val="-2"/>
        </w:rPr>
        <w:t>providing</w:t>
      </w:r>
      <w:r>
        <w:rPr>
          <w:spacing w:val="-10"/>
        </w:rPr>
        <w:t xml:space="preserve"> </w:t>
      </w:r>
      <w:r>
        <w:t>the</w:t>
      </w:r>
      <w:r>
        <w:rPr>
          <w:spacing w:val="-9"/>
        </w:rPr>
        <w:t xml:space="preserve"> </w:t>
      </w:r>
      <w:r>
        <w:t>right</w:t>
      </w:r>
      <w:r>
        <w:rPr>
          <w:spacing w:val="-10"/>
        </w:rPr>
        <w:t xml:space="preserve"> </w:t>
      </w:r>
      <w:r>
        <w:t>economic</w:t>
      </w:r>
      <w:r>
        <w:rPr>
          <w:spacing w:val="-9"/>
        </w:rPr>
        <w:t xml:space="preserve"> </w:t>
      </w:r>
      <w:r>
        <w:t>incentives</w:t>
      </w:r>
      <w:r>
        <w:rPr>
          <w:spacing w:val="-10"/>
        </w:rPr>
        <w:t xml:space="preserve"> </w:t>
      </w:r>
      <w:r>
        <w:rPr>
          <w:spacing w:val="-2"/>
        </w:rPr>
        <w:t>to</w:t>
      </w:r>
      <w:r>
        <w:rPr>
          <w:spacing w:val="-9"/>
        </w:rPr>
        <w:t xml:space="preserve"> </w:t>
      </w:r>
      <w:r>
        <w:t>enable</w:t>
      </w:r>
      <w:r>
        <w:rPr>
          <w:spacing w:val="-10"/>
        </w:rPr>
        <w:t xml:space="preserve"> </w:t>
      </w:r>
      <w:r>
        <w:t>busines</w:t>
      </w:r>
      <w:r>
        <w:rPr>
          <w:spacing w:val="-2"/>
        </w:rPr>
        <w:t>ses,</w:t>
      </w:r>
      <w:r>
        <w:rPr>
          <w:spacing w:val="-9"/>
        </w:rPr>
        <w:t xml:space="preserve"> </w:t>
      </w:r>
      <w:r>
        <w:t>large</w:t>
      </w:r>
      <w:r>
        <w:rPr>
          <w:spacing w:val="-10"/>
        </w:rPr>
        <w:t xml:space="preserve"> </w:t>
      </w:r>
      <w:r>
        <w:t>and</w:t>
      </w:r>
      <w:r w:rsidR="00790E6A">
        <w:rPr>
          <w:spacing w:val="89"/>
        </w:rPr>
        <w:t xml:space="preserve"> </w:t>
      </w:r>
      <w:r>
        <w:t>small,</w:t>
      </w:r>
      <w:r>
        <w:rPr>
          <w:spacing w:val="-17"/>
        </w:rPr>
        <w:t xml:space="preserve"> </w:t>
      </w:r>
      <w:r>
        <w:rPr>
          <w:spacing w:val="-2"/>
        </w:rPr>
        <w:t>to</w:t>
      </w:r>
      <w:r>
        <w:rPr>
          <w:spacing w:val="-16"/>
        </w:rPr>
        <w:t xml:space="preserve"> </w:t>
      </w:r>
      <w:r>
        <w:rPr>
          <w:spacing w:val="-2"/>
        </w:rPr>
        <w:t>cr</w:t>
      </w:r>
      <w:r>
        <w:rPr>
          <w:spacing w:val="-3"/>
        </w:rPr>
        <w:t>ea</w:t>
      </w:r>
      <w:r>
        <w:rPr>
          <w:spacing w:val="-2"/>
        </w:rPr>
        <w:t>t</w:t>
      </w:r>
      <w:r>
        <w:rPr>
          <w:spacing w:val="-3"/>
        </w:rPr>
        <w:t>e</w:t>
      </w:r>
      <w:r>
        <w:rPr>
          <w:spacing w:val="-17"/>
        </w:rPr>
        <w:t xml:space="preserve"> </w:t>
      </w:r>
      <w:r>
        <w:t>jobs</w:t>
      </w:r>
      <w:r>
        <w:rPr>
          <w:spacing w:val="-16"/>
        </w:rPr>
        <w:t xml:space="preserve"> </w:t>
      </w:r>
      <w:r>
        <w:t>in</w:t>
      </w:r>
      <w:r>
        <w:rPr>
          <w:spacing w:val="-17"/>
        </w:rPr>
        <w:t xml:space="preserve"> </w:t>
      </w:r>
      <w:r>
        <w:t>Austr</w:t>
      </w:r>
      <w:r>
        <w:rPr>
          <w:spacing w:val="-2"/>
        </w:rPr>
        <w:t>alia.</w:t>
      </w:r>
    </w:p>
    <w:p w:rsidR="00E46BBC" w:rsidRPr="00F20B31" w:rsidRDefault="00822AD3" w:rsidP="00F20B31">
      <w:r w:rsidRPr="00F20B31">
        <w:t>The portfolio is doing this through:</w:t>
      </w:r>
    </w:p>
    <w:p w:rsidR="00E46BBC" w:rsidRPr="000C1CD3" w:rsidRDefault="00822AD3" w:rsidP="00A50DA3">
      <w:pPr>
        <w:pStyle w:val="ListParagraph"/>
        <w:numPr>
          <w:ilvl w:val="0"/>
          <w:numId w:val="5"/>
        </w:numPr>
        <w:ind w:right="45"/>
      </w:pPr>
      <w:r w:rsidRPr="000C1CD3">
        <w:t>reducing the burden of regulation</w:t>
      </w:r>
    </w:p>
    <w:p w:rsidR="00E46BBC" w:rsidRDefault="000C1CD3" w:rsidP="00A50DA3">
      <w:pPr>
        <w:pStyle w:val="ListParagraph"/>
        <w:numPr>
          <w:ilvl w:val="0"/>
          <w:numId w:val="5"/>
        </w:numPr>
        <w:ind w:right="45"/>
      </w:pPr>
      <w:r w:rsidRPr="000908D2">
        <w:rPr>
          <w:spacing w:val="-1"/>
        </w:rPr>
        <w:t>focu</w:t>
      </w:r>
      <w:r w:rsidR="001420B4" w:rsidRPr="000908D2">
        <w:rPr>
          <w:spacing w:val="-1"/>
        </w:rPr>
        <w:t>s</w:t>
      </w:r>
      <w:r w:rsidRPr="000908D2">
        <w:rPr>
          <w:spacing w:val="-2"/>
        </w:rPr>
        <w:t>ing</w:t>
      </w:r>
      <w:r w:rsidR="00822AD3" w:rsidRPr="000908D2">
        <w:rPr>
          <w:spacing w:val="-28"/>
        </w:rPr>
        <w:t xml:space="preserve"> </w:t>
      </w:r>
      <w:r w:rsidR="00822AD3">
        <w:t>on</w:t>
      </w:r>
      <w:r w:rsidR="00822AD3" w:rsidRPr="000908D2">
        <w:rPr>
          <w:spacing w:val="-28"/>
        </w:rPr>
        <w:t xml:space="preserve"> </w:t>
      </w:r>
      <w:r w:rsidR="00822AD3" w:rsidRPr="000908D2">
        <w:rPr>
          <w:spacing w:val="-2"/>
        </w:rPr>
        <w:t>A</w:t>
      </w:r>
      <w:r w:rsidR="00822AD3">
        <w:t>ustralia’s</w:t>
      </w:r>
      <w:r w:rsidR="00822AD3" w:rsidRPr="000908D2">
        <w:rPr>
          <w:spacing w:val="-27"/>
        </w:rPr>
        <w:t xml:space="preserve"> </w:t>
      </w:r>
      <w:r w:rsidR="00822AD3" w:rsidRPr="000908D2">
        <w:rPr>
          <w:spacing w:val="-2"/>
        </w:rPr>
        <w:t>c</w:t>
      </w:r>
      <w:r w:rsidR="00822AD3">
        <w:t>ompara</w:t>
      </w:r>
      <w:r w:rsidR="00822AD3" w:rsidRPr="000908D2">
        <w:rPr>
          <w:spacing w:val="-2"/>
        </w:rPr>
        <w:t>tiv</w:t>
      </w:r>
      <w:r w:rsidR="00822AD3">
        <w:t>e</w:t>
      </w:r>
      <w:r w:rsidR="00822AD3" w:rsidRPr="000908D2">
        <w:rPr>
          <w:spacing w:val="-28"/>
        </w:rPr>
        <w:t xml:space="preserve"> </w:t>
      </w:r>
      <w:r w:rsidR="00822AD3" w:rsidRPr="000908D2">
        <w:rPr>
          <w:spacing w:val="-1"/>
        </w:rPr>
        <w:t>adv</w:t>
      </w:r>
      <w:r w:rsidR="00822AD3" w:rsidRPr="000908D2">
        <w:rPr>
          <w:spacing w:val="-2"/>
        </w:rPr>
        <w:t>an</w:t>
      </w:r>
      <w:r w:rsidR="00822AD3" w:rsidRPr="000908D2">
        <w:rPr>
          <w:spacing w:val="-1"/>
        </w:rPr>
        <w:t>tage</w:t>
      </w:r>
    </w:p>
    <w:p w:rsidR="00E46BBC" w:rsidRPr="000908D2" w:rsidRDefault="00822AD3" w:rsidP="00A50DA3">
      <w:pPr>
        <w:pStyle w:val="ListParagraph"/>
        <w:numPr>
          <w:ilvl w:val="0"/>
          <w:numId w:val="5"/>
        </w:numPr>
        <w:ind w:right="45"/>
        <w:rPr>
          <w:szCs w:val="18"/>
        </w:rPr>
      </w:pPr>
      <w:r>
        <w:t>cr</w:t>
      </w:r>
      <w:r w:rsidRPr="000908D2">
        <w:rPr>
          <w:spacing w:val="-2"/>
        </w:rPr>
        <w:t>ea</w:t>
      </w:r>
      <w:r>
        <w:t>ting</w:t>
      </w:r>
      <w:r w:rsidRPr="000908D2">
        <w:rPr>
          <w:spacing w:val="-32"/>
        </w:rPr>
        <w:t xml:space="preserve"> </w:t>
      </w:r>
      <w:r>
        <w:t>competitiv</w:t>
      </w:r>
      <w:r w:rsidRPr="000908D2">
        <w:rPr>
          <w:spacing w:val="-2"/>
        </w:rPr>
        <w:t>e</w:t>
      </w:r>
      <w:r w:rsidRPr="000908D2">
        <w:rPr>
          <w:spacing w:val="-32"/>
        </w:rPr>
        <w:t xml:space="preserve"> </w:t>
      </w:r>
      <w:r w:rsidRPr="000908D2">
        <w:rPr>
          <w:spacing w:val="-2"/>
        </w:rPr>
        <w:t>marke</w:t>
      </w:r>
      <w:r>
        <w:t>ts</w:t>
      </w:r>
    </w:p>
    <w:p w:rsidR="00E46BBC" w:rsidRPr="000908D2" w:rsidRDefault="00822AD3" w:rsidP="00A50DA3">
      <w:pPr>
        <w:pStyle w:val="ListParagraph"/>
        <w:numPr>
          <w:ilvl w:val="0"/>
          <w:numId w:val="5"/>
        </w:numPr>
        <w:ind w:right="45"/>
        <w:rPr>
          <w:szCs w:val="18"/>
        </w:rPr>
      </w:pPr>
      <w:r>
        <w:t>bett</w:t>
      </w:r>
      <w:r w:rsidRPr="000908D2">
        <w:rPr>
          <w:spacing w:val="-2"/>
        </w:rPr>
        <w:t>er</w:t>
      </w:r>
      <w:r w:rsidRPr="000908D2">
        <w:rPr>
          <w:spacing w:val="-35"/>
        </w:rPr>
        <w:t xml:space="preserve"> </w:t>
      </w:r>
      <w:r>
        <w:t>economic</w:t>
      </w:r>
      <w:r w:rsidRPr="000908D2">
        <w:rPr>
          <w:spacing w:val="-34"/>
        </w:rPr>
        <w:t xml:space="preserve"> </w:t>
      </w:r>
      <w:r w:rsidRPr="000908D2">
        <w:rPr>
          <w:spacing w:val="-2"/>
        </w:rPr>
        <w:t>infras</w:t>
      </w:r>
      <w:r>
        <w:t>truc</w:t>
      </w:r>
      <w:r w:rsidRPr="000908D2">
        <w:rPr>
          <w:spacing w:val="-2"/>
        </w:rPr>
        <w:t>ture</w:t>
      </w:r>
    </w:p>
    <w:p w:rsidR="00E46BBC" w:rsidRPr="000908D2" w:rsidRDefault="00822AD3" w:rsidP="00A50DA3">
      <w:pPr>
        <w:pStyle w:val="ListParagraph"/>
        <w:numPr>
          <w:ilvl w:val="0"/>
          <w:numId w:val="5"/>
        </w:numPr>
        <w:ind w:right="45"/>
        <w:rPr>
          <w:szCs w:val="18"/>
        </w:rPr>
      </w:pPr>
      <w:r>
        <w:t>indus</w:t>
      </w:r>
      <w:r w:rsidRPr="000908D2">
        <w:rPr>
          <w:spacing w:val="-1"/>
        </w:rPr>
        <w:t>try</w:t>
      </w:r>
      <w:r w:rsidRPr="000908D2">
        <w:rPr>
          <w:spacing w:val="-28"/>
        </w:rPr>
        <w:t xml:space="preserve"> </w:t>
      </w:r>
      <w:r w:rsidRPr="000908D2">
        <w:rPr>
          <w:spacing w:val="-1"/>
        </w:rPr>
        <w:t>policy</w:t>
      </w:r>
      <w:r w:rsidRPr="000908D2">
        <w:rPr>
          <w:spacing w:val="-28"/>
        </w:rPr>
        <w:t xml:space="preserve"> </w:t>
      </w:r>
      <w:r>
        <w:t>tha</w:t>
      </w:r>
      <w:r w:rsidRPr="000908D2">
        <w:rPr>
          <w:spacing w:val="-1"/>
        </w:rPr>
        <w:t>t</w:t>
      </w:r>
      <w:r w:rsidRPr="000908D2">
        <w:rPr>
          <w:spacing w:val="-27"/>
        </w:rPr>
        <w:t xml:space="preserve"> </w:t>
      </w:r>
      <w:r w:rsidRPr="000908D2">
        <w:rPr>
          <w:spacing w:val="-3"/>
        </w:rPr>
        <w:t>fos</w:t>
      </w:r>
      <w:r>
        <w:t>t</w:t>
      </w:r>
      <w:r w:rsidRPr="000908D2">
        <w:rPr>
          <w:spacing w:val="-3"/>
        </w:rPr>
        <w:t>ers</w:t>
      </w:r>
      <w:r w:rsidRPr="000908D2">
        <w:rPr>
          <w:spacing w:val="-28"/>
        </w:rPr>
        <w:t xml:space="preserve"> </w:t>
      </w:r>
      <w:r w:rsidRPr="000908D2">
        <w:rPr>
          <w:spacing w:val="-3"/>
        </w:rPr>
        <w:t>inno</w:t>
      </w:r>
      <w:r>
        <w:t>v</w:t>
      </w:r>
      <w:r w:rsidRPr="000908D2">
        <w:rPr>
          <w:spacing w:val="-3"/>
        </w:rPr>
        <w:t>ation</w:t>
      </w:r>
      <w:r w:rsidRPr="000908D2">
        <w:rPr>
          <w:spacing w:val="-28"/>
        </w:rPr>
        <w:t xml:space="preserve"> </w:t>
      </w:r>
      <w:r>
        <w:t>and</w:t>
      </w:r>
      <w:r w:rsidRPr="000908D2">
        <w:rPr>
          <w:spacing w:val="-27"/>
        </w:rPr>
        <w:t xml:space="preserve"> </w:t>
      </w:r>
      <w:r>
        <w:t>en</w:t>
      </w:r>
      <w:r w:rsidRPr="000908D2">
        <w:rPr>
          <w:spacing w:val="-1"/>
        </w:rPr>
        <w:t>trepr</w:t>
      </w:r>
      <w:r>
        <w:t>eneurship</w:t>
      </w:r>
    </w:p>
    <w:p w:rsidR="00E46BBC" w:rsidRDefault="00822AD3" w:rsidP="00A50DA3">
      <w:pPr>
        <w:pStyle w:val="Heading3"/>
      </w:pPr>
      <w:bookmarkStart w:id="76" w:name="_TOC_250005"/>
      <w:bookmarkStart w:id="77" w:name="_Toc414449248"/>
      <w:bookmarkStart w:id="78" w:name="_Toc414449424"/>
      <w:r>
        <w:rPr>
          <w:spacing w:val="-1"/>
          <w:w w:val="105"/>
        </w:rPr>
        <w:t>Industry</w:t>
      </w:r>
      <w:r>
        <w:rPr>
          <w:spacing w:val="2"/>
          <w:w w:val="105"/>
        </w:rPr>
        <w:t xml:space="preserve"> </w:t>
      </w:r>
      <w:r>
        <w:rPr>
          <w:spacing w:val="-3"/>
          <w:w w:val="105"/>
        </w:rPr>
        <w:t>Gro</w:t>
      </w:r>
      <w:r>
        <w:rPr>
          <w:w w:val="105"/>
        </w:rPr>
        <w:t>wth</w:t>
      </w:r>
      <w:r>
        <w:rPr>
          <w:spacing w:val="3"/>
          <w:w w:val="105"/>
        </w:rPr>
        <w:t xml:space="preserve"> </w:t>
      </w:r>
      <w:r>
        <w:rPr>
          <w:spacing w:val="-3"/>
          <w:w w:val="105"/>
        </w:rPr>
        <w:t>C</w:t>
      </w:r>
      <w:r>
        <w:rPr>
          <w:w w:val="105"/>
        </w:rPr>
        <w:t>entres</w:t>
      </w:r>
      <w:bookmarkEnd w:id="76"/>
      <w:bookmarkEnd w:id="77"/>
      <w:bookmarkEnd w:id="78"/>
    </w:p>
    <w:p w:rsidR="00E46BBC" w:rsidRDefault="00822AD3" w:rsidP="00F20B31">
      <w:r w:rsidRPr="00F20B31">
        <w:t>On 14 October 2014, the Government announced the establishment of Industry Growth Centres (Growth Centres), as a key part of the Industry Innovation and Competitiveness Agenda. The initiative will initially focus</w:t>
      </w:r>
      <w:r w:rsidR="00944E7C" w:rsidRPr="00F20B31">
        <w:t xml:space="preserve"> </w:t>
      </w:r>
      <w:r w:rsidRPr="00F20B31">
        <w:t>on</w:t>
      </w:r>
      <w:r w:rsidR="00944E7C" w:rsidRPr="00F20B31">
        <w:t xml:space="preserve"> </w:t>
      </w:r>
      <w:r w:rsidRPr="00F20B31">
        <w:t>fi</w:t>
      </w:r>
      <w:r w:rsidR="00944E7C" w:rsidRPr="00F20B31">
        <w:t>v</w:t>
      </w:r>
      <w:r w:rsidRPr="00F20B31">
        <w:t>e growth sectors:</w:t>
      </w:r>
    </w:p>
    <w:p w:rsidR="000908D2" w:rsidRDefault="000908D2" w:rsidP="00A50DA3">
      <w:pPr>
        <w:pStyle w:val="ListParagraph"/>
        <w:numPr>
          <w:ilvl w:val="0"/>
          <w:numId w:val="8"/>
        </w:numPr>
      </w:pPr>
      <w:r>
        <w:t>Food and agribusiness</w:t>
      </w:r>
    </w:p>
    <w:p w:rsidR="000908D2" w:rsidRDefault="000908D2" w:rsidP="00A50DA3">
      <w:pPr>
        <w:pStyle w:val="ListParagraph"/>
        <w:numPr>
          <w:ilvl w:val="0"/>
          <w:numId w:val="8"/>
        </w:numPr>
      </w:pPr>
      <w:r>
        <w:t>Medical technologies and pharmaceuticals</w:t>
      </w:r>
    </w:p>
    <w:p w:rsidR="000908D2" w:rsidRDefault="000908D2" w:rsidP="00A50DA3">
      <w:pPr>
        <w:pStyle w:val="ListParagraph"/>
        <w:numPr>
          <w:ilvl w:val="0"/>
          <w:numId w:val="8"/>
        </w:numPr>
      </w:pPr>
      <w:r>
        <w:t>Advanced manufacturing</w:t>
      </w:r>
    </w:p>
    <w:p w:rsidR="000908D2" w:rsidRDefault="000908D2" w:rsidP="00A50DA3">
      <w:pPr>
        <w:pStyle w:val="ListParagraph"/>
        <w:numPr>
          <w:ilvl w:val="0"/>
          <w:numId w:val="8"/>
        </w:numPr>
      </w:pPr>
      <w:r>
        <w:t>Mining equipment, technology and services</w:t>
      </w:r>
    </w:p>
    <w:p w:rsidR="000908D2" w:rsidRDefault="000908D2" w:rsidP="00A50DA3">
      <w:pPr>
        <w:pStyle w:val="ListParagraph"/>
        <w:numPr>
          <w:ilvl w:val="0"/>
          <w:numId w:val="8"/>
        </w:numPr>
      </w:pPr>
      <w:r>
        <w:t>Oil, gas and energy resources</w:t>
      </w:r>
    </w:p>
    <w:p w:rsidR="00E46BBC" w:rsidRPr="00F20B31" w:rsidRDefault="00822AD3" w:rsidP="00F20B31">
      <w:r w:rsidRPr="00F20B31">
        <w:t>Growth Centres will encourage collaboration and the commercialisation of new products; enhance management and workforce skills; improve capabilities to engage with international markets and global supply chains; and identify opportunities to reduce regulatory burden. They will also have a key role in working with industry, governments, and other stakeholders to identify specific and practical reform opportunities leading to improved competitiveness and productivity. These opportunities and solutions</w:t>
      </w:r>
      <w:r w:rsidR="00896123">
        <w:t xml:space="preserve"> </w:t>
      </w:r>
      <w:r w:rsidRPr="00F20B31">
        <w:t>will be provided to the Government in the form of a Regulation Reform Plan within 12 months of the Growth Centre commencing approved operations. The department will be working closely with Growth Centres to support the development of these plans.</w:t>
      </w:r>
    </w:p>
    <w:p w:rsidR="00E46BBC" w:rsidRDefault="00822AD3" w:rsidP="00A50DA3">
      <w:pPr>
        <w:pStyle w:val="Heading3"/>
      </w:pPr>
      <w:bookmarkStart w:id="79" w:name="_TOC_250004"/>
      <w:bookmarkStart w:id="80" w:name="_Toc414449249"/>
      <w:bookmarkStart w:id="81" w:name="_Toc414449425"/>
      <w:r>
        <w:t>Impr</w:t>
      </w:r>
      <w:r>
        <w:rPr>
          <w:spacing w:val="-3"/>
        </w:rPr>
        <w:t>o</w:t>
      </w:r>
      <w:r>
        <w:t>ving</w:t>
      </w:r>
      <w:r>
        <w:rPr>
          <w:spacing w:val="17"/>
        </w:rPr>
        <w:t xml:space="preserve"> </w:t>
      </w:r>
      <w:r>
        <w:t>the</w:t>
      </w:r>
      <w:r>
        <w:rPr>
          <w:spacing w:val="17"/>
        </w:rPr>
        <w:t xml:space="preserve"> </w:t>
      </w:r>
      <w:r>
        <w:rPr>
          <w:spacing w:val="-4"/>
        </w:rPr>
        <w:t>w</w:t>
      </w:r>
      <w:r>
        <w:rPr>
          <w:spacing w:val="-5"/>
        </w:rPr>
        <w:t>a</w:t>
      </w:r>
      <w:r>
        <w:rPr>
          <w:spacing w:val="-4"/>
        </w:rPr>
        <w:t>y</w:t>
      </w:r>
      <w:r>
        <w:rPr>
          <w:spacing w:val="17"/>
        </w:rPr>
        <w:t xml:space="preserve"> </w:t>
      </w:r>
      <w:r>
        <w:rPr>
          <w:spacing w:val="-3"/>
        </w:rPr>
        <w:t>you</w:t>
      </w:r>
      <w:r>
        <w:rPr>
          <w:spacing w:val="17"/>
        </w:rPr>
        <w:t xml:space="preserve"> </w:t>
      </w:r>
      <w:r>
        <w:t>c</w:t>
      </w:r>
      <w:r>
        <w:rPr>
          <w:spacing w:val="-1"/>
        </w:rPr>
        <w:t>onnect</w:t>
      </w:r>
      <w:r>
        <w:rPr>
          <w:spacing w:val="17"/>
        </w:rPr>
        <w:t xml:space="preserve"> </w:t>
      </w:r>
      <w:r>
        <w:t>with</w:t>
      </w:r>
      <w:r>
        <w:rPr>
          <w:spacing w:val="17"/>
        </w:rPr>
        <w:t xml:space="preserve"> </w:t>
      </w:r>
      <w:r>
        <w:rPr>
          <w:spacing w:val="-3"/>
        </w:rPr>
        <w:t>go</w:t>
      </w:r>
      <w:r>
        <w:t>vernment</w:t>
      </w:r>
      <w:bookmarkEnd w:id="79"/>
      <w:bookmarkEnd w:id="80"/>
      <w:bookmarkEnd w:id="81"/>
    </w:p>
    <w:p w:rsidR="00E46BBC" w:rsidRPr="00F20B31" w:rsidRDefault="00822AD3" w:rsidP="00F20B31">
      <w:r w:rsidRPr="00F20B31">
        <w:t>The Government has also taken significant steps to overhaul its approach to industry assistance, focusing on the way business connects with government and the services that government offers businesses.</w:t>
      </w:r>
    </w:p>
    <w:p w:rsidR="00E46BBC" w:rsidRPr="00F20B31" w:rsidRDefault="00822AD3" w:rsidP="00F20B31">
      <w:r w:rsidRPr="00F20B31">
        <w:t>The department is working to streamline access to essential information for all Australian</w:t>
      </w:r>
      <w:r w:rsidR="00896123">
        <w:t xml:space="preserve"> </w:t>
      </w:r>
      <w:r w:rsidRPr="00F20B31">
        <w:t>businesses, instead of generating a myriad of services and access points. Delivered through an improved business.gov.au website and hotline, the new Single Business Service enables businesses of all sizes</w:t>
      </w:r>
      <w:r w:rsidR="00896123">
        <w:t xml:space="preserve"> </w:t>
      </w:r>
      <w:r w:rsidRPr="00F20B31">
        <w:t>to efficiently find the information and services they require. This includes information on regulations in Australia and overseas, information about market opportunities flowing from free trade agreements and insights into business improvement strategies.</w:t>
      </w:r>
    </w:p>
    <w:p w:rsidR="00E46BBC" w:rsidRPr="00F20B31" w:rsidRDefault="00822AD3" w:rsidP="00F20B31">
      <w:r w:rsidRPr="00F20B31">
        <w:t>To improve communication with patent applicants, IP Australia has recently replaced hard copy correspondence with electronic correspondence for web based eServices and B2B customers.</w:t>
      </w:r>
      <w:r w:rsidR="00A942E6">
        <w:rPr>
          <w:rStyle w:val="FootnoteReference"/>
        </w:rPr>
        <w:footnoteReference w:id="10"/>
      </w:r>
      <w:r w:rsidR="00896123">
        <w:t xml:space="preserve"> </w:t>
      </w:r>
      <w:r w:rsidRPr="00F20B31">
        <w:t>This will make it easier and quicker for applicants to deal with IP Australia and enables the automation and simplification of business processes.</w:t>
      </w:r>
    </w:p>
    <w:p w:rsidR="00E46BBC" w:rsidRPr="00F20B31" w:rsidRDefault="00822AD3" w:rsidP="00F20B31">
      <w:r w:rsidRPr="00F20B31">
        <w:t>To ease the burden of doing business with government, the department has implemented standard</w:t>
      </w:r>
      <w:r w:rsidR="00896123">
        <w:t xml:space="preserve"> whole</w:t>
      </w:r>
      <w:r w:rsidR="00896123">
        <w:noBreakHyphen/>
        <w:t>of</w:t>
      </w:r>
      <w:r w:rsidR="00896123">
        <w:noBreakHyphen/>
      </w:r>
      <w:r w:rsidRPr="00F20B31">
        <w:t>government procurement contracts under the Commonwealth’s Contracting Suite, where feasible. These standard contracts help streamline supplier engagement across the Government.</w:t>
      </w:r>
    </w:p>
    <w:p w:rsidR="00E46BBC" w:rsidRPr="00F20B31" w:rsidRDefault="00822AD3" w:rsidP="00F20B31">
      <w:r w:rsidRPr="00F20B31">
        <w:t xml:space="preserve">In cases where the standard contracts actually increase the burden, the department listens and responds to suppliers to make it easier. For example, at times the department contracts with fabrication suppliers, which are usually small businesses. On a case-by-case basis, and at the request of fabricators, the department agrees to use a simple purchase </w:t>
      </w:r>
      <w:r w:rsidRPr="00F20B31">
        <w:lastRenderedPageBreak/>
        <w:t>order instead of the standard contract. This reduces the cost to these businesses to contract with the department as the purchase order terms are less complex and are more readily understood by this type of supplier.</w:t>
      </w:r>
    </w:p>
    <w:p w:rsidR="00E46BBC" w:rsidRPr="00F20B31" w:rsidRDefault="00822AD3" w:rsidP="00F20B31">
      <w:r w:rsidRPr="00F20B31">
        <w:t>There are instances where procuring services such as design and construction services for equipment of a scientific nature require a specialist contract. To reduce the cost of negotiation on both suppliers and the department, we engaged an experienced law firm to produce contract templates for these specialist procurements. These are readily understood by business and reduce contract negotiation costs.</w:t>
      </w:r>
    </w:p>
    <w:p w:rsidR="00E46BBC" w:rsidRDefault="00822AD3" w:rsidP="00A50DA3">
      <w:pPr>
        <w:pStyle w:val="Heading3"/>
      </w:pPr>
      <w:bookmarkStart w:id="82" w:name="_TOC_250003"/>
      <w:bookmarkStart w:id="83" w:name="_Toc414449250"/>
      <w:bookmarkStart w:id="84" w:name="_Toc414449426"/>
      <w:r>
        <w:rPr>
          <w:spacing w:val="-1"/>
          <w:w w:val="105"/>
        </w:rPr>
        <w:t>R</w:t>
      </w:r>
      <w:r>
        <w:rPr>
          <w:w w:val="105"/>
        </w:rPr>
        <w:t>egula</w:t>
      </w:r>
      <w:r>
        <w:rPr>
          <w:spacing w:val="-1"/>
          <w:w w:val="105"/>
        </w:rPr>
        <w:t>tion</w:t>
      </w:r>
      <w:r>
        <w:rPr>
          <w:spacing w:val="16"/>
          <w:w w:val="105"/>
        </w:rPr>
        <w:t xml:space="preserve"> </w:t>
      </w:r>
      <w:r>
        <w:rPr>
          <w:spacing w:val="-1"/>
          <w:w w:val="105"/>
        </w:rPr>
        <w:t>R</w:t>
      </w:r>
      <w:r>
        <w:rPr>
          <w:w w:val="105"/>
        </w:rPr>
        <w:t>ef</w:t>
      </w:r>
      <w:r>
        <w:rPr>
          <w:spacing w:val="-1"/>
          <w:w w:val="105"/>
        </w:rPr>
        <w:t>orm</w:t>
      </w:r>
      <w:r>
        <w:rPr>
          <w:spacing w:val="17"/>
          <w:w w:val="105"/>
        </w:rPr>
        <w:t xml:space="preserve"> </w:t>
      </w:r>
      <w:r>
        <w:rPr>
          <w:w w:val="105"/>
        </w:rPr>
        <w:t>Workshops</w:t>
      </w:r>
      <w:bookmarkEnd w:id="82"/>
      <w:bookmarkEnd w:id="83"/>
      <w:bookmarkEnd w:id="84"/>
    </w:p>
    <w:p w:rsidR="00E46BBC" w:rsidRPr="00F20B31" w:rsidRDefault="00822AD3" w:rsidP="00F20B31">
      <w:r w:rsidRPr="00F20B31">
        <w:t>In 2014, the portfolio undertook two regulation reform workshops to better understand portfolio legislation and associated regulatory burden and the potential opportunities.</w:t>
      </w:r>
    </w:p>
    <w:p w:rsidR="00E46BBC" w:rsidRPr="00F20B31" w:rsidRDefault="00822AD3" w:rsidP="00F20B31">
      <w:r w:rsidRPr="00F20B31">
        <w:t>The first regulation reform workshop was on the Greenhouse and Energy Minimum Standards legislation. The legislation creates a national framework for appliances and equipment energy efficiency in Australia. The workshop’s outcomes developed a clear framework to identify areas of regulation reform within the Greenhouse and Energy Minimum Standards legislation. An Intergovernmental Agreement review that administers the Equipment Energy Efficiency programme which implements the Greenhouse and Energy Minimum Standards legislation commenced in 2014. This review includes investigating opportunities for red tape reduction and streamlining.</w:t>
      </w:r>
    </w:p>
    <w:p w:rsidR="00E46BBC" w:rsidRPr="00F20B31" w:rsidRDefault="00822AD3" w:rsidP="00F20B31">
      <w:r w:rsidRPr="00F20B31">
        <w:t>The second workshop focused on legal metrology and specifically trade measurement to identify reform opportunities and explore how the trade measurement system could change to best meet the needs of consumers with the least compliance cost to industry. The National Measu</w:t>
      </w:r>
      <w:r w:rsidR="00723AD7">
        <w:t xml:space="preserve">rement Institute is Australia’s </w:t>
      </w:r>
      <w:r w:rsidRPr="00F20B31">
        <w:t>peak measurement body responsible for biological, chemical, legal, physical and trade measurement. Under the Constitution, the Commonwealth has responsibility for weights and measures. The main legislation that underpins this is the National Measurement Act 1960 (Cth).</w:t>
      </w:r>
    </w:p>
    <w:p w:rsidR="00E46BBC" w:rsidRPr="00F20B31" w:rsidRDefault="00822AD3" w:rsidP="00F20B31">
      <w:r w:rsidRPr="00F20B31">
        <w:t>Following the workshop, the National Measurement Institute investigated reform opportunities to reduce the costs of complying with regulations which the National Measurement Institute administers.</w:t>
      </w:r>
    </w:p>
    <w:p w:rsidR="00ED12CF" w:rsidRDefault="00822AD3" w:rsidP="00F20B31">
      <w:r w:rsidRPr="00F20B31">
        <w:t>One of the proposed reforms is around reducing the information gap for businesses and consumers through improving online accessibility of information. As these plans are finalised, the department intends to publish further details of specific reform proposals and associated stakeholder consultation due</w:t>
      </w:r>
      <w:r w:rsidR="000908D2">
        <w:t xml:space="preserve"> </w:t>
      </w:r>
      <w:r w:rsidRPr="00F20B31">
        <w:t>to occur during 2015 and 2016.</w:t>
      </w:r>
    </w:p>
    <w:p w:rsidR="000908D2" w:rsidRDefault="000908D2">
      <w:pPr>
        <w:spacing w:before="0" w:line="240" w:lineRule="auto"/>
      </w:pPr>
      <w:r>
        <w:br w:type="page"/>
      </w:r>
    </w:p>
    <w:p w:rsidR="00E46BBC" w:rsidRDefault="00822AD3" w:rsidP="00A50DA3">
      <w:pPr>
        <w:pStyle w:val="Heading2"/>
      </w:pPr>
      <w:bookmarkStart w:id="85" w:name="_TOC_250002"/>
      <w:bookmarkStart w:id="86" w:name="_Toc414449048"/>
      <w:bookmarkStart w:id="87" w:name="_Toc414449105"/>
      <w:bookmarkStart w:id="88" w:name="_Toc414449251"/>
      <w:bookmarkStart w:id="89" w:name="_Toc414449427"/>
      <w:r>
        <w:rPr>
          <w:w w:val="105"/>
        </w:rPr>
        <w:lastRenderedPageBreak/>
        <w:t>Open</w:t>
      </w:r>
      <w:r>
        <w:rPr>
          <w:spacing w:val="-23"/>
          <w:w w:val="105"/>
        </w:rPr>
        <w:t xml:space="preserve"> </w:t>
      </w:r>
      <w:r>
        <w:rPr>
          <w:w w:val="105"/>
        </w:rPr>
        <w:t>and</w:t>
      </w:r>
      <w:r>
        <w:rPr>
          <w:spacing w:val="-23"/>
          <w:w w:val="105"/>
        </w:rPr>
        <w:t xml:space="preserve"> </w:t>
      </w:r>
      <w:r>
        <w:rPr>
          <w:spacing w:val="-3"/>
          <w:w w:val="105"/>
        </w:rPr>
        <w:t>tr</w:t>
      </w:r>
      <w:r>
        <w:rPr>
          <w:spacing w:val="-2"/>
          <w:w w:val="105"/>
        </w:rPr>
        <w:t>ansparen</w:t>
      </w:r>
      <w:r>
        <w:rPr>
          <w:spacing w:val="-3"/>
          <w:w w:val="105"/>
        </w:rPr>
        <w:t>t</w:t>
      </w:r>
      <w:r>
        <w:rPr>
          <w:spacing w:val="-23"/>
          <w:w w:val="105"/>
        </w:rPr>
        <w:t xml:space="preserve"> </w:t>
      </w:r>
      <w:r>
        <w:rPr>
          <w:w w:val="105"/>
        </w:rPr>
        <w:t>consultation</w:t>
      </w:r>
      <w:r>
        <w:rPr>
          <w:spacing w:val="-23"/>
          <w:w w:val="105"/>
        </w:rPr>
        <w:t xml:space="preserve"> </w:t>
      </w:r>
      <w:r>
        <w:rPr>
          <w:w w:val="105"/>
        </w:rPr>
        <w:t>with</w:t>
      </w:r>
      <w:r>
        <w:rPr>
          <w:spacing w:val="-23"/>
          <w:w w:val="105"/>
        </w:rPr>
        <w:t xml:space="preserve"> </w:t>
      </w:r>
      <w:r>
        <w:rPr>
          <w:w w:val="105"/>
        </w:rPr>
        <w:t>industry</w:t>
      </w:r>
      <w:bookmarkEnd w:id="85"/>
      <w:bookmarkEnd w:id="86"/>
      <w:bookmarkEnd w:id="87"/>
      <w:bookmarkEnd w:id="88"/>
      <w:bookmarkEnd w:id="89"/>
    </w:p>
    <w:p w:rsidR="00E46BBC" w:rsidRPr="00F20B31" w:rsidRDefault="00822AD3" w:rsidP="00F20B31">
      <w:r w:rsidRPr="00F20B31">
        <w:t>The portfolio has established an external regulation reform webpage that brings together information with a regulation reform</w:t>
      </w:r>
      <w:r w:rsidR="0002719A" w:rsidRPr="00F20B31">
        <w:t xml:space="preserve"> </w:t>
      </w:r>
      <w:r w:rsidRPr="00F20B31">
        <w:t>flavour including portfolio reviews, consultations, and current RISs</w:t>
      </w:r>
      <w:r w:rsidR="0002719A" w:rsidRPr="00F20B31">
        <w:t xml:space="preserve"> </w:t>
      </w:r>
      <w:r w:rsidRPr="00F20B31">
        <w:t>—</w:t>
      </w:r>
      <w:r w:rsidR="0002719A" w:rsidRPr="00F20B31">
        <w:t xml:space="preserve"> </w:t>
      </w:r>
      <w:r w:rsidRPr="00F20B31">
        <w:t>all accessible from</w:t>
      </w:r>
      <w:r w:rsidR="00E154EE" w:rsidRPr="00F20B31">
        <w:t xml:space="preserve"> </w:t>
      </w:r>
      <w:r w:rsidRPr="00F20B31">
        <w:t xml:space="preserve">a </w:t>
      </w:r>
      <w:hyperlink r:id="rId21">
        <w:r w:rsidRPr="00F20B31">
          <w:rPr>
            <w:rStyle w:val="Hyperlink"/>
          </w:rPr>
          <w:t>single webpage</w:t>
        </w:r>
      </w:hyperlink>
      <w:r w:rsidRPr="00F20B31">
        <w:t>.</w:t>
      </w:r>
      <w:r w:rsidR="00A942E6">
        <w:rPr>
          <w:rStyle w:val="FootnoteReference"/>
        </w:rPr>
        <w:footnoteReference w:id="11"/>
      </w:r>
      <w:r w:rsidRPr="00F20B31">
        <w:t xml:space="preserve"> This “one stop shop” approach makes it easier for stakeholders to navigate relevant information quickly and learn more about topical regulation reform issues of interest. The webpage also provides industry with an opportunity to make suggestions and provide ideas for reducing red tape.</w:t>
      </w:r>
    </w:p>
    <w:p w:rsidR="00E46BBC" w:rsidRPr="00F20B31" w:rsidRDefault="00822AD3" w:rsidP="00F20B31">
      <w:r w:rsidRPr="00F20B31">
        <w:t>We understand the value of engaging in open and transparent consultation with stakeholders. We want to better understand the regulatory barriers industry faces, so we can better respond to its needs and deliver outcomes that align with productivity and competitiveness improvements. We are currently in the process of establishing a consultation mechanism</w:t>
      </w:r>
      <w:r w:rsidR="006F4249" w:rsidRPr="00F20B31">
        <w:t xml:space="preserve">, which will include the Growth Centres Advisory Committee, </w:t>
      </w:r>
      <w:r w:rsidRPr="00F20B31">
        <w:t>on portfolio-wide strategic policy matters, including deregulation.</w:t>
      </w:r>
    </w:p>
    <w:p w:rsidR="00E46BBC" w:rsidRPr="00F20B31" w:rsidRDefault="00822AD3" w:rsidP="00F20B31">
      <w:r w:rsidRPr="00F20B31">
        <w:t>We value your contribution, which is why during 2014 we asked for your input on major reviews. Some of the reviews included the Commercial Building Disclosure Programme, the Training Packages and Accredited Courses in the VET system, Offshore Petroleum Resources Management and more. These reviews investigated cutting unnecessary red tape, providing more efficient processes and exploring better ways</w:t>
      </w:r>
      <w:r w:rsidR="000908D2">
        <w:t xml:space="preserve"> </w:t>
      </w:r>
      <w:r w:rsidRPr="00F20B31">
        <w:t>to improve competiveness and productivity.</w:t>
      </w:r>
    </w:p>
    <w:p w:rsidR="00E46BBC" w:rsidRDefault="00822AD3" w:rsidP="00A50DA3">
      <w:pPr>
        <w:pStyle w:val="Heading3"/>
      </w:pPr>
      <w:bookmarkStart w:id="90" w:name="_TOC_250001"/>
      <w:bookmarkStart w:id="91" w:name="_Toc414449252"/>
      <w:bookmarkStart w:id="92" w:name="_Toc414449428"/>
      <w:r>
        <w:rPr>
          <w:w w:val="105"/>
        </w:rPr>
        <w:t>Raising</w:t>
      </w:r>
      <w:r>
        <w:rPr>
          <w:spacing w:val="-31"/>
          <w:w w:val="105"/>
        </w:rPr>
        <w:t xml:space="preserve"> </w:t>
      </w:r>
      <w:r>
        <w:rPr>
          <w:spacing w:val="-4"/>
          <w:w w:val="105"/>
        </w:rPr>
        <w:t>awarenes</w:t>
      </w:r>
      <w:r>
        <w:rPr>
          <w:spacing w:val="-3"/>
          <w:w w:val="105"/>
        </w:rPr>
        <w:t>s</w:t>
      </w:r>
      <w:bookmarkEnd w:id="90"/>
      <w:bookmarkEnd w:id="91"/>
      <w:bookmarkEnd w:id="92"/>
    </w:p>
    <w:p w:rsidR="00E46BBC" w:rsidRPr="000908D2" w:rsidRDefault="00822AD3" w:rsidP="000908D2">
      <w:r w:rsidRPr="000908D2">
        <w:t>To promote and raise awareness of the regulation reform agenda, the portfolio is undertaking a</w:t>
      </w:r>
      <w:r w:rsidR="00700515">
        <w:t xml:space="preserve"> </w:t>
      </w:r>
      <w:r w:rsidRPr="000908D2">
        <w:t>number of capacity building initiatives so that departmental officers can better respond to industry needs. These include:</w:t>
      </w:r>
    </w:p>
    <w:p w:rsidR="00E46BBC" w:rsidRPr="000908D2" w:rsidRDefault="00822AD3" w:rsidP="00A50DA3">
      <w:pPr>
        <w:pStyle w:val="ListParagraph"/>
        <w:numPr>
          <w:ilvl w:val="0"/>
          <w:numId w:val="9"/>
        </w:numPr>
      </w:pPr>
      <w:r w:rsidRPr="00700515">
        <w:rPr>
          <w:b/>
        </w:rPr>
        <w:t>The Industry Officer’s Guide to Regulation Reform</w:t>
      </w:r>
      <w:r w:rsidRPr="000908D2">
        <w:t>: This provides a framework for departmental officers to think differently about the role of government, regulation and consultation and to enable them to minimise compliance costs when designing new policy and programmes.</w:t>
      </w:r>
    </w:p>
    <w:p w:rsidR="00E46BBC" w:rsidRPr="000908D2" w:rsidRDefault="00822AD3" w:rsidP="00A50DA3">
      <w:pPr>
        <w:pStyle w:val="ListParagraph"/>
        <w:numPr>
          <w:ilvl w:val="0"/>
          <w:numId w:val="9"/>
        </w:numPr>
      </w:pPr>
      <w:r w:rsidRPr="00700515">
        <w:rPr>
          <w:b/>
        </w:rPr>
        <w:t>Portfolio Best Practice Regulation Impact Statement (RIS) template</w:t>
      </w:r>
      <w:r w:rsidRPr="000908D2">
        <w:t xml:space="preserve">: To lift the quality of RISs, achieve consistency across the portfolio and make RISs easier to read for our stakeholders, we commenced piloting a new RIS template in 2014. We anticipate this will be rolled out in the second quarter of 2015. The portfolio has undertaken </w:t>
      </w:r>
      <w:r w:rsidR="00442305" w:rsidRPr="000908D2">
        <w:t xml:space="preserve">eleven </w:t>
      </w:r>
      <w:r w:rsidRPr="000908D2">
        <w:t xml:space="preserve">RISs since the start of the regulation reform agenda, including </w:t>
      </w:r>
      <w:r w:rsidR="00442305" w:rsidRPr="000908D2">
        <w:t xml:space="preserve">five </w:t>
      </w:r>
      <w:r w:rsidRPr="000908D2">
        <w:t>RISs to assist COAG decision making (See Appendix A).</w:t>
      </w:r>
    </w:p>
    <w:p w:rsidR="00ED12CF" w:rsidRDefault="00822AD3" w:rsidP="00A50DA3">
      <w:pPr>
        <w:pStyle w:val="ListParagraph"/>
        <w:numPr>
          <w:ilvl w:val="0"/>
          <w:numId w:val="9"/>
        </w:numPr>
      </w:pPr>
      <w:r w:rsidRPr="00700515">
        <w:rPr>
          <w:b/>
        </w:rPr>
        <w:t>Targeted training across the portfolio</w:t>
      </w:r>
      <w:r w:rsidRPr="000908D2">
        <w:t>: One of the most effective ways to reduce burden on stakeholders is to focus on departmental officers who are developing new policies and programmes. The regulation reform team has delivered a number of training programmes to ensure departmental officers have better tools at their disposal to design policy options with a deregulatory focus.</w:t>
      </w:r>
    </w:p>
    <w:p w:rsidR="000908D2" w:rsidRDefault="000908D2">
      <w:pPr>
        <w:spacing w:before="0" w:line="240" w:lineRule="auto"/>
      </w:pPr>
      <w:r>
        <w:br w:type="page"/>
      </w:r>
    </w:p>
    <w:p w:rsidR="00E46BBC" w:rsidRDefault="00822AD3" w:rsidP="00A50DA3">
      <w:pPr>
        <w:pStyle w:val="Heading2"/>
      </w:pPr>
      <w:bookmarkStart w:id="93" w:name="_TOC_250000"/>
      <w:bookmarkStart w:id="94" w:name="_Toc414449049"/>
      <w:bookmarkStart w:id="95" w:name="_Toc414449106"/>
      <w:bookmarkStart w:id="96" w:name="_Toc414449253"/>
      <w:bookmarkStart w:id="97" w:name="_Toc414449429"/>
      <w:r>
        <w:rPr>
          <w:spacing w:val="-6"/>
          <w:w w:val="105"/>
        </w:rPr>
        <w:lastRenderedPageBreak/>
        <w:t>Futur</w:t>
      </w:r>
      <w:r>
        <w:rPr>
          <w:spacing w:val="-5"/>
          <w:w w:val="105"/>
        </w:rPr>
        <w:t>e</w:t>
      </w:r>
      <w:r>
        <w:rPr>
          <w:spacing w:val="-19"/>
          <w:w w:val="105"/>
        </w:rPr>
        <w:t xml:space="preserve"> </w:t>
      </w:r>
      <w:r>
        <w:rPr>
          <w:w w:val="105"/>
        </w:rPr>
        <w:t>priorities</w:t>
      </w:r>
      <w:bookmarkEnd w:id="93"/>
      <w:bookmarkEnd w:id="94"/>
      <w:bookmarkEnd w:id="95"/>
      <w:bookmarkEnd w:id="96"/>
      <w:bookmarkEnd w:id="97"/>
    </w:p>
    <w:p w:rsidR="00E46BBC" w:rsidRPr="00F20B31" w:rsidRDefault="00822AD3" w:rsidP="00F20B31">
      <w:r w:rsidRPr="00F20B31">
        <w:t>In December 2014, the skills functions of the Industry Portfolio migrated to the newly established Education and Training Portfolio. As a result, approximately 30 per cent of the regulation burden held</w:t>
      </w:r>
      <w:r w:rsidR="000908D2">
        <w:t xml:space="preserve"> </w:t>
      </w:r>
      <w:r w:rsidRPr="00F20B31">
        <w:t>by the portfolio transferred to the Education and Training Portfolio.</w:t>
      </w:r>
    </w:p>
    <w:p w:rsidR="00E46BBC" w:rsidRPr="00F20B31" w:rsidRDefault="00822AD3" w:rsidP="00F20B31">
      <w:r w:rsidRPr="00F20B31">
        <w:t>Noting these</w:t>
      </w:r>
      <w:r w:rsidR="00A942E6">
        <w:t xml:space="preserve"> </w:t>
      </w:r>
      <w:r w:rsidRPr="00F20B31">
        <w:t>changes, and the annual removal of over $200 million in regulation burden, the Industry and Science Portfolio will continue to reduce regulatory burden in 2015. The portfolio will investigate reforms that promote the Australian Government’s Industry Innovation and Competitiveness Agenda and support the development of Regulation Reform Plans by Industry Growth Centres.</w:t>
      </w:r>
    </w:p>
    <w:p w:rsidR="000908D2" w:rsidRDefault="00822AD3" w:rsidP="00700515">
      <w:r w:rsidRPr="00F20B31">
        <w:t>In addition, we will look at reforms across government including any recommendations that rise from the Government’s consideration to better deliver government services online. The portfolio will also work to finalise the Energy White Paper and any regulation reforms arising from that process to deliver on goals such as reducing electricity costs to business.</w:t>
      </w:r>
    </w:p>
    <w:p w:rsidR="000C7648" w:rsidRDefault="000C7648">
      <w:pPr>
        <w:spacing w:before="0" w:after="0" w:line="240" w:lineRule="auto"/>
      </w:pPr>
      <w:r>
        <w:br w:type="page"/>
      </w:r>
    </w:p>
    <w:p w:rsidR="00E46BBC" w:rsidRDefault="00822AD3" w:rsidP="00A50DA3">
      <w:pPr>
        <w:pStyle w:val="Heading1"/>
        <w:rPr>
          <w:rFonts w:cs="Palatino Linotype"/>
        </w:rPr>
      </w:pPr>
      <w:bookmarkStart w:id="98" w:name="_Toc414449050"/>
      <w:bookmarkStart w:id="99" w:name="_Toc414449107"/>
      <w:bookmarkStart w:id="100" w:name="_Toc414449254"/>
      <w:bookmarkStart w:id="101" w:name="_Toc414449430"/>
      <w:r>
        <w:rPr>
          <w:spacing w:val="-3"/>
          <w:w w:val="105"/>
        </w:rPr>
        <w:lastRenderedPageBreak/>
        <w:t>A</w:t>
      </w:r>
      <w:r>
        <w:rPr>
          <w:w w:val="105"/>
        </w:rPr>
        <w:t>ppendix</w:t>
      </w:r>
      <w:r>
        <w:rPr>
          <w:spacing w:val="-47"/>
          <w:w w:val="105"/>
        </w:rPr>
        <w:t xml:space="preserve"> </w:t>
      </w:r>
      <w:r>
        <w:rPr>
          <w:spacing w:val="4"/>
          <w:w w:val="105"/>
        </w:rPr>
        <w:t>A:</w:t>
      </w:r>
      <w:r w:rsidR="00700515">
        <w:rPr>
          <w:spacing w:val="4"/>
          <w:w w:val="105"/>
        </w:rPr>
        <w:br/>
      </w:r>
      <w:r>
        <w:rPr>
          <w:spacing w:val="-2"/>
          <w:w w:val="105"/>
        </w:rPr>
        <w:t>Regul</w:t>
      </w:r>
      <w:r>
        <w:rPr>
          <w:w w:val="105"/>
        </w:rPr>
        <w:t>ation</w:t>
      </w:r>
      <w:r>
        <w:rPr>
          <w:spacing w:val="21"/>
          <w:w w:val="105"/>
        </w:rPr>
        <w:t xml:space="preserve"> </w:t>
      </w:r>
      <w:r>
        <w:rPr>
          <w:w w:val="105"/>
        </w:rPr>
        <w:t>Impact</w:t>
      </w:r>
      <w:r>
        <w:rPr>
          <w:spacing w:val="21"/>
          <w:w w:val="105"/>
        </w:rPr>
        <w:t xml:space="preserve"> </w:t>
      </w:r>
      <w:r>
        <w:rPr>
          <w:spacing w:val="-2"/>
          <w:w w:val="105"/>
        </w:rPr>
        <w:t>S</w:t>
      </w:r>
      <w:r>
        <w:rPr>
          <w:w w:val="105"/>
        </w:rPr>
        <w:t>tatements</w:t>
      </w:r>
      <w:bookmarkEnd w:id="98"/>
      <w:bookmarkEnd w:id="99"/>
      <w:bookmarkEnd w:id="100"/>
      <w:bookmarkEnd w:id="101"/>
    </w:p>
    <w:p w:rsidR="00E46BBC" w:rsidRPr="00F20B31" w:rsidRDefault="00822AD3" w:rsidP="00F20B31">
      <w:r w:rsidRPr="00F20B31">
        <w:t xml:space="preserve">Since the regulation reform agenda commenced, the portfolio has undertaken </w:t>
      </w:r>
      <w:r w:rsidR="00442305" w:rsidRPr="00F20B31">
        <w:t xml:space="preserve">eleven </w:t>
      </w:r>
      <w:r w:rsidRPr="00F20B31">
        <w:t xml:space="preserve">regulation impact statements (RIS), including </w:t>
      </w:r>
      <w:r w:rsidR="00442305" w:rsidRPr="00F20B31">
        <w:t xml:space="preserve">five </w:t>
      </w:r>
      <w:r w:rsidRPr="00F20B31">
        <w:t>RISs to assist Council of Australian Government (COAG) decision making. All RISs were assessed as compliant by the Office of Best Practice Regulation (OBPR), with the RISs being consistent with best practice.</w:t>
      </w:r>
    </w:p>
    <w:p w:rsidR="00E46BBC" w:rsidRDefault="00822AD3" w:rsidP="000908D2">
      <w:r w:rsidRPr="00F20B31">
        <w:t>The RISs to support decision making included:</w:t>
      </w:r>
    </w:p>
    <w:p w:rsidR="00E46BBC" w:rsidRPr="002159E3" w:rsidRDefault="00822AD3" w:rsidP="00A50DA3">
      <w:pPr>
        <w:pStyle w:val="ListParagraph"/>
        <w:numPr>
          <w:ilvl w:val="0"/>
          <w:numId w:val="6"/>
        </w:numPr>
        <w:ind w:right="45"/>
      </w:pPr>
      <w:r w:rsidRPr="002159E3">
        <w:t>Streamlining Offshore Environmental Approvals</w:t>
      </w:r>
    </w:p>
    <w:p w:rsidR="00E46BBC" w:rsidRPr="002159E3" w:rsidRDefault="00822AD3" w:rsidP="00A50DA3">
      <w:pPr>
        <w:pStyle w:val="ListParagraph"/>
        <w:numPr>
          <w:ilvl w:val="0"/>
          <w:numId w:val="6"/>
        </w:numPr>
        <w:ind w:right="45"/>
      </w:pPr>
      <w:r w:rsidRPr="002159E3">
        <w:t>Enc</w:t>
      </w:r>
      <w:r>
        <w:t>our</w:t>
      </w:r>
      <w:r w:rsidRPr="002159E3">
        <w:t xml:space="preserve">aging </w:t>
      </w:r>
      <w:r>
        <w:t>Ener</w:t>
      </w:r>
      <w:r w:rsidRPr="002159E3">
        <w:t>gy Efficiency Activity in A</w:t>
      </w:r>
      <w:r>
        <w:t>us</w:t>
      </w:r>
      <w:r w:rsidRPr="002159E3">
        <w:t>tr</w:t>
      </w:r>
      <w:r>
        <w:t>alian</w:t>
      </w:r>
      <w:r w:rsidRPr="002159E3">
        <w:t xml:space="preserve"> </w:t>
      </w:r>
      <w:r>
        <w:t>Indus</w:t>
      </w:r>
      <w:r w:rsidRPr="002159E3">
        <w:t>try</w:t>
      </w:r>
      <w:r>
        <w:t>:</w:t>
      </w:r>
      <w:r w:rsidRPr="002159E3">
        <w:t xml:space="preserve"> </w:t>
      </w:r>
      <w:r>
        <w:t>R</w:t>
      </w:r>
      <w:r w:rsidRPr="002159E3">
        <w:t>emo</w:t>
      </w:r>
      <w:r>
        <w:t>v</w:t>
      </w:r>
      <w:r w:rsidRPr="002159E3">
        <w:t xml:space="preserve">al of </w:t>
      </w:r>
      <w:r>
        <w:t>unnecessary</w:t>
      </w:r>
      <w:r w:rsidRPr="002159E3">
        <w:t xml:space="preserve"> </w:t>
      </w:r>
      <w:r>
        <w:t>regula</w:t>
      </w:r>
      <w:r w:rsidRPr="002159E3">
        <w:t>tion</w:t>
      </w:r>
    </w:p>
    <w:p w:rsidR="00E46BBC" w:rsidRPr="002159E3" w:rsidRDefault="00822AD3" w:rsidP="00A50DA3">
      <w:pPr>
        <w:pStyle w:val="ListParagraph"/>
        <w:numPr>
          <w:ilvl w:val="0"/>
          <w:numId w:val="6"/>
        </w:numPr>
        <w:ind w:right="45"/>
      </w:pPr>
      <w:r w:rsidRPr="002159E3">
        <w:t>Regulation of ‘scope of registration’ applications in vocational education and training</w:t>
      </w:r>
    </w:p>
    <w:p w:rsidR="00E46BBC" w:rsidRPr="002159E3" w:rsidRDefault="00822AD3" w:rsidP="00A50DA3">
      <w:pPr>
        <w:pStyle w:val="ListParagraph"/>
        <w:numPr>
          <w:ilvl w:val="0"/>
          <w:numId w:val="6"/>
        </w:numPr>
        <w:ind w:right="45"/>
      </w:pPr>
      <w:r w:rsidRPr="002159E3">
        <w:t>A</w:t>
      </w:r>
      <w:r>
        <w:t>us</w:t>
      </w:r>
      <w:r w:rsidRPr="002159E3">
        <w:t>tr</w:t>
      </w:r>
      <w:r>
        <w:t>alian</w:t>
      </w:r>
      <w:r w:rsidRPr="002159E3">
        <w:t xml:space="preserve"> </w:t>
      </w:r>
      <w:r>
        <w:t>Indus</w:t>
      </w:r>
      <w:r w:rsidRPr="002159E3">
        <w:t>try Opportunity Offic</w:t>
      </w:r>
      <w:r>
        <w:t>ers</w:t>
      </w:r>
    </w:p>
    <w:p w:rsidR="00E46BBC" w:rsidRPr="002159E3" w:rsidRDefault="00822AD3" w:rsidP="00A50DA3">
      <w:pPr>
        <w:pStyle w:val="ListParagraph"/>
        <w:numPr>
          <w:ilvl w:val="0"/>
          <w:numId w:val="6"/>
        </w:numPr>
        <w:ind w:right="45"/>
      </w:pPr>
      <w:r w:rsidRPr="002159E3">
        <w:t xml:space="preserve">Export of </w:t>
      </w:r>
      <w:r>
        <w:t>P</w:t>
      </w:r>
      <w:r w:rsidRPr="002159E3">
        <w:t>a</w:t>
      </w:r>
      <w:r>
        <w:t>t</w:t>
      </w:r>
      <w:r w:rsidRPr="002159E3">
        <w:t>en</w:t>
      </w:r>
      <w:r>
        <w:t>ted</w:t>
      </w:r>
      <w:r w:rsidRPr="002159E3">
        <w:t xml:space="preserve"> Pharmac</w:t>
      </w:r>
      <w:r>
        <w:t>euticals</w:t>
      </w:r>
      <w:r w:rsidRPr="002159E3">
        <w:t xml:space="preserve"> </w:t>
      </w:r>
      <w:r>
        <w:t>to</w:t>
      </w:r>
      <w:r w:rsidRPr="002159E3">
        <w:t xml:space="preserve"> C</w:t>
      </w:r>
      <w:r>
        <w:t>ountries</w:t>
      </w:r>
      <w:r w:rsidRPr="002159E3">
        <w:t xml:space="preserve"> Experiencing a Health Crisis</w:t>
      </w:r>
    </w:p>
    <w:p w:rsidR="00E46BBC" w:rsidRPr="002159E3" w:rsidRDefault="00822AD3" w:rsidP="00A50DA3">
      <w:pPr>
        <w:pStyle w:val="ListParagraph"/>
        <w:numPr>
          <w:ilvl w:val="0"/>
          <w:numId w:val="6"/>
        </w:numPr>
        <w:ind w:right="45"/>
      </w:pPr>
      <w:r w:rsidRPr="002159E3">
        <w:t>Unique Student Identifier</w:t>
      </w:r>
      <w:r w:rsidR="00A942E6">
        <w:rPr>
          <w:rStyle w:val="FootnoteReference"/>
        </w:rPr>
        <w:footnoteReference w:id="12"/>
      </w:r>
    </w:p>
    <w:p w:rsidR="00E46BBC" w:rsidRPr="002159E3" w:rsidRDefault="00822AD3" w:rsidP="00A50DA3">
      <w:pPr>
        <w:pStyle w:val="ListParagraph"/>
        <w:numPr>
          <w:ilvl w:val="0"/>
          <w:numId w:val="6"/>
        </w:numPr>
        <w:ind w:right="45"/>
      </w:pPr>
      <w:r>
        <w:t>Fir</w:t>
      </w:r>
      <w:r w:rsidRPr="002159E3">
        <w:t>e Hose R</w:t>
      </w:r>
      <w:r>
        <w:t>eels</w:t>
      </w:r>
      <w:r w:rsidRPr="002159E3">
        <w:t xml:space="preserve"> in </w:t>
      </w:r>
      <w:r>
        <w:t>New</w:t>
      </w:r>
      <w:r w:rsidRPr="002159E3">
        <w:t xml:space="preserve"> R</w:t>
      </w:r>
      <w:r>
        <w:t>esidential</w:t>
      </w:r>
      <w:r w:rsidRPr="002159E3">
        <w:t xml:space="preserve"> Buildings</w:t>
      </w:r>
    </w:p>
    <w:p w:rsidR="00E46BBC" w:rsidRPr="002159E3" w:rsidRDefault="00822AD3" w:rsidP="00A50DA3">
      <w:pPr>
        <w:pStyle w:val="ListParagraph"/>
        <w:numPr>
          <w:ilvl w:val="0"/>
          <w:numId w:val="6"/>
        </w:numPr>
        <w:ind w:right="45"/>
      </w:pPr>
      <w:r>
        <w:t>In</w:t>
      </w:r>
      <w:r w:rsidRPr="002159E3">
        <w:t>t</w:t>
      </w:r>
      <w:r>
        <w:t>er</w:t>
      </w:r>
      <w:r w:rsidRPr="002159E3">
        <w:t>c</w:t>
      </w:r>
      <w:r>
        <w:t>onnec</w:t>
      </w:r>
      <w:r w:rsidRPr="002159E3">
        <w:t>tion of Smok</w:t>
      </w:r>
      <w:r>
        <w:t>e</w:t>
      </w:r>
      <w:r w:rsidRPr="002159E3">
        <w:t xml:space="preserve"> Alarms</w:t>
      </w:r>
    </w:p>
    <w:p w:rsidR="00E46BBC" w:rsidRPr="002159E3" w:rsidRDefault="00822AD3" w:rsidP="00A50DA3">
      <w:pPr>
        <w:pStyle w:val="ListParagraph"/>
        <w:numPr>
          <w:ilvl w:val="0"/>
          <w:numId w:val="6"/>
        </w:numPr>
        <w:ind w:right="45"/>
      </w:pPr>
      <w:r w:rsidRPr="002159E3">
        <w:t>Exploration Development Incentive</w:t>
      </w:r>
    </w:p>
    <w:p w:rsidR="00E46BBC" w:rsidRDefault="00822AD3" w:rsidP="00A50DA3">
      <w:pPr>
        <w:pStyle w:val="ListParagraph"/>
        <w:numPr>
          <w:ilvl w:val="0"/>
          <w:numId w:val="6"/>
        </w:numPr>
        <w:ind w:right="45"/>
      </w:pPr>
      <w:r w:rsidRPr="002159E3">
        <w:t>S</w:t>
      </w:r>
      <w:r>
        <w:t>tandar</w:t>
      </w:r>
      <w:r w:rsidRPr="002159E3">
        <w:t xml:space="preserve">ds for </w:t>
      </w:r>
      <w:r>
        <w:t>R</w:t>
      </w:r>
      <w:r w:rsidRPr="002159E3">
        <w:t>egis</w:t>
      </w:r>
      <w:r>
        <w:t>t</w:t>
      </w:r>
      <w:r w:rsidRPr="002159E3">
        <w:t>er</w:t>
      </w:r>
      <w:r>
        <w:t>ed</w:t>
      </w:r>
      <w:r w:rsidRPr="002159E3">
        <w:t xml:space="preserve"> Training Or</w:t>
      </w:r>
      <w:r>
        <w:t>ganisations</w:t>
      </w:r>
      <w:r w:rsidRPr="002159E3">
        <w:t xml:space="preserve"> and VET R</w:t>
      </w:r>
      <w:r>
        <w:t>egula</w:t>
      </w:r>
      <w:r w:rsidRPr="002159E3">
        <w:t>tor</w:t>
      </w:r>
      <w:r>
        <w:t>s</w:t>
      </w:r>
    </w:p>
    <w:p w:rsidR="00442305" w:rsidRPr="002159E3" w:rsidRDefault="00442305" w:rsidP="00A50DA3">
      <w:pPr>
        <w:pStyle w:val="ListParagraph"/>
        <w:numPr>
          <w:ilvl w:val="0"/>
          <w:numId w:val="6"/>
        </w:numPr>
        <w:ind w:right="45"/>
      </w:pPr>
      <w:r w:rsidRPr="00442305">
        <w:t>Gas Transmission Pipeline Capacity Trading</w:t>
      </w:r>
    </w:p>
    <w:p w:rsidR="00E46BBC" w:rsidRPr="00F20B31" w:rsidRDefault="00822AD3" w:rsidP="00F20B31">
      <w:r w:rsidRPr="00F20B31">
        <w:t>There were 63 measures that were assessed as being minor and/or machinery in nature and did not require a RIS.</w:t>
      </w:r>
    </w:p>
    <w:p w:rsidR="00E46BBC" w:rsidRDefault="00822AD3" w:rsidP="00F20B31">
      <w:pPr>
        <w:ind w:right="45"/>
      </w:pPr>
      <w:r w:rsidRPr="00BB2270">
        <w:rPr>
          <w:spacing w:val="-5"/>
          <w:w w:val="125"/>
        </w:rPr>
        <w:t>T</w:t>
      </w:r>
      <w:r w:rsidRPr="00BB2270">
        <w:rPr>
          <w:spacing w:val="-6"/>
          <w:w w:val="125"/>
        </w:rPr>
        <w:t xml:space="preserve">able </w:t>
      </w:r>
      <w:r w:rsidRPr="00BB2270">
        <w:rPr>
          <w:w w:val="125"/>
        </w:rPr>
        <w:t>3:</w:t>
      </w:r>
      <w:r w:rsidRPr="00BB2270">
        <w:rPr>
          <w:spacing w:val="-6"/>
          <w:w w:val="125"/>
        </w:rPr>
        <w:t xml:space="preserve"> </w:t>
      </w:r>
      <w:r w:rsidRPr="00BB2270">
        <w:rPr>
          <w:w w:val="125"/>
        </w:rPr>
        <w:t>Regula</w:t>
      </w:r>
      <w:r w:rsidRPr="00BB2270">
        <w:rPr>
          <w:spacing w:val="-2"/>
          <w:w w:val="125"/>
        </w:rPr>
        <w:t>tion</w:t>
      </w:r>
      <w:r w:rsidRPr="00BB2270">
        <w:rPr>
          <w:spacing w:val="-6"/>
          <w:w w:val="125"/>
        </w:rPr>
        <w:t xml:space="preserve"> </w:t>
      </w:r>
      <w:r w:rsidRPr="00BB2270">
        <w:rPr>
          <w:w w:val="125"/>
        </w:rPr>
        <w:t>Impact</w:t>
      </w:r>
      <w:r w:rsidRPr="00BB2270">
        <w:rPr>
          <w:spacing w:val="-6"/>
          <w:w w:val="125"/>
        </w:rPr>
        <w:t xml:space="preserve"> </w:t>
      </w:r>
      <w:r w:rsidRPr="00BB2270">
        <w:rPr>
          <w:w w:val="125"/>
        </w:rPr>
        <w:t>S</w:t>
      </w:r>
      <w:r w:rsidRPr="00BB2270">
        <w:rPr>
          <w:spacing w:val="-2"/>
          <w:w w:val="125"/>
        </w:rPr>
        <w:t>tatement</w:t>
      </w:r>
      <w:r w:rsidRPr="00BB2270">
        <w:rPr>
          <w:spacing w:val="-5"/>
          <w:w w:val="125"/>
        </w:rPr>
        <w:t xml:space="preserve"> </w:t>
      </w:r>
      <w:r w:rsidRPr="00BB2270">
        <w:rPr>
          <w:w w:val="125"/>
        </w:rPr>
        <w:t>Complianc</w:t>
      </w:r>
      <w:r w:rsidRPr="00BB2270">
        <w:rPr>
          <w:spacing w:val="-2"/>
          <w:w w:val="125"/>
        </w:rPr>
        <w:t>e</w:t>
      </w:r>
      <w:r w:rsidRPr="00BB2270">
        <w:rPr>
          <w:spacing w:val="-6"/>
          <w:w w:val="125"/>
        </w:rPr>
        <w:t xml:space="preserve"> </w:t>
      </w:r>
      <w:r w:rsidRPr="00BB2270">
        <w:rPr>
          <w:w w:val="125"/>
        </w:rPr>
        <w:t>20</w:t>
      </w:r>
      <w:r w:rsidRPr="00BB2270">
        <w:rPr>
          <w:spacing w:val="-2"/>
          <w:w w:val="125"/>
        </w:rPr>
        <w:t>14</w:t>
      </w:r>
    </w:p>
    <w:tbl>
      <w:tblPr>
        <w:tblW w:w="0" w:type="auto"/>
        <w:tblInd w:w="113" w:type="dxa"/>
        <w:tblLayout w:type="fixed"/>
        <w:tblCellMar>
          <w:left w:w="113" w:type="dxa"/>
          <w:right w:w="113" w:type="dxa"/>
        </w:tblCellMar>
        <w:tblLook w:val="01E0" w:firstRow="1" w:lastRow="1" w:firstColumn="1" w:lastColumn="1" w:noHBand="0" w:noVBand="0"/>
        <w:tblCaption w:val="Regulation Impact Statement Compliance 2014"/>
        <w:tblDescription w:val="The Industry Portfolio completed 11 RISs including 7 Department of Industry RISs, 1 IP Australia RIS, 2 Australian Building Codes Board RIS and 1 Standing Council on Energy and Resources. The portfolio had no Prime Minister's Exemptions or Post Implementation Reviews required"/>
      </w:tblPr>
      <w:tblGrid>
        <w:gridCol w:w="1979"/>
        <w:gridCol w:w="2268"/>
        <w:gridCol w:w="2268"/>
        <w:gridCol w:w="1985"/>
      </w:tblGrid>
      <w:tr w:rsidR="00A544FD" w:rsidTr="00A50DA3">
        <w:tc>
          <w:tcPr>
            <w:tcW w:w="1979" w:type="dxa"/>
            <w:tcBorders>
              <w:top w:val="nil"/>
              <w:left w:val="nil"/>
              <w:right w:val="single" w:sz="1" w:space="0" w:color="005677"/>
            </w:tcBorders>
            <w:shd w:val="clear" w:color="auto" w:fill="005677"/>
          </w:tcPr>
          <w:p w:rsidR="00A544FD" w:rsidRPr="00A942E6" w:rsidRDefault="00A544FD" w:rsidP="00A942E6">
            <w:pPr>
              <w:rPr>
                <w:b/>
                <w:color w:val="FFFFFF" w:themeColor="background1"/>
              </w:rPr>
            </w:pPr>
          </w:p>
        </w:tc>
        <w:tc>
          <w:tcPr>
            <w:tcW w:w="2268" w:type="dxa"/>
            <w:tcBorders>
              <w:top w:val="nil"/>
              <w:left w:val="single" w:sz="1" w:space="0" w:color="005677"/>
              <w:right w:val="single" w:sz="1" w:space="0" w:color="005677"/>
            </w:tcBorders>
            <w:shd w:val="clear" w:color="auto" w:fill="005677"/>
          </w:tcPr>
          <w:p w:rsidR="00A544FD" w:rsidRPr="00A942E6" w:rsidRDefault="00A544FD" w:rsidP="00A942E6">
            <w:pPr>
              <w:rPr>
                <w:b/>
                <w:color w:val="FFFFFF" w:themeColor="background1"/>
              </w:rPr>
            </w:pPr>
            <w:r w:rsidRPr="00A942E6">
              <w:rPr>
                <w:b/>
                <w:color w:val="FFFFFF" w:themeColor="background1"/>
              </w:rPr>
              <w:t>RIS Compliance</w:t>
            </w:r>
          </w:p>
        </w:tc>
        <w:tc>
          <w:tcPr>
            <w:tcW w:w="2268" w:type="dxa"/>
            <w:tcBorders>
              <w:top w:val="nil"/>
              <w:left w:val="single" w:sz="1" w:space="0" w:color="005677"/>
              <w:right w:val="single" w:sz="1" w:space="0" w:color="005677"/>
            </w:tcBorders>
            <w:shd w:val="clear" w:color="auto" w:fill="005677"/>
          </w:tcPr>
          <w:p w:rsidR="00A544FD" w:rsidRPr="00A942E6" w:rsidRDefault="00A544FD" w:rsidP="00A942E6">
            <w:pPr>
              <w:rPr>
                <w:b/>
                <w:color w:val="FFFFFF" w:themeColor="background1"/>
              </w:rPr>
            </w:pPr>
            <w:r w:rsidRPr="00A942E6">
              <w:rPr>
                <w:b/>
                <w:color w:val="FFFFFF" w:themeColor="background1"/>
              </w:rPr>
              <w:t>Prime Minister’s</w:t>
            </w:r>
            <w:r w:rsidR="00A942E6" w:rsidRPr="00A942E6">
              <w:rPr>
                <w:b/>
                <w:color w:val="FFFFFF" w:themeColor="background1"/>
              </w:rPr>
              <w:t xml:space="preserve"> </w:t>
            </w:r>
            <w:r w:rsidR="00A942E6" w:rsidRPr="00A942E6">
              <w:rPr>
                <w:b/>
                <w:color w:val="FFFFFF" w:themeColor="background1"/>
              </w:rPr>
              <w:br/>
            </w:r>
            <w:r w:rsidRPr="00A942E6">
              <w:rPr>
                <w:b/>
                <w:color w:val="FFFFFF" w:themeColor="background1"/>
              </w:rPr>
              <w:t>Exemptions</w:t>
            </w:r>
          </w:p>
        </w:tc>
        <w:tc>
          <w:tcPr>
            <w:tcW w:w="1985" w:type="dxa"/>
            <w:tcBorders>
              <w:top w:val="nil"/>
              <w:left w:val="single" w:sz="1" w:space="0" w:color="005677"/>
              <w:right w:val="nil"/>
            </w:tcBorders>
            <w:shd w:val="clear" w:color="auto" w:fill="005677"/>
          </w:tcPr>
          <w:p w:rsidR="00A544FD" w:rsidRPr="00A942E6" w:rsidRDefault="00A544FD" w:rsidP="00A942E6">
            <w:pPr>
              <w:rPr>
                <w:b/>
                <w:color w:val="FFFFFF" w:themeColor="background1"/>
              </w:rPr>
            </w:pPr>
            <w:r w:rsidRPr="00A942E6">
              <w:rPr>
                <w:b/>
                <w:color w:val="FFFFFF" w:themeColor="background1"/>
              </w:rPr>
              <w:t>Post Implementation Review required</w:t>
            </w:r>
          </w:p>
        </w:tc>
      </w:tr>
      <w:tr w:rsidR="00A544FD" w:rsidRPr="00361C04" w:rsidTr="00A50DA3">
        <w:tc>
          <w:tcPr>
            <w:tcW w:w="1979" w:type="dxa"/>
            <w:tcBorders>
              <w:top w:val="nil"/>
              <w:left w:val="nil"/>
              <w:bottom w:val="single" w:sz="2" w:space="0" w:color="005677"/>
            </w:tcBorders>
            <w:shd w:val="clear" w:color="auto" w:fill="auto"/>
          </w:tcPr>
          <w:p w:rsidR="00A544FD" w:rsidRPr="00361C04" w:rsidRDefault="00A544FD" w:rsidP="00F20B31">
            <w:pPr>
              <w:ind w:right="45"/>
            </w:pPr>
            <w:r w:rsidRPr="00361C04">
              <w:t>The Industry Portfolio Total</w:t>
            </w:r>
          </w:p>
        </w:tc>
        <w:tc>
          <w:tcPr>
            <w:tcW w:w="2268" w:type="dxa"/>
            <w:tcBorders>
              <w:top w:val="nil"/>
              <w:bottom w:val="single" w:sz="2" w:space="0" w:color="005677"/>
            </w:tcBorders>
          </w:tcPr>
          <w:p w:rsidR="00A544FD" w:rsidRPr="00361C04" w:rsidRDefault="00A544FD" w:rsidP="00F20B31">
            <w:pPr>
              <w:pStyle w:val="TableParagraph"/>
              <w:ind w:right="45"/>
              <w:rPr>
                <w:w w:val="105"/>
              </w:rPr>
            </w:pPr>
            <w:r>
              <w:rPr>
                <w:w w:val="105"/>
              </w:rPr>
              <w:t>11</w:t>
            </w:r>
          </w:p>
        </w:tc>
        <w:tc>
          <w:tcPr>
            <w:tcW w:w="2268" w:type="dxa"/>
            <w:tcBorders>
              <w:top w:val="nil"/>
              <w:bottom w:val="single" w:sz="2" w:space="0" w:color="005677"/>
            </w:tcBorders>
          </w:tcPr>
          <w:p w:rsidR="00A544FD" w:rsidRPr="00361C04" w:rsidRDefault="00A544FD" w:rsidP="00F20B31">
            <w:pPr>
              <w:pStyle w:val="TableParagraph"/>
              <w:ind w:right="45"/>
              <w:rPr>
                <w:w w:val="105"/>
              </w:rPr>
            </w:pPr>
            <w:r w:rsidRPr="00361C04">
              <w:rPr>
                <w:w w:val="105"/>
              </w:rPr>
              <w:t>0</w:t>
            </w:r>
          </w:p>
        </w:tc>
        <w:tc>
          <w:tcPr>
            <w:tcW w:w="1985" w:type="dxa"/>
            <w:tcBorders>
              <w:top w:val="nil"/>
              <w:bottom w:val="single" w:sz="2" w:space="0" w:color="005677"/>
              <w:right w:val="nil"/>
            </w:tcBorders>
            <w:shd w:val="clear" w:color="auto" w:fill="auto"/>
          </w:tcPr>
          <w:p w:rsidR="00A544FD" w:rsidRPr="00361C04" w:rsidRDefault="00A544FD" w:rsidP="00F20B31">
            <w:pPr>
              <w:pStyle w:val="TableParagraph"/>
              <w:ind w:right="45"/>
              <w:rPr>
                <w:w w:val="105"/>
              </w:rPr>
            </w:pPr>
            <w:r w:rsidRPr="00361C04">
              <w:rPr>
                <w:w w:val="105"/>
              </w:rPr>
              <w:t>0</w:t>
            </w:r>
          </w:p>
        </w:tc>
      </w:tr>
      <w:tr w:rsidR="00A544FD" w:rsidTr="00A50DA3">
        <w:tc>
          <w:tcPr>
            <w:tcW w:w="1979" w:type="dxa"/>
            <w:tcBorders>
              <w:top w:val="single" w:sz="2" w:space="0" w:color="005677"/>
              <w:left w:val="nil"/>
              <w:bottom w:val="single" w:sz="2" w:space="0" w:color="005677"/>
            </w:tcBorders>
            <w:shd w:val="clear" w:color="auto" w:fill="C6D9F1" w:themeFill="text2" w:themeFillTint="33"/>
          </w:tcPr>
          <w:p w:rsidR="00A544FD" w:rsidRPr="00361C04" w:rsidRDefault="00A544FD" w:rsidP="00F20B31">
            <w:pPr>
              <w:ind w:right="45"/>
            </w:pPr>
            <w:r w:rsidRPr="00361C04">
              <w:t>The Department of Industry</w:t>
            </w:r>
          </w:p>
        </w:tc>
        <w:tc>
          <w:tcPr>
            <w:tcW w:w="2268" w:type="dxa"/>
            <w:tcBorders>
              <w:top w:val="single" w:sz="2" w:space="0" w:color="005677"/>
              <w:bottom w:val="single" w:sz="2" w:space="0" w:color="005677"/>
            </w:tcBorders>
            <w:shd w:val="clear" w:color="auto" w:fill="C6D9F1" w:themeFill="text2" w:themeFillTint="33"/>
          </w:tcPr>
          <w:p w:rsidR="00A544FD" w:rsidRPr="00361C04" w:rsidRDefault="00A544FD" w:rsidP="00F20B31">
            <w:pPr>
              <w:pStyle w:val="TableParagraph"/>
              <w:ind w:right="45"/>
            </w:pPr>
            <w:r>
              <w:t>7</w:t>
            </w:r>
          </w:p>
        </w:tc>
        <w:tc>
          <w:tcPr>
            <w:tcW w:w="2268" w:type="dxa"/>
            <w:tcBorders>
              <w:top w:val="single" w:sz="2" w:space="0" w:color="005677"/>
              <w:bottom w:val="single" w:sz="2" w:space="0" w:color="005677"/>
            </w:tcBorders>
            <w:shd w:val="clear" w:color="auto" w:fill="C6D9F1" w:themeFill="text2" w:themeFillTint="33"/>
          </w:tcPr>
          <w:p w:rsidR="00A544FD" w:rsidRPr="00361C04" w:rsidRDefault="00A544FD" w:rsidP="00F20B31">
            <w:pPr>
              <w:pStyle w:val="TableParagraph"/>
              <w:ind w:right="45"/>
            </w:pPr>
            <w:r w:rsidRPr="00361C04">
              <w:t>0</w:t>
            </w:r>
          </w:p>
        </w:tc>
        <w:tc>
          <w:tcPr>
            <w:tcW w:w="1985" w:type="dxa"/>
            <w:tcBorders>
              <w:top w:val="single" w:sz="2" w:space="0" w:color="005677"/>
              <w:bottom w:val="single" w:sz="2" w:space="0" w:color="005677"/>
              <w:right w:val="nil"/>
            </w:tcBorders>
            <w:shd w:val="clear" w:color="auto" w:fill="C6D9F1" w:themeFill="text2" w:themeFillTint="33"/>
          </w:tcPr>
          <w:p w:rsidR="00A544FD" w:rsidRPr="00361C04" w:rsidRDefault="00A544FD" w:rsidP="00F20B31">
            <w:pPr>
              <w:pStyle w:val="TableParagraph"/>
              <w:ind w:right="45"/>
            </w:pPr>
            <w:r w:rsidRPr="00361C04">
              <w:t>0</w:t>
            </w:r>
          </w:p>
        </w:tc>
      </w:tr>
      <w:tr w:rsidR="00A544FD" w:rsidTr="00A50DA3">
        <w:tc>
          <w:tcPr>
            <w:tcW w:w="1979" w:type="dxa"/>
            <w:tcBorders>
              <w:top w:val="single" w:sz="2" w:space="0" w:color="005677"/>
              <w:left w:val="nil"/>
              <w:bottom w:val="single" w:sz="2" w:space="0" w:color="005677"/>
            </w:tcBorders>
            <w:shd w:val="clear" w:color="auto" w:fill="auto"/>
          </w:tcPr>
          <w:p w:rsidR="00A544FD" w:rsidRPr="00361C04" w:rsidRDefault="00A544FD" w:rsidP="00F20B31">
            <w:pPr>
              <w:ind w:right="45"/>
            </w:pPr>
            <w:r w:rsidRPr="00361C04">
              <w:t>IP Australia</w:t>
            </w:r>
          </w:p>
        </w:tc>
        <w:tc>
          <w:tcPr>
            <w:tcW w:w="2268" w:type="dxa"/>
            <w:tcBorders>
              <w:top w:val="single" w:sz="2" w:space="0" w:color="005677"/>
              <w:bottom w:val="single" w:sz="2" w:space="0" w:color="005677"/>
            </w:tcBorders>
          </w:tcPr>
          <w:p w:rsidR="00A544FD" w:rsidRPr="00361C04" w:rsidRDefault="00A544FD" w:rsidP="00F20B31">
            <w:pPr>
              <w:pStyle w:val="TableParagraph"/>
              <w:ind w:right="45"/>
            </w:pPr>
            <w:r>
              <w:t>1</w:t>
            </w:r>
          </w:p>
        </w:tc>
        <w:tc>
          <w:tcPr>
            <w:tcW w:w="2268" w:type="dxa"/>
            <w:tcBorders>
              <w:top w:val="single" w:sz="2" w:space="0" w:color="005677"/>
              <w:bottom w:val="single" w:sz="2" w:space="0" w:color="005677"/>
            </w:tcBorders>
          </w:tcPr>
          <w:p w:rsidR="00A544FD" w:rsidRPr="00361C04" w:rsidRDefault="00A544FD" w:rsidP="00F20B31">
            <w:pPr>
              <w:pStyle w:val="TableParagraph"/>
              <w:ind w:right="45"/>
            </w:pPr>
            <w:r w:rsidRPr="00361C04">
              <w:t>0</w:t>
            </w:r>
          </w:p>
        </w:tc>
        <w:tc>
          <w:tcPr>
            <w:tcW w:w="1985" w:type="dxa"/>
            <w:tcBorders>
              <w:top w:val="single" w:sz="2" w:space="0" w:color="005677"/>
              <w:bottom w:val="single" w:sz="2" w:space="0" w:color="005677"/>
              <w:right w:val="nil"/>
            </w:tcBorders>
            <w:shd w:val="clear" w:color="auto" w:fill="auto"/>
          </w:tcPr>
          <w:p w:rsidR="00A544FD" w:rsidRPr="00361C04" w:rsidRDefault="00A544FD" w:rsidP="00F20B31">
            <w:pPr>
              <w:pStyle w:val="TableParagraph"/>
              <w:ind w:right="45"/>
            </w:pPr>
            <w:r w:rsidRPr="00361C04">
              <w:t>0</w:t>
            </w:r>
          </w:p>
        </w:tc>
      </w:tr>
      <w:tr w:rsidR="00A544FD" w:rsidTr="00A50DA3">
        <w:tc>
          <w:tcPr>
            <w:tcW w:w="1979" w:type="dxa"/>
            <w:tcBorders>
              <w:top w:val="single" w:sz="2" w:space="0" w:color="005677"/>
              <w:left w:val="nil"/>
              <w:bottom w:val="single" w:sz="2" w:space="0" w:color="005677"/>
            </w:tcBorders>
            <w:shd w:val="clear" w:color="auto" w:fill="C6D9F1" w:themeFill="text2" w:themeFillTint="33"/>
          </w:tcPr>
          <w:p w:rsidR="00A544FD" w:rsidRPr="00361C04" w:rsidRDefault="00A544FD" w:rsidP="00F20B31">
            <w:pPr>
              <w:ind w:right="45"/>
            </w:pPr>
            <w:r w:rsidRPr="00361C04">
              <w:t>Australian Building Codes Board</w:t>
            </w:r>
          </w:p>
        </w:tc>
        <w:tc>
          <w:tcPr>
            <w:tcW w:w="2268" w:type="dxa"/>
            <w:tcBorders>
              <w:top w:val="single" w:sz="2" w:space="0" w:color="005677"/>
              <w:bottom w:val="single" w:sz="2" w:space="0" w:color="005677"/>
            </w:tcBorders>
            <w:shd w:val="clear" w:color="auto" w:fill="C6D9F1" w:themeFill="text2" w:themeFillTint="33"/>
          </w:tcPr>
          <w:p w:rsidR="00A544FD" w:rsidRPr="00361C04" w:rsidRDefault="00A544FD" w:rsidP="00F20B31">
            <w:pPr>
              <w:pStyle w:val="TableParagraph"/>
              <w:ind w:right="45"/>
            </w:pPr>
            <w:r>
              <w:t>2</w:t>
            </w:r>
          </w:p>
        </w:tc>
        <w:tc>
          <w:tcPr>
            <w:tcW w:w="2268" w:type="dxa"/>
            <w:tcBorders>
              <w:top w:val="single" w:sz="2" w:space="0" w:color="005677"/>
              <w:bottom w:val="single" w:sz="2" w:space="0" w:color="005677"/>
            </w:tcBorders>
            <w:shd w:val="clear" w:color="auto" w:fill="C6D9F1" w:themeFill="text2" w:themeFillTint="33"/>
          </w:tcPr>
          <w:p w:rsidR="00A544FD" w:rsidRPr="00361C04" w:rsidRDefault="00A544FD" w:rsidP="00F20B31">
            <w:pPr>
              <w:pStyle w:val="TableParagraph"/>
              <w:ind w:right="45"/>
            </w:pPr>
            <w:r w:rsidRPr="00361C04">
              <w:t>0</w:t>
            </w:r>
          </w:p>
        </w:tc>
        <w:tc>
          <w:tcPr>
            <w:tcW w:w="1985" w:type="dxa"/>
            <w:tcBorders>
              <w:top w:val="single" w:sz="2" w:space="0" w:color="005677"/>
              <w:bottom w:val="single" w:sz="2" w:space="0" w:color="005677"/>
              <w:right w:val="nil"/>
            </w:tcBorders>
            <w:shd w:val="clear" w:color="auto" w:fill="C6D9F1" w:themeFill="text2" w:themeFillTint="33"/>
          </w:tcPr>
          <w:p w:rsidR="00A544FD" w:rsidRPr="00361C04" w:rsidRDefault="00A544FD" w:rsidP="00F20B31">
            <w:pPr>
              <w:pStyle w:val="TableParagraph"/>
              <w:ind w:right="45"/>
            </w:pPr>
            <w:r w:rsidRPr="00361C04">
              <w:t>0</w:t>
            </w:r>
          </w:p>
        </w:tc>
      </w:tr>
      <w:tr w:rsidR="00A544FD" w:rsidTr="00A50DA3">
        <w:tc>
          <w:tcPr>
            <w:tcW w:w="1979" w:type="dxa"/>
            <w:tcBorders>
              <w:top w:val="single" w:sz="2" w:space="0" w:color="005677"/>
              <w:left w:val="nil"/>
              <w:bottom w:val="single" w:sz="2" w:space="0" w:color="005677"/>
            </w:tcBorders>
            <w:shd w:val="clear" w:color="auto" w:fill="auto"/>
          </w:tcPr>
          <w:p w:rsidR="00A544FD" w:rsidRPr="00361C04" w:rsidRDefault="00A544FD" w:rsidP="00A942E6">
            <w:pPr>
              <w:ind w:right="45"/>
            </w:pPr>
            <w:r w:rsidRPr="00361C04">
              <w:t>Standing Council on Energy and Resources</w:t>
            </w:r>
          </w:p>
        </w:tc>
        <w:tc>
          <w:tcPr>
            <w:tcW w:w="2268" w:type="dxa"/>
            <w:tcBorders>
              <w:top w:val="single" w:sz="2" w:space="0" w:color="005677"/>
              <w:bottom w:val="single" w:sz="2" w:space="0" w:color="005677"/>
            </w:tcBorders>
          </w:tcPr>
          <w:p w:rsidR="00A544FD" w:rsidRPr="00361C04" w:rsidRDefault="00A544FD" w:rsidP="00F20B31">
            <w:pPr>
              <w:pStyle w:val="TableParagraph"/>
              <w:ind w:right="45"/>
            </w:pPr>
            <w:r>
              <w:t>1</w:t>
            </w:r>
          </w:p>
        </w:tc>
        <w:tc>
          <w:tcPr>
            <w:tcW w:w="2268" w:type="dxa"/>
            <w:tcBorders>
              <w:top w:val="single" w:sz="2" w:space="0" w:color="005677"/>
              <w:bottom w:val="single" w:sz="2" w:space="0" w:color="005677"/>
            </w:tcBorders>
          </w:tcPr>
          <w:p w:rsidR="00A544FD" w:rsidRPr="00361C04" w:rsidRDefault="00A544FD" w:rsidP="00F20B31">
            <w:pPr>
              <w:pStyle w:val="TableParagraph"/>
              <w:ind w:right="45"/>
            </w:pPr>
            <w:r w:rsidRPr="00361C04">
              <w:t>0</w:t>
            </w:r>
          </w:p>
        </w:tc>
        <w:tc>
          <w:tcPr>
            <w:tcW w:w="1985" w:type="dxa"/>
            <w:tcBorders>
              <w:top w:val="single" w:sz="2" w:space="0" w:color="005677"/>
              <w:bottom w:val="single" w:sz="2" w:space="0" w:color="005677"/>
              <w:right w:val="nil"/>
            </w:tcBorders>
            <w:shd w:val="clear" w:color="auto" w:fill="auto"/>
          </w:tcPr>
          <w:p w:rsidR="00A544FD" w:rsidRPr="00361C04" w:rsidRDefault="00A544FD" w:rsidP="00F20B31">
            <w:pPr>
              <w:ind w:right="45"/>
            </w:pPr>
            <w:r w:rsidRPr="00361C04">
              <w:t>0</w:t>
            </w:r>
          </w:p>
        </w:tc>
      </w:tr>
    </w:tbl>
    <w:p w:rsidR="00700515" w:rsidRDefault="00700515" w:rsidP="00700515"/>
    <w:p w:rsidR="000C7648" w:rsidRDefault="000C7648">
      <w:pPr>
        <w:spacing w:before="0" w:after="0" w:line="240" w:lineRule="auto"/>
      </w:pPr>
      <w:r>
        <w:br w:type="page"/>
      </w:r>
    </w:p>
    <w:p w:rsidR="00E46BBC" w:rsidRDefault="00822AD3" w:rsidP="00A50DA3">
      <w:pPr>
        <w:pStyle w:val="Heading1"/>
      </w:pPr>
      <w:bookmarkStart w:id="102" w:name="_Toc414449051"/>
      <w:bookmarkStart w:id="103" w:name="_Toc414449108"/>
      <w:bookmarkStart w:id="104" w:name="_Toc414449255"/>
      <w:bookmarkStart w:id="105" w:name="_Toc414449431"/>
      <w:r>
        <w:rPr>
          <w:spacing w:val="-3"/>
          <w:w w:val="105"/>
        </w:rPr>
        <w:lastRenderedPageBreak/>
        <w:t>A</w:t>
      </w:r>
      <w:r>
        <w:rPr>
          <w:w w:val="105"/>
        </w:rPr>
        <w:t>ppendix</w:t>
      </w:r>
      <w:r>
        <w:rPr>
          <w:spacing w:val="-41"/>
          <w:w w:val="105"/>
        </w:rPr>
        <w:t xml:space="preserve"> </w:t>
      </w:r>
      <w:r>
        <w:rPr>
          <w:w w:val="105"/>
        </w:rPr>
        <w:t>B:</w:t>
      </w:r>
      <w:r w:rsidR="00700515">
        <w:rPr>
          <w:w w:val="105"/>
        </w:rPr>
        <w:br/>
      </w:r>
      <w:r>
        <w:rPr>
          <w:w w:val="105"/>
        </w:rPr>
        <w:t>The</w:t>
      </w:r>
      <w:r>
        <w:rPr>
          <w:spacing w:val="-35"/>
          <w:w w:val="105"/>
        </w:rPr>
        <w:t xml:space="preserve"> </w:t>
      </w:r>
      <w:r>
        <w:rPr>
          <w:spacing w:val="-4"/>
          <w:w w:val="105"/>
        </w:rPr>
        <w:t>A</w:t>
      </w:r>
      <w:r>
        <w:rPr>
          <w:spacing w:val="-3"/>
          <w:w w:val="105"/>
        </w:rPr>
        <w:t>udit</w:t>
      </w:r>
      <w:r>
        <w:rPr>
          <w:spacing w:val="-35"/>
          <w:w w:val="105"/>
        </w:rPr>
        <w:t xml:space="preserve"> </w:t>
      </w:r>
      <w:r>
        <w:rPr>
          <w:spacing w:val="-3"/>
          <w:w w:val="105"/>
        </w:rPr>
        <w:t>of</w:t>
      </w:r>
      <w:r>
        <w:rPr>
          <w:spacing w:val="-35"/>
          <w:w w:val="105"/>
        </w:rPr>
        <w:t xml:space="preserve"> </w:t>
      </w:r>
      <w:r>
        <w:rPr>
          <w:spacing w:val="-2"/>
          <w:w w:val="105"/>
        </w:rPr>
        <w:t>Regul</w:t>
      </w:r>
      <w:r>
        <w:rPr>
          <w:spacing w:val="-1"/>
          <w:w w:val="105"/>
        </w:rPr>
        <w:t>ations</w:t>
      </w:r>
      <w:r>
        <w:rPr>
          <w:spacing w:val="-35"/>
          <w:w w:val="105"/>
        </w:rPr>
        <w:t xml:space="preserve"> </w:t>
      </w:r>
      <w:r>
        <w:rPr>
          <w:w w:val="105"/>
        </w:rPr>
        <w:t>–</w:t>
      </w:r>
      <w:r>
        <w:rPr>
          <w:spacing w:val="-35"/>
          <w:w w:val="105"/>
        </w:rPr>
        <w:t xml:space="preserve"> </w:t>
      </w:r>
      <w:r>
        <w:rPr>
          <w:w w:val="105"/>
        </w:rPr>
        <w:t>Major</w:t>
      </w:r>
      <w:r>
        <w:rPr>
          <w:spacing w:val="-35"/>
          <w:w w:val="105"/>
        </w:rPr>
        <w:t xml:space="preserve"> </w:t>
      </w:r>
      <w:r>
        <w:rPr>
          <w:w w:val="105"/>
        </w:rPr>
        <w:t>Findings</w:t>
      </w:r>
      <w:bookmarkEnd w:id="102"/>
      <w:bookmarkEnd w:id="103"/>
      <w:bookmarkEnd w:id="104"/>
      <w:bookmarkEnd w:id="105"/>
    </w:p>
    <w:p w:rsidR="00E46BBC" w:rsidRPr="00F20B31" w:rsidRDefault="00822AD3" w:rsidP="00F20B31">
      <w:r w:rsidRPr="00F20B31">
        <w:t>The regulation reform team used several sources of information to identify all regulations to ensure they were captured in the Audit process. This included:</w:t>
      </w:r>
    </w:p>
    <w:p w:rsidR="00E46BBC" w:rsidRPr="002159E3" w:rsidRDefault="00822AD3" w:rsidP="00A50DA3">
      <w:pPr>
        <w:pStyle w:val="ListParagraph"/>
        <w:numPr>
          <w:ilvl w:val="0"/>
          <w:numId w:val="10"/>
        </w:numPr>
        <w:ind w:right="45"/>
      </w:pPr>
      <w:r w:rsidRPr="002159E3">
        <w:t>identification of legislation listed in the 2013 Administrative Arrangement Orders (AAOs)</w:t>
      </w:r>
    </w:p>
    <w:p w:rsidR="00E46BBC" w:rsidRPr="00BB2270" w:rsidRDefault="00822AD3" w:rsidP="00A50DA3">
      <w:pPr>
        <w:pStyle w:val="ListParagraph"/>
        <w:numPr>
          <w:ilvl w:val="0"/>
          <w:numId w:val="10"/>
        </w:numPr>
        <w:ind w:right="45"/>
      </w:pPr>
      <w:r w:rsidRPr="00BB2270">
        <w:t>review of all divisional business plans and work programmes across the portfolio</w:t>
      </w:r>
    </w:p>
    <w:p w:rsidR="00E46BBC" w:rsidRPr="00BB2270" w:rsidRDefault="00822AD3" w:rsidP="00A50DA3">
      <w:pPr>
        <w:pStyle w:val="ListParagraph"/>
        <w:numPr>
          <w:ilvl w:val="0"/>
          <w:numId w:val="10"/>
        </w:numPr>
        <w:ind w:right="45"/>
      </w:pPr>
      <w:r w:rsidRPr="00BB2270">
        <w:t>corporate knowledge across the portfolio</w:t>
      </w:r>
    </w:p>
    <w:p w:rsidR="00E46BBC" w:rsidRPr="00F20B31" w:rsidRDefault="00822AD3" w:rsidP="00F20B31">
      <w:r w:rsidRPr="00F20B31">
        <w:t>The portfolio costed all regulation stock to establish a baseline across the portfolio, which included the 79 pieces of legislation listed on its AAOs. A full list of the portfolio’s legislation is at Appendix D. This costing process will enable the portfolio to manage regulatory offsets, identify best practice regulation and analysis of our data to assist line areas to identify potential reform.</w:t>
      </w:r>
    </w:p>
    <w:p w:rsidR="00E46BBC" w:rsidRPr="00BB2270" w:rsidRDefault="00822AD3" w:rsidP="000908D2">
      <w:r w:rsidRPr="00F20B31">
        <w:t>Summary of key results:</w:t>
      </w:r>
    </w:p>
    <w:p w:rsidR="00E46BBC" w:rsidRPr="002159E3" w:rsidRDefault="00822AD3" w:rsidP="00A50DA3">
      <w:pPr>
        <w:pStyle w:val="ListParagraph"/>
        <w:numPr>
          <w:ilvl w:val="0"/>
          <w:numId w:val="7"/>
        </w:numPr>
        <w:ind w:right="45"/>
      </w:pPr>
      <w:r w:rsidRPr="002159E3">
        <w:t xml:space="preserve">The Department of Industry was responsible for 79 legislated acts, 156 subordinate instruments and </w:t>
      </w:r>
      <w:r w:rsidR="00A942E6">
        <w:t>104 pieces of quasi regulation</w:t>
      </w:r>
      <w:r w:rsidR="00A942E6">
        <w:rPr>
          <w:rStyle w:val="FootnoteReference"/>
        </w:rPr>
        <w:footnoteReference w:id="13"/>
      </w:r>
    </w:p>
    <w:p w:rsidR="00E46BBC" w:rsidRPr="00BB2270" w:rsidRDefault="00822AD3" w:rsidP="00A50DA3">
      <w:pPr>
        <w:pStyle w:val="ListParagraph"/>
        <w:numPr>
          <w:ilvl w:val="0"/>
          <w:numId w:val="7"/>
        </w:numPr>
        <w:ind w:right="45"/>
      </w:pPr>
      <w:r w:rsidRPr="00BB2270">
        <w:t>The annual total compliance cost to industry is $2.15 billion (pre machinery of government)</w:t>
      </w:r>
    </w:p>
    <w:p w:rsidR="00E46BBC" w:rsidRPr="00BB2270" w:rsidRDefault="00822AD3" w:rsidP="00A50DA3">
      <w:pPr>
        <w:pStyle w:val="ListParagraph"/>
        <w:numPr>
          <w:ilvl w:val="0"/>
          <w:numId w:val="7"/>
        </w:numPr>
        <w:ind w:right="45"/>
      </w:pPr>
      <w:r w:rsidRPr="00BB2270">
        <w:t>Ten programmes and legislation administered by the portfolio account for approximately 90 per cent of the portfolio’s regulatory burden</w:t>
      </w:r>
    </w:p>
    <w:p w:rsidR="00E46BBC" w:rsidRDefault="00822AD3" w:rsidP="00A50DA3">
      <w:pPr>
        <w:pStyle w:val="Heading2"/>
        <w:rPr>
          <w:rFonts w:eastAsia="Century Gothic" w:hAnsi="Century Gothic" w:cs="Century Gothic"/>
          <w:szCs w:val="24"/>
        </w:rPr>
      </w:pPr>
      <w:bookmarkStart w:id="106" w:name="_Toc414449052"/>
      <w:bookmarkStart w:id="107" w:name="_Toc414449109"/>
      <w:bookmarkStart w:id="108" w:name="_Toc414449256"/>
      <w:bookmarkStart w:id="109" w:name="_Toc414449432"/>
      <w:r>
        <w:rPr>
          <w:spacing w:val="-1"/>
        </w:rPr>
        <w:t>S</w:t>
      </w:r>
      <w:r>
        <w:t>tage</w:t>
      </w:r>
      <w:r>
        <w:rPr>
          <w:spacing w:val="-5"/>
        </w:rPr>
        <w:t xml:space="preserve"> </w:t>
      </w:r>
      <w:r>
        <w:t>one</w:t>
      </w:r>
      <w:bookmarkEnd w:id="106"/>
      <w:bookmarkEnd w:id="107"/>
      <w:bookmarkEnd w:id="108"/>
      <w:bookmarkEnd w:id="109"/>
    </w:p>
    <w:p w:rsidR="00E46BBC" w:rsidRPr="00F20B31" w:rsidRDefault="00822AD3" w:rsidP="00F20B31">
      <w:r w:rsidRPr="00F20B31">
        <w:t>All portfolios were required to measure their stock of regulation in 2014. This included identifying all the legislated and quasi-regulation in their business units.</w:t>
      </w:r>
    </w:p>
    <w:p w:rsidR="00E46BBC" w:rsidRPr="00F20B31" w:rsidRDefault="00822AD3" w:rsidP="00F20B31">
      <w:r w:rsidRPr="00F20B31">
        <w:t>The portfolio reported 784 regulations in its Stage One Result report to Department of the Prime Minister and Cabinet (PM&amp;C). Regulations were reported at the sub regulation level. Through the portfolio’s ongoing quality assurance of the regulation stock as part of the Stage two audit, an additional 70 pieces of regulation were identified bringing the total to 854.</w:t>
      </w:r>
    </w:p>
    <w:p w:rsidR="00E46BBC" w:rsidRPr="00F20B31" w:rsidRDefault="00822AD3" w:rsidP="00F20B31">
      <w:r w:rsidRPr="00F20B31">
        <w:t>As part of the reporting requirements for the Stage One Results Report, the portfolio ranked all regulations by a score calculated using stakeholder numbers and requirements imposed. A burden of high, medium or low was estimated by separating the regulations into quartiles based on score, with the lowest two quartiles being assigned low burden.</w:t>
      </w:r>
    </w:p>
    <w:p w:rsidR="00E46BBC" w:rsidRDefault="00822AD3" w:rsidP="00A50DA3">
      <w:pPr>
        <w:pStyle w:val="Heading2"/>
        <w:rPr>
          <w:rFonts w:eastAsia="Century Gothic" w:hAnsi="Century Gothic" w:cs="Century Gothic"/>
          <w:szCs w:val="24"/>
        </w:rPr>
      </w:pPr>
      <w:bookmarkStart w:id="110" w:name="_Toc414449053"/>
      <w:bookmarkStart w:id="111" w:name="_Toc414449110"/>
      <w:bookmarkStart w:id="112" w:name="_Toc414449257"/>
      <w:bookmarkStart w:id="113" w:name="_Toc414449433"/>
      <w:r>
        <w:rPr>
          <w:spacing w:val="-1"/>
          <w:w w:val="105"/>
        </w:rPr>
        <w:t>S</w:t>
      </w:r>
      <w:r>
        <w:rPr>
          <w:w w:val="105"/>
        </w:rPr>
        <w:t>tage</w:t>
      </w:r>
      <w:r>
        <w:rPr>
          <w:spacing w:val="-25"/>
          <w:w w:val="105"/>
        </w:rPr>
        <w:t xml:space="preserve"> </w:t>
      </w:r>
      <w:r>
        <w:rPr>
          <w:w w:val="105"/>
        </w:rPr>
        <w:t>tw</w:t>
      </w:r>
      <w:r>
        <w:rPr>
          <w:spacing w:val="-3"/>
          <w:w w:val="105"/>
        </w:rPr>
        <w:t>o</w:t>
      </w:r>
      <w:bookmarkEnd w:id="110"/>
      <w:bookmarkEnd w:id="111"/>
      <w:bookmarkEnd w:id="112"/>
      <w:bookmarkEnd w:id="113"/>
    </w:p>
    <w:p w:rsidR="00E46BBC" w:rsidRPr="00F20B31" w:rsidRDefault="00822AD3" w:rsidP="00F20B31">
      <w:r w:rsidRPr="00F20B31">
        <w:t>Divisions and agencies were asked to provide detailed costings of every regulation identified in Stage One of the Audit.</w:t>
      </w:r>
    </w:p>
    <w:p w:rsidR="00E46BBC" w:rsidRPr="00F20B31" w:rsidRDefault="00822AD3" w:rsidP="00F20B31">
      <w:r w:rsidRPr="00F20B31">
        <w:t>The portfolio costed its regulations using the PM&amp;C Regulatory Burden Measurement (RBM) Framework in line with guidance from PM&amp;C. Divisions and agencies were provided with assistance to ensure line areas understood the RBM and how to cost their regulations.</w:t>
      </w:r>
    </w:p>
    <w:p w:rsidR="00E46BBC" w:rsidRDefault="00822AD3" w:rsidP="00F20B31">
      <w:r w:rsidRPr="00F20B31">
        <w:t>Following completion of Stage Two costings, the classification of high, medium or low burden became redundant. Programmes and legislation that impact a large stakeholder base tends to impose more burden overall. Ten programmes and legislation administered by the portfolio account for approximately 90 per cent of the portfolio’s regulatory burden.</w:t>
      </w:r>
    </w:p>
    <w:p w:rsidR="000C7648" w:rsidRDefault="000C7648">
      <w:pPr>
        <w:spacing w:before="0" w:after="0" w:line="240" w:lineRule="auto"/>
      </w:pPr>
      <w:r>
        <w:br w:type="page"/>
      </w:r>
    </w:p>
    <w:p w:rsidR="00E46BBC" w:rsidRDefault="00822AD3" w:rsidP="00A50DA3">
      <w:pPr>
        <w:pStyle w:val="Heading1"/>
      </w:pPr>
      <w:bookmarkStart w:id="114" w:name="_Toc414449054"/>
      <w:bookmarkStart w:id="115" w:name="_Toc414449111"/>
      <w:bookmarkStart w:id="116" w:name="_Toc414449258"/>
      <w:bookmarkStart w:id="117" w:name="_Toc414449434"/>
      <w:r>
        <w:rPr>
          <w:spacing w:val="-3"/>
          <w:w w:val="105"/>
        </w:rPr>
        <w:lastRenderedPageBreak/>
        <w:t>A</w:t>
      </w:r>
      <w:r>
        <w:rPr>
          <w:w w:val="105"/>
        </w:rPr>
        <w:t>ppendix</w:t>
      </w:r>
      <w:r>
        <w:rPr>
          <w:spacing w:val="-27"/>
          <w:w w:val="105"/>
        </w:rPr>
        <w:t xml:space="preserve"> </w:t>
      </w:r>
      <w:r>
        <w:rPr>
          <w:w w:val="105"/>
        </w:rPr>
        <w:t>C:</w:t>
      </w:r>
      <w:r w:rsidR="00700515">
        <w:rPr>
          <w:w w:val="105"/>
        </w:rPr>
        <w:br/>
      </w:r>
      <w:r>
        <w:rPr>
          <w:spacing w:val="-2"/>
        </w:rPr>
        <w:t>Measures</w:t>
      </w:r>
      <w:r>
        <w:rPr>
          <w:spacing w:val="23"/>
        </w:rPr>
        <w:t xml:space="preserve"> </w:t>
      </w:r>
      <w:r>
        <w:t>announced</w:t>
      </w:r>
      <w:r>
        <w:rPr>
          <w:spacing w:val="24"/>
        </w:rPr>
        <w:t xml:space="preserve"> </w:t>
      </w:r>
      <w:r>
        <w:t>in</w:t>
      </w:r>
      <w:r>
        <w:rPr>
          <w:spacing w:val="24"/>
        </w:rPr>
        <w:t xml:space="preserve"> </w:t>
      </w:r>
      <w:r>
        <w:t>2014</w:t>
      </w:r>
      <w:r>
        <w:rPr>
          <w:spacing w:val="24"/>
        </w:rPr>
        <w:t xml:space="preserve"> </w:t>
      </w:r>
      <w:r>
        <w:t>—</w:t>
      </w:r>
      <w:r>
        <w:rPr>
          <w:spacing w:val="24"/>
        </w:rPr>
        <w:t xml:space="preserve"> </w:t>
      </w:r>
      <w:r>
        <w:t>delivering</w:t>
      </w:r>
      <w:r>
        <w:rPr>
          <w:spacing w:val="29"/>
          <w:w w:val="105"/>
        </w:rPr>
        <w:t xml:space="preserve"> </w:t>
      </w:r>
      <w:r>
        <w:t>near</w:t>
      </w:r>
      <w:r>
        <w:rPr>
          <w:spacing w:val="-2"/>
        </w:rPr>
        <w:t>ly</w:t>
      </w:r>
      <w:r>
        <w:rPr>
          <w:spacing w:val="30"/>
        </w:rPr>
        <w:t xml:space="preserve"> </w:t>
      </w:r>
      <w:r>
        <w:t>$220</w:t>
      </w:r>
      <w:r>
        <w:rPr>
          <w:spacing w:val="31"/>
        </w:rPr>
        <w:t xml:space="preserve"> </w:t>
      </w:r>
      <w:r>
        <w:t>million</w:t>
      </w:r>
      <w:r>
        <w:rPr>
          <w:spacing w:val="30"/>
        </w:rPr>
        <w:t xml:space="preserve"> </w:t>
      </w:r>
      <w:r>
        <w:t>in</w:t>
      </w:r>
      <w:r>
        <w:rPr>
          <w:spacing w:val="31"/>
        </w:rPr>
        <w:t xml:space="preserve"> </w:t>
      </w:r>
      <w:r>
        <w:t>savings</w:t>
      </w:r>
      <w:bookmarkEnd w:id="114"/>
      <w:bookmarkEnd w:id="115"/>
      <w:bookmarkEnd w:id="116"/>
      <w:bookmarkEnd w:id="117"/>
    </w:p>
    <w:p w:rsidR="00F3711F" w:rsidRPr="00F20B31" w:rsidRDefault="00F3711F" w:rsidP="00F20B31">
      <w:r w:rsidRPr="00F20B31">
        <w:t>The portfolio delivered nearly $220 million in savings to businesses, individuals and community organisations. This includes savings to the building and construction sector of $4.8 million annually through making the National Construction Code free of charge online. The removal of purchase costs do not count towards the Government’s red tape reduction target and therefore this measure is not detailed below.</w:t>
      </w:r>
    </w:p>
    <w:p w:rsidR="00F3711F" w:rsidRPr="00F20B31" w:rsidRDefault="00F3711F" w:rsidP="00F20B31">
      <w:r w:rsidRPr="00F20B31">
        <w:t>In accordance with the RBM Framework, the portfolio contributed $</w:t>
      </w:r>
      <w:r w:rsidR="00896123">
        <w:t>205.67</w:t>
      </w:r>
      <w:r w:rsidRPr="00F20B31">
        <w:t xml:space="preserve"> million towards the Government’s red tape reduction target in 2014. The difference between savings to industry and savings that contribute to the red tape reduction target is due to a number of reforms where costs or savings are shared between states and territories and the Commonwealth Government. Only the Commonwealth Government share of reforms contributes to the red tape reduction target.</w:t>
      </w:r>
    </w:p>
    <w:p w:rsidR="00F3711F" w:rsidRPr="00F20B31" w:rsidRDefault="00F3711F" w:rsidP="00F20B31">
      <w:r w:rsidRPr="00F20B31">
        <w:t>The portfolio is committed to designing and implementing new policy and programmes that are consistent with best practice and impose the least compliance costs on those impacted by the policy or accessing the programme.</w:t>
      </w:r>
    </w:p>
    <w:p w:rsidR="00F3711F" w:rsidRPr="00F20B31" w:rsidRDefault="00F3711F" w:rsidP="00F20B31">
      <w:r w:rsidRPr="00F20B31">
        <w:t>A number of regulatory reform measures over $1 million that were previously reported in the 2014 Autumn and Spring Repeal Days have been re-costed to reflect the revised PM&amp;C RBM Framework with respect</w:t>
      </w:r>
      <w:r w:rsidR="00896123">
        <w:t xml:space="preserve"> </w:t>
      </w:r>
      <w:r w:rsidRPr="00F20B31">
        <w:t>to the default on-cost rate that is applied to wages. The default rate is now 75 per cent (not 16 per cent) to account for non-wage on costs and overhead costs.</w:t>
      </w:r>
    </w:p>
    <w:p w:rsidR="00E46BBC" w:rsidRPr="00700515" w:rsidRDefault="00822AD3" w:rsidP="00A50DA3">
      <w:pPr>
        <w:pStyle w:val="Heading2"/>
        <w:numPr>
          <w:ilvl w:val="0"/>
          <w:numId w:val="33"/>
        </w:numPr>
        <w:ind w:left="357" w:hanging="357"/>
      </w:pPr>
      <w:bookmarkStart w:id="118" w:name="_Toc414449055"/>
      <w:bookmarkStart w:id="119" w:name="_Toc414449112"/>
      <w:bookmarkStart w:id="120" w:name="_Toc414449259"/>
      <w:bookmarkStart w:id="121" w:name="_Toc414449435"/>
      <w:r>
        <w:rPr>
          <w:spacing w:val="-2"/>
          <w:w w:val="105"/>
        </w:rPr>
        <w:t>Der</w:t>
      </w:r>
      <w:r>
        <w:rPr>
          <w:w w:val="105"/>
        </w:rPr>
        <w:t>egulation</w:t>
      </w:r>
      <w:r>
        <w:rPr>
          <w:spacing w:val="25"/>
          <w:w w:val="105"/>
        </w:rPr>
        <w:t xml:space="preserve"> </w:t>
      </w:r>
      <w:r>
        <w:rPr>
          <w:w w:val="105"/>
        </w:rPr>
        <w:t>measures</w:t>
      </w:r>
      <w:r>
        <w:rPr>
          <w:spacing w:val="26"/>
          <w:w w:val="105"/>
        </w:rPr>
        <w:t xml:space="preserve"> </w:t>
      </w:r>
      <w:r>
        <w:rPr>
          <w:w w:val="105"/>
        </w:rPr>
        <w:t>each</w:t>
      </w:r>
      <w:r>
        <w:rPr>
          <w:spacing w:val="25"/>
          <w:w w:val="105"/>
        </w:rPr>
        <w:t xml:space="preserve"> </w:t>
      </w:r>
      <w:r>
        <w:rPr>
          <w:w w:val="105"/>
        </w:rPr>
        <w:t>delivering</w:t>
      </w:r>
      <w:r>
        <w:rPr>
          <w:spacing w:val="27"/>
          <w:w w:val="105"/>
        </w:rPr>
        <w:t xml:space="preserve"> </w:t>
      </w:r>
      <w:r>
        <w:rPr>
          <w:spacing w:val="-3"/>
          <w:w w:val="105"/>
        </w:rPr>
        <w:t>o</w:t>
      </w:r>
      <w:r>
        <w:rPr>
          <w:spacing w:val="-4"/>
          <w:w w:val="105"/>
        </w:rPr>
        <w:t>v</w:t>
      </w:r>
      <w:r>
        <w:rPr>
          <w:spacing w:val="-3"/>
          <w:w w:val="105"/>
        </w:rPr>
        <w:t>er</w:t>
      </w:r>
      <w:r>
        <w:rPr>
          <w:spacing w:val="-9"/>
          <w:w w:val="105"/>
        </w:rPr>
        <w:t xml:space="preserve"> </w:t>
      </w:r>
      <w:r>
        <w:rPr>
          <w:w w:val="105"/>
        </w:rPr>
        <w:t>$500</w:t>
      </w:r>
      <w:r>
        <w:rPr>
          <w:spacing w:val="-9"/>
          <w:w w:val="105"/>
        </w:rPr>
        <w:t xml:space="preserve"> </w:t>
      </w:r>
      <w:r>
        <w:rPr>
          <w:w w:val="105"/>
        </w:rPr>
        <w:t>000</w:t>
      </w:r>
      <w:r>
        <w:rPr>
          <w:spacing w:val="-9"/>
          <w:w w:val="105"/>
        </w:rPr>
        <w:t xml:space="preserve"> </w:t>
      </w:r>
      <w:r>
        <w:rPr>
          <w:w w:val="105"/>
        </w:rPr>
        <w:t>in</w:t>
      </w:r>
      <w:r>
        <w:rPr>
          <w:spacing w:val="-10"/>
          <w:w w:val="105"/>
        </w:rPr>
        <w:t xml:space="preserve"> </w:t>
      </w:r>
      <w:r>
        <w:rPr>
          <w:w w:val="105"/>
        </w:rPr>
        <w:t>savings</w:t>
      </w:r>
      <w:bookmarkEnd w:id="118"/>
      <w:bookmarkEnd w:id="119"/>
      <w:bookmarkEnd w:id="120"/>
      <w:bookmarkEnd w:id="121"/>
    </w:p>
    <w:p w:rsidR="00E46BBC" w:rsidRDefault="00700515" w:rsidP="00A50DA3">
      <w:pPr>
        <w:pStyle w:val="Heading3"/>
      </w:pPr>
      <w:bookmarkStart w:id="122" w:name="_Toc414449260"/>
      <w:bookmarkStart w:id="123" w:name="_Toc414449436"/>
      <w:r w:rsidRPr="00700515">
        <w:t>One-stop-shop for offshore petroleum environmental approvals (NOPSEMA)</w:t>
      </w:r>
      <w:bookmarkEnd w:id="122"/>
      <w:bookmarkEnd w:id="123"/>
    </w:p>
    <w:p w:rsidR="00E46BBC" w:rsidRPr="00700515" w:rsidRDefault="00822AD3" w:rsidP="00A50DA3">
      <w:pPr>
        <w:pStyle w:val="ListParagraph"/>
        <w:numPr>
          <w:ilvl w:val="0"/>
          <w:numId w:val="11"/>
        </w:numPr>
        <w:ind w:right="45"/>
        <w:rPr>
          <w:szCs w:val="16"/>
        </w:rPr>
      </w:pPr>
      <w:r>
        <w:t>On</w:t>
      </w:r>
      <w:r w:rsidRPr="00700515">
        <w:rPr>
          <w:spacing w:val="-22"/>
        </w:rPr>
        <w:t xml:space="preserve"> </w:t>
      </w:r>
      <w:r>
        <w:t>28</w:t>
      </w:r>
      <w:r w:rsidRPr="00700515">
        <w:rPr>
          <w:spacing w:val="-21"/>
        </w:rPr>
        <w:t xml:space="preserve"> </w:t>
      </w:r>
      <w:r w:rsidRPr="00700515">
        <w:rPr>
          <w:spacing w:val="-1"/>
        </w:rPr>
        <w:t>F</w:t>
      </w:r>
      <w:r>
        <w:t>ebruary</w:t>
      </w:r>
      <w:r w:rsidRPr="00700515">
        <w:rPr>
          <w:spacing w:val="-21"/>
        </w:rPr>
        <w:t xml:space="preserve"> </w:t>
      </w:r>
      <w:r w:rsidRPr="00700515">
        <w:rPr>
          <w:spacing w:val="-1"/>
        </w:rPr>
        <w:t>20</w:t>
      </w:r>
      <w:r>
        <w:t>14,</w:t>
      </w:r>
      <w:r w:rsidRPr="00700515">
        <w:rPr>
          <w:spacing w:val="-22"/>
        </w:rPr>
        <w:t xml:space="preserve"> </w:t>
      </w:r>
      <w:r>
        <w:t>the</w:t>
      </w:r>
      <w:r w:rsidRPr="00700515">
        <w:rPr>
          <w:spacing w:val="-21"/>
        </w:rPr>
        <w:t xml:space="preserve"> </w:t>
      </w:r>
      <w:r>
        <w:t>Minis</w:t>
      </w:r>
      <w:r w:rsidRPr="00700515">
        <w:rPr>
          <w:spacing w:val="-1"/>
        </w:rPr>
        <w:t>t</w:t>
      </w:r>
      <w:r>
        <w:t>ers</w:t>
      </w:r>
      <w:r w:rsidRPr="00700515">
        <w:rPr>
          <w:spacing w:val="-21"/>
        </w:rPr>
        <w:t xml:space="preserve"> </w:t>
      </w:r>
      <w:r w:rsidRPr="00700515">
        <w:rPr>
          <w:spacing w:val="-1"/>
        </w:rPr>
        <w:t>for</w:t>
      </w:r>
      <w:r w:rsidRPr="00700515">
        <w:rPr>
          <w:spacing w:val="-22"/>
        </w:rPr>
        <w:t xml:space="preserve"> </w:t>
      </w:r>
      <w:r>
        <w:t>the</w:t>
      </w:r>
      <w:r w:rsidRPr="00700515">
        <w:rPr>
          <w:spacing w:val="-21"/>
        </w:rPr>
        <w:t xml:space="preserve"> </w:t>
      </w:r>
      <w:r w:rsidRPr="00700515">
        <w:rPr>
          <w:spacing w:val="-1"/>
        </w:rPr>
        <w:t>Envir</w:t>
      </w:r>
      <w:r>
        <w:t>onmen</w:t>
      </w:r>
      <w:r w:rsidRPr="00700515">
        <w:rPr>
          <w:spacing w:val="-1"/>
        </w:rPr>
        <w:t>t</w:t>
      </w:r>
      <w:r w:rsidRPr="00700515">
        <w:rPr>
          <w:spacing w:val="-21"/>
        </w:rPr>
        <w:t xml:space="preserve"> </w:t>
      </w:r>
      <w:r>
        <w:t>and</w:t>
      </w:r>
      <w:r w:rsidRPr="00700515">
        <w:rPr>
          <w:spacing w:val="-22"/>
        </w:rPr>
        <w:t xml:space="preserve"> </w:t>
      </w:r>
      <w:r>
        <w:t>Indus</w:t>
      </w:r>
      <w:r w:rsidRPr="00700515">
        <w:rPr>
          <w:spacing w:val="-1"/>
        </w:rPr>
        <w:t>try</w:t>
      </w:r>
      <w:r w:rsidRPr="00700515">
        <w:rPr>
          <w:spacing w:val="-21"/>
        </w:rPr>
        <w:t xml:space="preserve"> </w:t>
      </w:r>
      <w:r>
        <w:t>announc</w:t>
      </w:r>
      <w:r w:rsidRPr="00700515">
        <w:rPr>
          <w:spacing w:val="-1"/>
        </w:rPr>
        <w:t>ed</w:t>
      </w:r>
      <w:r w:rsidRPr="00700515">
        <w:rPr>
          <w:spacing w:val="-21"/>
        </w:rPr>
        <w:t xml:space="preserve"> </w:t>
      </w:r>
      <w:r>
        <w:t>tha</w:t>
      </w:r>
      <w:r w:rsidRPr="00700515">
        <w:rPr>
          <w:spacing w:val="-1"/>
        </w:rPr>
        <w:t>t</w:t>
      </w:r>
      <w:r w:rsidRPr="00700515">
        <w:rPr>
          <w:spacing w:val="-22"/>
        </w:rPr>
        <w:t xml:space="preserve"> </w:t>
      </w:r>
      <w:r>
        <w:t>NOPSEMA</w:t>
      </w:r>
      <w:r w:rsidRPr="00700515">
        <w:rPr>
          <w:spacing w:val="-21"/>
        </w:rPr>
        <w:t xml:space="preserve"> </w:t>
      </w:r>
      <w:r w:rsidRPr="00700515">
        <w:rPr>
          <w:spacing w:val="-1"/>
        </w:rPr>
        <w:t>would</w:t>
      </w:r>
      <w:r w:rsidRPr="00700515">
        <w:rPr>
          <w:spacing w:val="-21"/>
        </w:rPr>
        <w:t xml:space="preserve"> </w:t>
      </w:r>
      <w:r>
        <w:t>be</w:t>
      </w:r>
      <w:r w:rsidRPr="00700515">
        <w:rPr>
          <w:spacing w:val="-21"/>
        </w:rPr>
        <w:t xml:space="preserve"> </w:t>
      </w:r>
      <w:r>
        <w:t>the</w:t>
      </w:r>
      <w:r w:rsidRPr="00700515">
        <w:rPr>
          <w:spacing w:val="65"/>
          <w:w w:val="97"/>
        </w:rPr>
        <w:t xml:space="preserve"> </w:t>
      </w:r>
      <w:r>
        <w:t>sole,</w:t>
      </w:r>
      <w:r w:rsidRPr="00700515">
        <w:rPr>
          <w:spacing w:val="-24"/>
        </w:rPr>
        <w:t xml:space="preserve"> </w:t>
      </w:r>
      <w:r>
        <w:t>designa</w:t>
      </w:r>
      <w:r w:rsidRPr="00700515">
        <w:rPr>
          <w:spacing w:val="-1"/>
        </w:rPr>
        <w:t>ted</w:t>
      </w:r>
      <w:r w:rsidRPr="00700515">
        <w:rPr>
          <w:spacing w:val="-24"/>
        </w:rPr>
        <w:t xml:space="preserve"> </w:t>
      </w:r>
      <w:r>
        <w:t>assessor</w:t>
      </w:r>
      <w:r w:rsidRPr="00700515">
        <w:rPr>
          <w:spacing w:val="-23"/>
        </w:rPr>
        <w:t xml:space="preserve"> </w:t>
      </w:r>
      <w:r w:rsidRPr="00700515">
        <w:rPr>
          <w:spacing w:val="-1"/>
        </w:rPr>
        <w:t>for</w:t>
      </w:r>
      <w:r w:rsidRPr="00700515">
        <w:rPr>
          <w:spacing w:val="-24"/>
        </w:rPr>
        <w:t xml:space="preserve"> </w:t>
      </w:r>
      <w:r>
        <w:t>en</w:t>
      </w:r>
      <w:r w:rsidRPr="00700515">
        <w:rPr>
          <w:spacing w:val="-1"/>
        </w:rPr>
        <w:t>vir</w:t>
      </w:r>
      <w:r>
        <w:t>onmental</w:t>
      </w:r>
      <w:r w:rsidRPr="00700515">
        <w:rPr>
          <w:spacing w:val="-23"/>
        </w:rPr>
        <w:t xml:space="preserve"> </w:t>
      </w:r>
      <w:r>
        <w:t>approv</w:t>
      </w:r>
      <w:r w:rsidRPr="00700515">
        <w:rPr>
          <w:spacing w:val="-3"/>
        </w:rPr>
        <w:t>als</w:t>
      </w:r>
      <w:r w:rsidRPr="00700515">
        <w:rPr>
          <w:spacing w:val="-24"/>
        </w:rPr>
        <w:t xml:space="preserve"> </w:t>
      </w:r>
      <w:r>
        <w:t>within</w:t>
      </w:r>
      <w:r w:rsidRPr="00700515">
        <w:rPr>
          <w:spacing w:val="-23"/>
        </w:rPr>
        <w:t xml:space="preserve"> </w:t>
      </w:r>
      <w:r>
        <w:t>its</w:t>
      </w:r>
      <w:r w:rsidRPr="00700515">
        <w:rPr>
          <w:spacing w:val="-24"/>
        </w:rPr>
        <w:t xml:space="preserve"> </w:t>
      </w:r>
      <w:r>
        <w:t>jurisdiction.</w:t>
      </w:r>
      <w:r w:rsidRPr="00700515">
        <w:rPr>
          <w:spacing w:val="-23"/>
        </w:rPr>
        <w:t xml:space="preserve"> </w:t>
      </w:r>
      <w:r>
        <w:t>This</w:t>
      </w:r>
      <w:r w:rsidRPr="0061209E">
        <w:t xml:space="preserve"> w</w:t>
      </w:r>
      <w:r>
        <w:t>as</w:t>
      </w:r>
      <w:r w:rsidRPr="0061209E">
        <w:t xml:space="preserve"> </w:t>
      </w:r>
      <w:r>
        <w:t>implemen</w:t>
      </w:r>
      <w:r w:rsidRPr="0061209E">
        <w:t xml:space="preserve">ted </w:t>
      </w:r>
      <w:r>
        <w:t>thr</w:t>
      </w:r>
      <w:r w:rsidRPr="0061209E">
        <w:t xml:space="preserve">ough an approval made under the </w:t>
      </w:r>
      <w:r w:rsidRPr="00700515">
        <w:rPr>
          <w:i/>
        </w:rPr>
        <w:t>Environment Protection and Biodiversity Conservation Act 1999</w:t>
      </w:r>
      <w:r w:rsidRPr="0061209E">
        <w:t>.</w:t>
      </w:r>
    </w:p>
    <w:p w:rsidR="00E46BBC" w:rsidRPr="00700515" w:rsidRDefault="00822AD3" w:rsidP="00A50DA3">
      <w:pPr>
        <w:pStyle w:val="ListParagraph"/>
        <w:numPr>
          <w:ilvl w:val="0"/>
          <w:numId w:val="11"/>
        </w:numPr>
        <w:ind w:right="45"/>
        <w:rPr>
          <w:szCs w:val="16"/>
        </w:rPr>
      </w:pPr>
      <w:r>
        <w:t>This</w:t>
      </w:r>
      <w:r w:rsidRPr="00700515">
        <w:rPr>
          <w:spacing w:val="-25"/>
        </w:rPr>
        <w:t xml:space="preserve"> </w:t>
      </w:r>
      <w:r>
        <w:t>change</w:t>
      </w:r>
      <w:r w:rsidRPr="00700515">
        <w:rPr>
          <w:spacing w:val="-24"/>
        </w:rPr>
        <w:t xml:space="preserve"> </w:t>
      </w:r>
      <w:r w:rsidRPr="00700515">
        <w:rPr>
          <w:spacing w:val="-3"/>
        </w:rPr>
        <w:t>remo</w:t>
      </w:r>
      <w:r>
        <w:t>v</w:t>
      </w:r>
      <w:r w:rsidRPr="00700515">
        <w:rPr>
          <w:spacing w:val="-3"/>
        </w:rPr>
        <w:t>es</w:t>
      </w:r>
      <w:r w:rsidRPr="00700515">
        <w:rPr>
          <w:spacing w:val="-24"/>
        </w:rPr>
        <w:t xml:space="preserve"> </w:t>
      </w:r>
      <w:r>
        <w:t>requiremen</w:t>
      </w:r>
      <w:r w:rsidRPr="00700515">
        <w:rPr>
          <w:spacing w:val="-1"/>
        </w:rPr>
        <w:t>ts</w:t>
      </w:r>
      <w:r w:rsidRPr="00700515">
        <w:rPr>
          <w:spacing w:val="-24"/>
        </w:rPr>
        <w:t xml:space="preserve"> </w:t>
      </w:r>
      <w:r>
        <w:t>tha</w:t>
      </w:r>
      <w:r w:rsidRPr="00700515">
        <w:rPr>
          <w:spacing w:val="-1"/>
        </w:rPr>
        <w:t>t</w:t>
      </w:r>
      <w:r w:rsidRPr="00700515">
        <w:rPr>
          <w:spacing w:val="-24"/>
        </w:rPr>
        <w:t xml:space="preserve"> </w:t>
      </w:r>
      <w:r w:rsidRPr="00700515">
        <w:rPr>
          <w:spacing w:val="-1"/>
        </w:rPr>
        <w:t>pr</w:t>
      </w:r>
      <w:r>
        <w:t>ojec</w:t>
      </w:r>
      <w:r w:rsidRPr="00700515">
        <w:rPr>
          <w:spacing w:val="-1"/>
        </w:rPr>
        <w:t>ts</w:t>
      </w:r>
      <w:r w:rsidRPr="00700515">
        <w:rPr>
          <w:spacing w:val="-24"/>
        </w:rPr>
        <w:t xml:space="preserve"> </w:t>
      </w:r>
      <w:r>
        <w:t>be</w:t>
      </w:r>
      <w:r w:rsidRPr="00700515">
        <w:rPr>
          <w:spacing w:val="-25"/>
        </w:rPr>
        <w:t xml:space="preserve"> </w:t>
      </w:r>
      <w:r>
        <w:t>separa</w:t>
      </w:r>
      <w:r w:rsidRPr="00700515">
        <w:rPr>
          <w:spacing w:val="-1"/>
        </w:rPr>
        <w:t>tely</w:t>
      </w:r>
      <w:r w:rsidRPr="00700515">
        <w:rPr>
          <w:spacing w:val="-24"/>
        </w:rPr>
        <w:t xml:space="preserve"> </w:t>
      </w:r>
      <w:r>
        <w:t>assessed</w:t>
      </w:r>
      <w:r w:rsidRPr="00700515">
        <w:rPr>
          <w:spacing w:val="-24"/>
        </w:rPr>
        <w:t xml:space="preserve"> </w:t>
      </w:r>
      <w:r>
        <w:t>under</w:t>
      </w:r>
      <w:r w:rsidRPr="00700515">
        <w:rPr>
          <w:spacing w:val="-24"/>
        </w:rPr>
        <w:t xml:space="preserve"> </w:t>
      </w:r>
      <w:r>
        <w:t>tha</w:t>
      </w:r>
      <w:r w:rsidRPr="00700515">
        <w:rPr>
          <w:spacing w:val="-1"/>
        </w:rPr>
        <w:t>t</w:t>
      </w:r>
      <w:r w:rsidRPr="00700515">
        <w:rPr>
          <w:spacing w:val="-24"/>
        </w:rPr>
        <w:t xml:space="preserve"> </w:t>
      </w:r>
      <w:r>
        <w:t>Ac</w:t>
      </w:r>
      <w:r w:rsidRPr="00700515">
        <w:rPr>
          <w:spacing w:val="-3"/>
        </w:rPr>
        <w:t>t.</w:t>
      </w:r>
      <w:r w:rsidRPr="00700515">
        <w:rPr>
          <w:spacing w:val="-24"/>
        </w:rPr>
        <w:t xml:space="preserve"> </w:t>
      </w:r>
      <w:r>
        <w:t>This</w:t>
      </w:r>
      <w:r w:rsidRPr="00700515">
        <w:rPr>
          <w:spacing w:val="-25"/>
        </w:rPr>
        <w:t xml:space="preserve"> </w:t>
      </w:r>
      <w:r>
        <w:t>will</w:t>
      </w:r>
      <w:r w:rsidRPr="00700515">
        <w:rPr>
          <w:spacing w:val="-24"/>
        </w:rPr>
        <w:t xml:space="preserve"> </w:t>
      </w:r>
      <w:r>
        <w:t>s</w:t>
      </w:r>
      <w:r w:rsidRPr="00700515">
        <w:rPr>
          <w:spacing w:val="-1"/>
        </w:rPr>
        <w:t>tr</w:t>
      </w:r>
      <w:r>
        <w:t>eamline</w:t>
      </w:r>
      <w:r w:rsidRPr="00700515">
        <w:rPr>
          <w:spacing w:val="55"/>
          <w:w w:val="96"/>
        </w:rPr>
        <w:t xml:space="preserve"> </w:t>
      </w:r>
      <w:r>
        <w:t>approv</w:t>
      </w:r>
      <w:r w:rsidRPr="00700515">
        <w:rPr>
          <w:spacing w:val="-3"/>
        </w:rPr>
        <w:t>al</w:t>
      </w:r>
      <w:r w:rsidRPr="00700515">
        <w:rPr>
          <w:spacing w:val="-25"/>
        </w:rPr>
        <w:t xml:space="preserve"> </w:t>
      </w:r>
      <w:r>
        <w:t>of</w:t>
      </w:r>
      <w:r w:rsidRPr="00700515">
        <w:rPr>
          <w:spacing w:val="-24"/>
        </w:rPr>
        <w:t xml:space="preserve"> </w:t>
      </w:r>
      <w:r w:rsidRPr="00700515">
        <w:rPr>
          <w:spacing w:val="-1"/>
        </w:rPr>
        <w:t>pr</w:t>
      </w:r>
      <w:r>
        <w:t>ojec</w:t>
      </w:r>
      <w:r w:rsidRPr="00700515">
        <w:rPr>
          <w:spacing w:val="-1"/>
        </w:rPr>
        <w:t>ts</w:t>
      </w:r>
      <w:r w:rsidRPr="00700515">
        <w:rPr>
          <w:spacing w:val="-24"/>
        </w:rPr>
        <w:t xml:space="preserve"> </w:t>
      </w:r>
      <w:r>
        <w:t>tha</w:t>
      </w:r>
      <w:r w:rsidRPr="00700515">
        <w:rPr>
          <w:spacing w:val="-1"/>
        </w:rPr>
        <w:t>t</w:t>
      </w:r>
      <w:r w:rsidRPr="00700515">
        <w:rPr>
          <w:spacing w:val="-24"/>
        </w:rPr>
        <w:t xml:space="preserve"> </w:t>
      </w:r>
      <w:r>
        <w:t>include</w:t>
      </w:r>
      <w:r w:rsidRPr="00700515">
        <w:rPr>
          <w:spacing w:val="-24"/>
        </w:rPr>
        <w:t xml:space="preserve"> </w:t>
      </w:r>
      <w:r>
        <w:t>offshore</w:t>
      </w:r>
      <w:r w:rsidRPr="00700515">
        <w:rPr>
          <w:spacing w:val="-25"/>
        </w:rPr>
        <w:t xml:space="preserve"> </w:t>
      </w:r>
      <w:r w:rsidRPr="00700515">
        <w:rPr>
          <w:spacing w:val="-1"/>
        </w:rPr>
        <w:t>petr</w:t>
      </w:r>
      <w:r>
        <w:t>oleum</w:t>
      </w:r>
      <w:r w:rsidRPr="00700515">
        <w:rPr>
          <w:spacing w:val="-24"/>
        </w:rPr>
        <w:t xml:space="preserve"> </w:t>
      </w:r>
      <w:r>
        <w:t>and</w:t>
      </w:r>
      <w:r w:rsidRPr="00700515">
        <w:rPr>
          <w:spacing w:val="-24"/>
        </w:rPr>
        <w:t xml:space="preserve"> </w:t>
      </w:r>
      <w:r w:rsidRPr="00700515">
        <w:rPr>
          <w:spacing w:val="-1"/>
        </w:rPr>
        <w:t>gr</w:t>
      </w:r>
      <w:r>
        <w:t>eenhouse</w:t>
      </w:r>
      <w:r w:rsidRPr="00700515">
        <w:rPr>
          <w:spacing w:val="-24"/>
        </w:rPr>
        <w:t xml:space="preserve"> </w:t>
      </w:r>
      <w:r w:rsidRPr="0061209E">
        <w:t>gas activities in</w:t>
      </w:r>
      <w:r w:rsidRPr="00700515">
        <w:rPr>
          <w:spacing w:val="-25"/>
        </w:rPr>
        <w:t xml:space="preserve"> </w:t>
      </w:r>
      <w:r w:rsidRPr="00700515">
        <w:rPr>
          <w:spacing w:val="-1"/>
        </w:rPr>
        <w:t>Commonw</w:t>
      </w:r>
      <w:r>
        <w:t>ealth</w:t>
      </w:r>
      <w:r w:rsidRPr="00700515">
        <w:rPr>
          <w:spacing w:val="-24"/>
        </w:rPr>
        <w:t xml:space="preserve"> </w:t>
      </w:r>
      <w:r>
        <w:t>w</w:t>
      </w:r>
      <w:r w:rsidRPr="00700515">
        <w:rPr>
          <w:spacing w:val="-3"/>
        </w:rPr>
        <w:t>a</w:t>
      </w:r>
      <w:r>
        <w:t>t</w:t>
      </w:r>
      <w:r w:rsidRPr="00700515">
        <w:rPr>
          <w:spacing w:val="-3"/>
        </w:rPr>
        <w:t>ers.</w:t>
      </w:r>
    </w:p>
    <w:p w:rsidR="00E46BBC" w:rsidRPr="00700515" w:rsidRDefault="00822AD3" w:rsidP="00A50DA3">
      <w:pPr>
        <w:pStyle w:val="ListParagraph"/>
        <w:numPr>
          <w:ilvl w:val="0"/>
          <w:numId w:val="11"/>
        </w:numPr>
        <w:ind w:right="45"/>
        <w:rPr>
          <w:szCs w:val="16"/>
        </w:rPr>
      </w:pPr>
      <w:r>
        <w:t>OBPR</w:t>
      </w:r>
      <w:r w:rsidRPr="00700515">
        <w:rPr>
          <w:spacing w:val="-25"/>
        </w:rPr>
        <w:t xml:space="preserve"> </w:t>
      </w:r>
      <w:r>
        <w:t>has</w:t>
      </w:r>
      <w:r w:rsidRPr="00700515">
        <w:rPr>
          <w:spacing w:val="-24"/>
        </w:rPr>
        <w:t xml:space="preserve"> </w:t>
      </w:r>
      <w:r w:rsidRPr="00700515">
        <w:rPr>
          <w:spacing w:val="-2"/>
        </w:rPr>
        <w:t>agr</w:t>
      </w:r>
      <w:r w:rsidRPr="00700515">
        <w:rPr>
          <w:spacing w:val="-1"/>
        </w:rPr>
        <w:t>eed</w:t>
      </w:r>
      <w:r w:rsidRPr="00700515">
        <w:rPr>
          <w:spacing w:val="-24"/>
        </w:rPr>
        <w:t xml:space="preserve"> </w:t>
      </w:r>
      <w:r w:rsidRPr="00700515">
        <w:rPr>
          <w:spacing w:val="-2"/>
        </w:rPr>
        <w:t>tha</w:t>
      </w:r>
      <w:r w:rsidRPr="00700515">
        <w:rPr>
          <w:spacing w:val="-1"/>
        </w:rPr>
        <w:t>t</w:t>
      </w:r>
      <w:r w:rsidRPr="00700515">
        <w:rPr>
          <w:spacing w:val="-24"/>
        </w:rPr>
        <w:t xml:space="preserve"> </w:t>
      </w:r>
      <w:r>
        <w:t>this</w:t>
      </w:r>
      <w:r w:rsidRPr="00700515">
        <w:rPr>
          <w:spacing w:val="-25"/>
        </w:rPr>
        <w:t xml:space="preserve"> </w:t>
      </w:r>
      <w:r>
        <w:t>will</w:t>
      </w:r>
      <w:r w:rsidRPr="00700515">
        <w:rPr>
          <w:spacing w:val="-24"/>
        </w:rPr>
        <w:t xml:space="preserve"> </w:t>
      </w:r>
      <w:r>
        <w:t>lead</w:t>
      </w:r>
      <w:r w:rsidRPr="00700515">
        <w:rPr>
          <w:spacing w:val="-24"/>
        </w:rPr>
        <w:t xml:space="preserve"> </w:t>
      </w:r>
      <w:r w:rsidRPr="00700515">
        <w:rPr>
          <w:spacing w:val="-2"/>
        </w:rPr>
        <w:t>to</w:t>
      </w:r>
      <w:r w:rsidRPr="00700515">
        <w:rPr>
          <w:spacing w:val="-24"/>
        </w:rPr>
        <w:t xml:space="preserve"> </w:t>
      </w:r>
      <w:r>
        <w:t>an</w:t>
      </w:r>
      <w:r w:rsidRPr="00700515">
        <w:rPr>
          <w:spacing w:val="-24"/>
        </w:rPr>
        <w:t xml:space="preserve"> </w:t>
      </w:r>
      <w:r>
        <w:t>annual</w:t>
      </w:r>
      <w:r w:rsidRPr="00700515">
        <w:rPr>
          <w:spacing w:val="-25"/>
        </w:rPr>
        <w:t xml:space="preserve"> </w:t>
      </w:r>
      <w:r w:rsidRPr="00700515">
        <w:rPr>
          <w:spacing w:val="-2"/>
        </w:rPr>
        <w:t>sa</w:t>
      </w:r>
      <w:r w:rsidRPr="00700515">
        <w:rPr>
          <w:spacing w:val="-1"/>
        </w:rPr>
        <w:t>ving</w:t>
      </w:r>
      <w:r w:rsidRPr="00700515">
        <w:rPr>
          <w:spacing w:val="-24"/>
        </w:rPr>
        <w:t xml:space="preserve"> </w:t>
      </w:r>
      <w:r>
        <w:t>of</w:t>
      </w:r>
      <w:r w:rsidRPr="00700515">
        <w:rPr>
          <w:spacing w:val="-24"/>
        </w:rPr>
        <w:t xml:space="preserve"> </w:t>
      </w:r>
      <w:r w:rsidRPr="00700515">
        <w:rPr>
          <w:spacing w:val="-1"/>
        </w:rPr>
        <w:t>$</w:t>
      </w:r>
      <w:r w:rsidRPr="00700515">
        <w:rPr>
          <w:spacing w:val="-2"/>
        </w:rPr>
        <w:t>119.98</w:t>
      </w:r>
      <w:r w:rsidRPr="00700515">
        <w:rPr>
          <w:spacing w:val="-24"/>
        </w:rPr>
        <w:t xml:space="preserve"> </w:t>
      </w:r>
      <w:r>
        <w:t>million</w:t>
      </w:r>
      <w:r w:rsidRPr="00700515">
        <w:rPr>
          <w:spacing w:val="-24"/>
        </w:rPr>
        <w:t xml:space="preserve"> </w:t>
      </w:r>
      <w:r>
        <w:t>in</w:t>
      </w:r>
      <w:r w:rsidRPr="00700515">
        <w:rPr>
          <w:spacing w:val="-25"/>
        </w:rPr>
        <w:t xml:space="preserve"> </w:t>
      </w:r>
      <w:r w:rsidRPr="00700515">
        <w:rPr>
          <w:spacing w:val="-1"/>
        </w:rPr>
        <w:t>complianc</w:t>
      </w:r>
      <w:r w:rsidRPr="00700515">
        <w:rPr>
          <w:spacing w:val="-2"/>
        </w:rPr>
        <w:t>e</w:t>
      </w:r>
      <w:r w:rsidRPr="00700515">
        <w:rPr>
          <w:spacing w:val="-24"/>
        </w:rPr>
        <w:t xml:space="preserve"> </w:t>
      </w:r>
      <w:r w:rsidRPr="00700515">
        <w:rPr>
          <w:spacing w:val="-1"/>
        </w:rPr>
        <w:t>costs</w:t>
      </w:r>
      <w:r w:rsidRPr="00700515">
        <w:rPr>
          <w:spacing w:val="-24"/>
        </w:rPr>
        <w:t xml:space="preserve"> </w:t>
      </w:r>
      <w:r w:rsidRPr="00700515">
        <w:rPr>
          <w:spacing w:val="-1"/>
        </w:rPr>
        <w:t>for</w:t>
      </w:r>
      <w:r w:rsidRPr="00700515">
        <w:rPr>
          <w:spacing w:val="-24"/>
        </w:rPr>
        <w:t xml:space="preserve"> </w:t>
      </w:r>
      <w:r w:rsidRPr="00700515">
        <w:rPr>
          <w:spacing w:val="-2"/>
        </w:rPr>
        <w:t>indus</w:t>
      </w:r>
      <w:r w:rsidRPr="00700515">
        <w:rPr>
          <w:spacing w:val="-1"/>
        </w:rPr>
        <w:t>try</w:t>
      </w:r>
      <w:r w:rsidRPr="00700515">
        <w:rPr>
          <w:spacing w:val="-25"/>
        </w:rPr>
        <w:t xml:space="preserve"> </w:t>
      </w:r>
      <w:r>
        <w:t>and</w:t>
      </w:r>
      <w:r w:rsidRPr="00700515">
        <w:rPr>
          <w:spacing w:val="49"/>
          <w:w w:val="97"/>
        </w:rPr>
        <w:t xml:space="preserve"> </w:t>
      </w:r>
      <w:r>
        <w:t>the</w:t>
      </w:r>
      <w:r w:rsidRPr="00700515">
        <w:rPr>
          <w:spacing w:val="-23"/>
        </w:rPr>
        <w:t xml:space="preserve"> </w:t>
      </w:r>
      <w:r w:rsidRPr="00700515">
        <w:rPr>
          <w:spacing w:val="-2"/>
        </w:rPr>
        <w:t>c</w:t>
      </w:r>
      <w:r w:rsidRPr="00700515">
        <w:rPr>
          <w:spacing w:val="-3"/>
        </w:rPr>
        <w:t>ommunit</w:t>
      </w:r>
      <w:r w:rsidRPr="00700515">
        <w:rPr>
          <w:spacing w:val="-2"/>
        </w:rPr>
        <w:t>y</w:t>
      </w:r>
      <w:r w:rsidRPr="00700515">
        <w:rPr>
          <w:spacing w:val="-3"/>
        </w:rPr>
        <w:t>,</w:t>
      </w:r>
      <w:r w:rsidRPr="00700515">
        <w:rPr>
          <w:spacing w:val="-23"/>
        </w:rPr>
        <w:t xml:space="preserve"> </w:t>
      </w:r>
      <w:r>
        <w:t>of</w:t>
      </w:r>
      <w:r w:rsidRPr="00700515">
        <w:rPr>
          <w:spacing w:val="-22"/>
        </w:rPr>
        <w:t xml:space="preserve"> </w:t>
      </w:r>
      <w:r>
        <w:t>which</w:t>
      </w:r>
      <w:r w:rsidRPr="00700515">
        <w:rPr>
          <w:spacing w:val="-23"/>
        </w:rPr>
        <w:t xml:space="preserve"> </w:t>
      </w:r>
      <w:r w:rsidRPr="00700515">
        <w:rPr>
          <w:spacing w:val="-1"/>
        </w:rPr>
        <w:t>$</w:t>
      </w:r>
      <w:r w:rsidRPr="00700515">
        <w:rPr>
          <w:spacing w:val="-2"/>
        </w:rPr>
        <w:t>5</w:t>
      </w:r>
      <w:r w:rsidRPr="00700515">
        <w:rPr>
          <w:spacing w:val="-1"/>
        </w:rPr>
        <w:t>9</w:t>
      </w:r>
      <w:r w:rsidRPr="00700515">
        <w:rPr>
          <w:spacing w:val="-2"/>
        </w:rPr>
        <w:t>.99</w:t>
      </w:r>
      <w:r w:rsidRPr="00700515">
        <w:rPr>
          <w:spacing w:val="-23"/>
        </w:rPr>
        <w:t xml:space="preserve"> </w:t>
      </w:r>
      <w:r>
        <w:t>million</w:t>
      </w:r>
      <w:r w:rsidRPr="00700515">
        <w:rPr>
          <w:spacing w:val="-22"/>
        </w:rPr>
        <w:t xml:space="preserve"> </w:t>
      </w:r>
      <w:r>
        <w:t>has</w:t>
      </w:r>
      <w:r w:rsidRPr="00700515">
        <w:rPr>
          <w:spacing w:val="-23"/>
        </w:rPr>
        <w:t xml:space="preserve"> </w:t>
      </w:r>
      <w:r>
        <w:t>been</w:t>
      </w:r>
      <w:r w:rsidRPr="00700515">
        <w:rPr>
          <w:spacing w:val="-23"/>
        </w:rPr>
        <w:t xml:space="preserve"> </w:t>
      </w:r>
      <w:r>
        <w:t>apportioned</w:t>
      </w:r>
      <w:r w:rsidRPr="00700515">
        <w:rPr>
          <w:spacing w:val="-22"/>
        </w:rPr>
        <w:t xml:space="preserve"> </w:t>
      </w:r>
      <w:r w:rsidRPr="00700515">
        <w:rPr>
          <w:spacing w:val="-2"/>
        </w:rPr>
        <w:t>to</w:t>
      </w:r>
      <w:r w:rsidRPr="00700515">
        <w:rPr>
          <w:spacing w:val="-23"/>
        </w:rPr>
        <w:t xml:space="preserve"> </w:t>
      </w:r>
      <w:r>
        <w:t>the</w:t>
      </w:r>
      <w:r w:rsidRPr="00700515">
        <w:rPr>
          <w:spacing w:val="-23"/>
        </w:rPr>
        <w:t xml:space="preserve"> </w:t>
      </w:r>
      <w:r w:rsidRPr="00700515">
        <w:rPr>
          <w:spacing w:val="-2"/>
        </w:rPr>
        <w:t>Departmen</w:t>
      </w:r>
      <w:r w:rsidRPr="00700515">
        <w:rPr>
          <w:spacing w:val="-1"/>
        </w:rPr>
        <w:t>t</w:t>
      </w:r>
      <w:r w:rsidRPr="00700515">
        <w:rPr>
          <w:spacing w:val="-22"/>
        </w:rPr>
        <w:t xml:space="preserve"> </w:t>
      </w:r>
      <w:r>
        <w:t>of</w:t>
      </w:r>
      <w:r w:rsidRPr="00700515">
        <w:rPr>
          <w:spacing w:val="-23"/>
        </w:rPr>
        <w:t xml:space="preserve"> </w:t>
      </w:r>
      <w:r w:rsidRPr="00700515">
        <w:rPr>
          <w:spacing w:val="-2"/>
        </w:rPr>
        <w:t>Indus</w:t>
      </w:r>
      <w:r w:rsidRPr="00700515">
        <w:rPr>
          <w:spacing w:val="-1"/>
        </w:rPr>
        <w:t>try</w:t>
      </w:r>
      <w:r w:rsidRPr="00700515">
        <w:rPr>
          <w:spacing w:val="-22"/>
        </w:rPr>
        <w:t xml:space="preserve"> </w:t>
      </w:r>
      <w:r>
        <w:t>and</w:t>
      </w:r>
      <w:r w:rsidRPr="00700515">
        <w:rPr>
          <w:spacing w:val="-23"/>
        </w:rPr>
        <w:t xml:space="preserve"> </w:t>
      </w:r>
      <w:r w:rsidRPr="00700515">
        <w:rPr>
          <w:spacing w:val="-1"/>
        </w:rPr>
        <w:t>Scienc</w:t>
      </w:r>
      <w:r w:rsidRPr="00700515">
        <w:rPr>
          <w:spacing w:val="-2"/>
        </w:rPr>
        <w:t>e</w:t>
      </w:r>
      <w:r w:rsidRPr="00700515">
        <w:rPr>
          <w:spacing w:val="53"/>
          <w:w w:val="96"/>
        </w:rPr>
        <w:t xml:space="preserve"> </w:t>
      </w:r>
      <w:r>
        <w:t>and</w:t>
      </w:r>
      <w:r w:rsidRPr="00700515">
        <w:rPr>
          <w:spacing w:val="-24"/>
        </w:rPr>
        <w:t xml:space="preserve"> </w:t>
      </w:r>
      <w:r w:rsidRPr="00700515">
        <w:rPr>
          <w:spacing w:val="-1"/>
        </w:rPr>
        <w:t>$</w:t>
      </w:r>
      <w:r w:rsidRPr="00700515">
        <w:rPr>
          <w:spacing w:val="-2"/>
        </w:rPr>
        <w:t>5</w:t>
      </w:r>
      <w:r w:rsidRPr="00700515">
        <w:rPr>
          <w:spacing w:val="-1"/>
        </w:rPr>
        <w:t>9</w:t>
      </w:r>
      <w:r w:rsidRPr="00700515">
        <w:rPr>
          <w:spacing w:val="-2"/>
        </w:rPr>
        <w:t>.99</w:t>
      </w:r>
      <w:r w:rsidRPr="00700515">
        <w:rPr>
          <w:spacing w:val="-23"/>
        </w:rPr>
        <w:t xml:space="preserve"> </w:t>
      </w:r>
      <w:r>
        <w:t>million</w:t>
      </w:r>
      <w:r w:rsidRPr="00700515">
        <w:rPr>
          <w:spacing w:val="-23"/>
        </w:rPr>
        <w:t xml:space="preserve"> </w:t>
      </w:r>
      <w:r>
        <w:t>has</w:t>
      </w:r>
      <w:r w:rsidRPr="00700515">
        <w:rPr>
          <w:spacing w:val="-23"/>
        </w:rPr>
        <w:t xml:space="preserve"> </w:t>
      </w:r>
      <w:r>
        <w:t>been</w:t>
      </w:r>
      <w:r w:rsidRPr="00700515">
        <w:rPr>
          <w:spacing w:val="-23"/>
        </w:rPr>
        <w:t xml:space="preserve"> </w:t>
      </w:r>
      <w:r>
        <w:t>apportioned</w:t>
      </w:r>
      <w:r w:rsidRPr="00700515">
        <w:rPr>
          <w:spacing w:val="-23"/>
        </w:rPr>
        <w:t xml:space="preserve"> </w:t>
      </w:r>
      <w:r w:rsidRPr="00700515">
        <w:rPr>
          <w:spacing w:val="-2"/>
        </w:rPr>
        <w:t>to</w:t>
      </w:r>
      <w:r w:rsidRPr="00700515">
        <w:rPr>
          <w:spacing w:val="-24"/>
        </w:rPr>
        <w:t xml:space="preserve"> </w:t>
      </w:r>
      <w:r>
        <w:t>the</w:t>
      </w:r>
      <w:r w:rsidRPr="00700515">
        <w:rPr>
          <w:spacing w:val="-23"/>
        </w:rPr>
        <w:t xml:space="preserve"> </w:t>
      </w:r>
      <w:r w:rsidRPr="00700515">
        <w:rPr>
          <w:spacing w:val="-2"/>
        </w:rPr>
        <w:t>Departmen</w:t>
      </w:r>
      <w:r w:rsidRPr="00700515">
        <w:rPr>
          <w:spacing w:val="-1"/>
        </w:rPr>
        <w:t>t</w:t>
      </w:r>
      <w:r w:rsidRPr="00700515">
        <w:rPr>
          <w:spacing w:val="-23"/>
        </w:rPr>
        <w:t xml:space="preserve"> </w:t>
      </w:r>
      <w:r>
        <w:t>of</w:t>
      </w:r>
      <w:r w:rsidRPr="00700515">
        <w:rPr>
          <w:spacing w:val="-23"/>
        </w:rPr>
        <w:t xml:space="preserve"> </w:t>
      </w:r>
      <w:r>
        <w:t>the</w:t>
      </w:r>
      <w:r w:rsidRPr="00700515">
        <w:rPr>
          <w:spacing w:val="-23"/>
        </w:rPr>
        <w:t xml:space="preserve"> </w:t>
      </w:r>
      <w:r w:rsidRPr="00700515">
        <w:rPr>
          <w:spacing w:val="-1"/>
        </w:rPr>
        <w:t>Envir</w:t>
      </w:r>
      <w:r w:rsidRPr="00700515">
        <w:rPr>
          <w:spacing w:val="-2"/>
        </w:rPr>
        <w:t>onment.</w:t>
      </w:r>
    </w:p>
    <w:p w:rsidR="00700515" w:rsidRPr="00700515" w:rsidRDefault="00700515" w:rsidP="00A50DA3">
      <w:pPr>
        <w:pStyle w:val="Heading3"/>
      </w:pPr>
      <w:bookmarkStart w:id="124" w:name="_Toc414449261"/>
      <w:bookmarkStart w:id="125" w:name="_Toc414449437"/>
      <w:r w:rsidRPr="00700515">
        <w:t>Removing requirements on the Vocational Education and Training (VET) sector</w:t>
      </w:r>
      <w:bookmarkEnd w:id="124"/>
      <w:bookmarkEnd w:id="125"/>
    </w:p>
    <w:p w:rsidR="00E46BBC" w:rsidRPr="00700515" w:rsidRDefault="00822AD3" w:rsidP="00A50DA3">
      <w:pPr>
        <w:pStyle w:val="ListParagraph"/>
        <w:numPr>
          <w:ilvl w:val="0"/>
          <w:numId w:val="12"/>
        </w:numPr>
        <w:ind w:right="45"/>
        <w:rPr>
          <w:szCs w:val="16"/>
        </w:rPr>
      </w:pPr>
      <w:r>
        <w:t>On</w:t>
      </w:r>
      <w:r w:rsidRPr="00700515">
        <w:rPr>
          <w:spacing w:val="-25"/>
        </w:rPr>
        <w:t xml:space="preserve"> </w:t>
      </w:r>
      <w:r>
        <w:t>6</w:t>
      </w:r>
      <w:r w:rsidRPr="00700515">
        <w:rPr>
          <w:spacing w:val="-24"/>
        </w:rPr>
        <w:t xml:space="preserve"> </w:t>
      </w:r>
      <w:r>
        <w:t>June</w:t>
      </w:r>
      <w:r w:rsidRPr="00700515">
        <w:rPr>
          <w:spacing w:val="-24"/>
        </w:rPr>
        <w:t xml:space="preserve"> </w:t>
      </w:r>
      <w:r w:rsidRPr="00700515">
        <w:rPr>
          <w:spacing w:val="-1"/>
        </w:rPr>
        <w:t>20</w:t>
      </w:r>
      <w:r w:rsidRPr="00700515">
        <w:rPr>
          <w:spacing w:val="-2"/>
        </w:rPr>
        <w:t>14,</w:t>
      </w:r>
      <w:r w:rsidRPr="00700515">
        <w:rPr>
          <w:spacing w:val="-24"/>
        </w:rPr>
        <w:t xml:space="preserve"> </w:t>
      </w:r>
      <w:r>
        <w:t>the</w:t>
      </w:r>
      <w:r w:rsidRPr="00700515">
        <w:rPr>
          <w:spacing w:val="-24"/>
        </w:rPr>
        <w:t xml:space="preserve"> </w:t>
      </w:r>
      <w:r w:rsidRPr="00700515">
        <w:rPr>
          <w:spacing w:val="-2"/>
        </w:rPr>
        <w:t>Minis</w:t>
      </w:r>
      <w:r w:rsidRPr="00700515">
        <w:rPr>
          <w:spacing w:val="-1"/>
        </w:rPr>
        <w:t>t</w:t>
      </w:r>
      <w:r w:rsidRPr="00700515">
        <w:rPr>
          <w:spacing w:val="-2"/>
        </w:rPr>
        <w:t>er</w:t>
      </w:r>
      <w:r w:rsidRPr="00700515">
        <w:rPr>
          <w:spacing w:val="-25"/>
        </w:rPr>
        <w:t xml:space="preserve"> </w:t>
      </w:r>
      <w:r w:rsidRPr="00700515">
        <w:rPr>
          <w:spacing w:val="-1"/>
        </w:rPr>
        <w:t>for</w:t>
      </w:r>
      <w:r w:rsidRPr="00700515">
        <w:rPr>
          <w:spacing w:val="-24"/>
        </w:rPr>
        <w:t xml:space="preserve"> </w:t>
      </w:r>
      <w:r w:rsidRPr="00700515">
        <w:rPr>
          <w:spacing w:val="-2"/>
        </w:rPr>
        <w:t>Indus</w:t>
      </w:r>
      <w:r w:rsidRPr="00700515">
        <w:rPr>
          <w:spacing w:val="-1"/>
        </w:rPr>
        <w:t>try</w:t>
      </w:r>
      <w:r w:rsidRPr="00700515">
        <w:rPr>
          <w:spacing w:val="-24"/>
        </w:rPr>
        <w:t xml:space="preserve"> </w:t>
      </w:r>
      <w:r w:rsidRPr="00700515">
        <w:rPr>
          <w:spacing w:val="-2"/>
        </w:rPr>
        <w:t>announc</w:t>
      </w:r>
      <w:r w:rsidRPr="00700515">
        <w:rPr>
          <w:spacing w:val="-1"/>
        </w:rPr>
        <w:t>ed</w:t>
      </w:r>
      <w:r w:rsidRPr="00700515">
        <w:rPr>
          <w:spacing w:val="-24"/>
        </w:rPr>
        <w:t xml:space="preserve"> </w:t>
      </w:r>
      <w:r>
        <w:t>changes</w:t>
      </w:r>
      <w:r w:rsidRPr="00700515">
        <w:rPr>
          <w:spacing w:val="-24"/>
        </w:rPr>
        <w:t xml:space="preserve"> </w:t>
      </w:r>
      <w:r w:rsidRPr="00700515">
        <w:rPr>
          <w:spacing w:val="-2"/>
        </w:rPr>
        <w:t>aff</w:t>
      </w:r>
      <w:r w:rsidRPr="00700515">
        <w:rPr>
          <w:spacing w:val="-1"/>
        </w:rPr>
        <w:t>ecting</w:t>
      </w:r>
      <w:r w:rsidRPr="00700515">
        <w:rPr>
          <w:spacing w:val="-25"/>
        </w:rPr>
        <w:t xml:space="preserve"> </w:t>
      </w:r>
      <w:r>
        <w:t>the</w:t>
      </w:r>
      <w:r w:rsidRPr="00700515">
        <w:rPr>
          <w:spacing w:val="-24"/>
        </w:rPr>
        <w:t xml:space="preserve"> </w:t>
      </w:r>
      <w:r>
        <w:t>VET</w:t>
      </w:r>
      <w:r w:rsidRPr="00700515">
        <w:rPr>
          <w:spacing w:val="-24"/>
        </w:rPr>
        <w:t xml:space="preserve"> </w:t>
      </w:r>
      <w:r w:rsidRPr="00700515">
        <w:rPr>
          <w:spacing w:val="-4"/>
        </w:rPr>
        <w:t>sec</w:t>
      </w:r>
      <w:r w:rsidRPr="00700515">
        <w:rPr>
          <w:spacing w:val="-3"/>
        </w:rPr>
        <w:t>t</w:t>
      </w:r>
      <w:r w:rsidRPr="00700515">
        <w:rPr>
          <w:spacing w:val="-4"/>
        </w:rPr>
        <w:t>or</w:t>
      </w:r>
      <w:r w:rsidRPr="00700515">
        <w:rPr>
          <w:spacing w:val="-5"/>
        </w:rPr>
        <w:t>,</w:t>
      </w:r>
      <w:r w:rsidRPr="00700515">
        <w:rPr>
          <w:spacing w:val="-24"/>
        </w:rPr>
        <w:t xml:space="preserve"> </w:t>
      </w:r>
      <w:r>
        <w:t>which</w:t>
      </w:r>
      <w:r w:rsidRPr="00700515">
        <w:rPr>
          <w:spacing w:val="-24"/>
        </w:rPr>
        <w:t xml:space="preserve"> </w:t>
      </w:r>
      <w:r w:rsidRPr="00700515">
        <w:rPr>
          <w:spacing w:val="-1"/>
        </w:rPr>
        <w:t>commenced</w:t>
      </w:r>
      <w:r w:rsidRPr="00700515">
        <w:rPr>
          <w:spacing w:val="-25"/>
        </w:rPr>
        <w:t xml:space="preserve"> </w:t>
      </w:r>
      <w:r>
        <w:t>on</w:t>
      </w:r>
      <w:r w:rsidRPr="00700515">
        <w:rPr>
          <w:spacing w:val="69"/>
          <w:w w:val="98"/>
        </w:rPr>
        <w:t xml:space="preserve"> </w:t>
      </w:r>
      <w:r w:rsidRPr="0061209E">
        <w:t>1 July 2014.</w:t>
      </w:r>
    </w:p>
    <w:p w:rsidR="00E46BBC" w:rsidRPr="00700515" w:rsidRDefault="00822AD3" w:rsidP="00A50DA3">
      <w:pPr>
        <w:pStyle w:val="ListParagraph"/>
        <w:numPr>
          <w:ilvl w:val="0"/>
          <w:numId w:val="12"/>
        </w:numPr>
        <w:ind w:right="45"/>
        <w:rPr>
          <w:szCs w:val="16"/>
        </w:rPr>
      </w:pPr>
      <w:r>
        <w:t>Changes</w:t>
      </w:r>
      <w:r w:rsidRPr="00700515">
        <w:rPr>
          <w:spacing w:val="-24"/>
        </w:rPr>
        <w:t xml:space="preserve"> </w:t>
      </w:r>
      <w:r>
        <w:t>included</w:t>
      </w:r>
      <w:r w:rsidRPr="00700515">
        <w:rPr>
          <w:spacing w:val="-23"/>
        </w:rPr>
        <w:t xml:space="preserve"> </w:t>
      </w:r>
      <w:r w:rsidRPr="00700515">
        <w:rPr>
          <w:spacing w:val="-3"/>
        </w:rPr>
        <w:t>remo</w:t>
      </w:r>
      <w:r>
        <w:t>ving</w:t>
      </w:r>
      <w:r w:rsidRPr="00700515">
        <w:rPr>
          <w:spacing w:val="-23"/>
        </w:rPr>
        <w:t xml:space="preserve"> </w:t>
      </w:r>
      <w:r>
        <w:t>requiremen</w:t>
      </w:r>
      <w:r w:rsidRPr="00700515">
        <w:rPr>
          <w:spacing w:val="-1"/>
        </w:rPr>
        <w:t>ts</w:t>
      </w:r>
      <w:r w:rsidRPr="00700515">
        <w:rPr>
          <w:spacing w:val="-23"/>
        </w:rPr>
        <w:t xml:space="preserve"> </w:t>
      </w:r>
      <w:r w:rsidRPr="00700515">
        <w:rPr>
          <w:spacing w:val="-1"/>
        </w:rPr>
        <w:t>for</w:t>
      </w:r>
      <w:r w:rsidRPr="00700515">
        <w:rPr>
          <w:spacing w:val="-23"/>
        </w:rPr>
        <w:t xml:space="preserve"> </w:t>
      </w:r>
      <w:r>
        <w:t>R</w:t>
      </w:r>
      <w:r w:rsidRPr="00700515">
        <w:rPr>
          <w:spacing w:val="-3"/>
        </w:rPr>
        <w:t>egis</w:t>
      </w:r>
      <w:r>
        <w:t>t</w:t>
      </w:r>
      <w:r w:rsidRPr="00700515">
        <w:rPr>
          <w:spacing w:val="-3"/>
        </w:rPr>
        <w:t>er</w:t>
      </w:r>
      <w:r>
        <w:t>ed</w:t>
      </w:r>
      <w:r w:rsidRPr="00700515">
        <w:rPr>
          <w:spacing w:val="-23"/>
        </w:rPr>
        <w:t xml:space="preserve"> </w:t>
      </w:r>
      <w:r w:rsidRPr="00700515">
        <w:rPr>
          <w:spacing w:val="-3"/>
        </w:rPr>
        <w:t>Training</w:t>
      </w:r>
      <w:r w:rsidRPr="00700515">
        <w:rPr>
          <w:spacing w:val="-23"/>
        </w:rPr>
        <w:t xml:space="preserve"> </w:t>
      </w:r>
      <w:r w:rsidRPr="00700515">
        <w:rPr>
          <w:spacing w:val="-1"/>
        </w:rPr>
        <w:t>Or</w:t>
      </w:r>
      <w:r>
        <w:t>ganisations</w:t>
      </w:r>
      <w:r w:rsidRPr="00700515">
        <w:rPr>
          <w:spacing w:val="-23"/>
        </w:rPr>
        <w:t xml:space="preserve"> </w:t>
      </w:r>
      <w:r w:rsidRPr="00700515">
        <w:rPr>
          <w:spacing w:val="-4"/>
        </w:rPr>
        <w:t>(RTOs)</w:t>
      </w:r>
      <w:r w:rsidRPr="00700515">
        <w:rPr>
          <w:spacing w:val="-23"/>
        </w:rPr>
        <w:t xml:space="preserve"> </w:t>
      </w:r>
      <w:r>
        <w:t>to</w:t>
      </w:r>
      <w:r w:rsidRPr="00700515">
        <w:rPr>
          <w:spacing w:val="-23"/>
        </w:rPr>
        <w:t xml:space="preserve"> </w:t>
      </w:r>
      <w:r>
        <w:t>apply</w:t>
      </w:r>
      <w:r w:rsidRPr="00700515">
        <w:rPr>
          <w:spacing w:val="-23"/>
        </w:rPr>
        <w:t xml:space="preserve"> </w:t>
      </w:r>
      <w:r>
        <w:t>to</w:t>
      </w:r>
      <w:r w:rsidRPr="00700515">
        <w:rPr>
          <w:spacing w:val="-23"/>
        </w:rPr>
        <w:t xml:space="preserve"> </w:t>
      </w:r>
      <w:r w:rsidRPr="00700515">
        <w:rPr>
          <w:spacing w:val="-1"/>
        </w:rPr>
        <w:t>updat</w:t>
      </w:r>
      <w:r>
        <w:t>e</w:t>
      </w:r>
      <w:r w:rsidRPr="00700515">
        <w:rPr>
          <w:spacing w:val="-16"/>
        </w:rPr>
        <w:t xml:space="preserve"> </w:t>
      </w:r>
      <w:r>
        <w:t>their</w:t>
      </w:r>
      <w:r w:rsidRPr="00700515">
        <w:rPr>
          <w:spacing w:val="63"/>
        </w:rPr>
        <w:t xml:space="preserve"> </w:t>
      </w:r>
      <w:r>
        <w:t>regis</w:t>
      </w:r>
      <w:r w:rsidRPr="00700515">
        <w:rPr>
          <w:spacing w:val="-1"/>
        </w:rPr>
        <w:t>tr</w:t>
      </w:r>
      <w:r>
        <w:t>a</w:t>
      </w:r>
      <w:r w:rsidRPr="00700515">
        <w:rPr>
          <w:spacing w:val="-1"/>
        </w:rPr>
        <w:t>tion</w:t>
      </w:r>
      <w:r w:rsidRPr="00700515">
        <w:rPr>
          <w:spacing w:val="-24"/>
        </w:rPr>
        <w:t xml:space="preserve"> </w:t>
      </w:r>
      <w:r>
        <w:t>when</w:t>
      </w:r>
      <w:r w:rsidRPr="00700515">
        <w:rPr>
          <w:spacing w:val="-23"/>
        </w:rPr>
        <w:t xml:space="preserve"> </w:t>
      </w:r>
      <w:r>
        <w:t>changes</w:t>
      </w:r>
      <w:r w:rsidRPr="00700515">
        <w:rPr>
          <w:spacing w:val="-23"/>
        </w:rPr>
        <w:t xml:space="preserve"> </w:t>
      </w:r>
      <w:r>
        <w:t>to</w:t>
      </w:r>
      <w:r w:rsidRPr="00700515">
        <w:rPr>
          <w:spacing w:val="-23"/>
        </w:rPr>
        <w:t xml:space="preserve"> </w:t>
      </w:r>
      <w:r w:rsidRPr="00700515">
        <w:rPr>
          <w:spacing w:val="-1"/>
        </w:rPr>
        <w:t>tr</w:t>
      </w:r>
      <w:r>
        <w:t>aining</w:t>
      </w:r>
      <w:r w:rsidRPr="00700515">
        <w:rPr>
          <w:spacing w:val="-24"/>
        </w:rPr>
        <w:t xml:space="preserve"> </w:t>
      </w:r>
      <w:r w:rsidRPr="00700515">
        <w:rPr>
          <w:spacing w:val="-1"/>
        </w:rPr>
        <w:t>pack</w:t>
      </w:r>
      <w:r>
        <w:t>ages</w:t>
      </w:r>
      <w:r w:rsidRPr="00700515">
        <w:rPr>
          <w:spacing w:val="-23"/>
        </w:rPr>
        <w:t xml:space="preserve"> </w:t>
      </w:r>
      <w:r>
        <w:t>w</w:t>
      </w:r>
      <w:r w:rsidRPr="00700515">
        <w:rPr>
          <w:spacing w:val="-3"/>
        </w:rPr>
        <w:t>ere</w:t>
      </w:r>
      <w:r w:rsidRPr="00700515">
        <w:rPr>
          <w:spacing w:val="-23"/>
        </w:rPr>
        <w:t xml:space="preserve"> </w:t>
      </w:r>
      <w:r>
        <w:t>made</w:t>
      </w:r>
      <w:r w:rsidRPr="00700515">
        <w:rPr>
          <w:spacing w:val="-23"/>
        </w:rPr>
        <w:t xml:space="preserve"> </w:t>
      </w:r>
      <w:r>
        <w:t>but</w:t>
      </w:r>
      <w:r w:rsidRPr="00700515">
        <w:rPr>
          <w:spacing w:val="-23"/>
        </w:rPr>
        <w:t xml:space="preserve"> </w:t>
      </w:r>
      <w:r>
        <w:t>the</w:t>
      </w:r>
      <w:r w:rsidRPr="00700515">
        <w:rPr>
          <w:spacing w:val="-24"/>
        </w:rPr>
        <w:t xml:space="preserve"> </w:t>
      </w:r>
      <w:r w:rsidRPr="00700515">
        <w:rPr>
          <w:spacing w:val="-1"/>
        </w:rPr>
        <w:t>tr</w:t>
      </w:r>
      <w:r>
        <w:t>aining</w:t>
      </w:r>
      <w:r w:rsidRPr="00700515">
        <w:rPr>
          <w:spacing w:val="-23"/>
        </w:rPr>
        <w:t xml:space="preserve"> </w:t>
      </w:r>
      <w:r w:rsidRPr="00700515">
        <w:rPr>
          <w:spacing w:val="-1"/>
        </w:rPr>
        <w:t>outcome</w:t>
      </w:r>
      <w:r w:rsidRPr="00700515">
        <w:rPr>
          <w:spacing w:val="-23"/>
        </w:rPr>
        <w:t xml:space="preserve"> </w:t>
      </w:r>
      <w:r>
        <w:t>remained</w:t>
      </w:r>
      <w:r w:rsidRPr="00700515">
        <w:rPr>
          <w:spacing w:val="-23"/>
        </w:rPr>
        <w:t xml:space="preserve"> </w:t>
      </w:r>
      <w:r>
        <w:t>the</w:t>
      </w:r>
      <w:r w:rsidRPr="00700515">
        <w:rPr>
          <w:spacing w:val="-23"/>
        </w:rPr>
        <w:t xml:space="preserve"> </w:t>
      </w:r>
      <w:r>
        <w:t>same.</w:t>
      </w:r>
      <w:r w:rsidRPr="00700515">
        <w:rPr>
          <w:spacing w:val="6"/>
          <w:w w:val="67"/>
        </w:rPr>
        <w:t xml:space="preserve"> </w:t>
      </w:r>
      <w:r>
        <w:t>In</w:t>
      </w:r>
      <w:r w:rsidRPr="00700515">
        <w:rPr>
          <w:spacing w:val="-24"/>
        </w:rPr>
        <w:t xml:space="preserve"> </w:t>
      </w:r>
      <w:r>
        <w:t>addition,</w:t>
      </w:r>
      <w:r w:rsidRPr="00700515">
        <w:rPr>
          <w:spacing w:val="-24"/>
        </w:rPr>
        <w:t xml:space="preserve"> </w:t>
      </w:r>
      <w:r>
        <w:t>on</w:t>
      </w:r>
      <w:r w:rsidRPr="00700515">
        <w:rPr>
          <w:spacing w:val="-24"/>
        </w:rPr>
        <w:t xml:space="preserve"> </w:t>
      </w:r>
      <w:r>
        <w:t>25</w:t>
      </w:r>
      <w:r w:rsidRPr="00700515">
        <w:rPr>
          <w:spacing w:val="-23"/>
        </w:rPr>
        <w:t xml:space="preserve"> </w:t>
      </w:r>
      <w:r>
        <w:t>June</w:t>
      </w:r>
      <w:r w:rsidRPr="00700515">
        <w:rPr>
          <w:spacing w:val="-24"/>
        </w:rPr>
        <w:t xml:space="preserve"> </w:t>
      </w:r>
      <w:r w:rsidRPr="00700515">
        <w:rPr>
          <w:spacing w:val="-1"/>
        </w:rPr>
        <w:t>20</w:t>
      </w:r>
      <w:r>
        <w:t>14,</w:t>
      </w:r>
      <w:r w:rsidRPr="00700515">
        <w:rPr>
          <w:spacing w:val="-24"/>
        </w:rPr>
        <w:t xml:space="preserve"> </w:t>
      </w:r>
      <w:r>
        <w:t>the</w:t>
      </w:r>
      <w:r w:rsidRPr="00700515">
        <w:rPr>
          <w:spacing w:val="-24"/>
        </w:rPr>
        <w:t xml:space="preserve"> </w:t>
      </w:r>
      <w:r>
        <w:t>Minis</w:t>
      </w:r>
      <w:r w:rsidRPr="00700515">
        <w:rPr>
          <w:spacing w:val="-1"/>
        </w:rPr>
        <w:t>t</w:t>
      </w:r>
      <w:r>
        <w:t>er</w:t>
      </w:r>
      <w:r w:rsidRPr="00700515">
        <w:rPr>
          <w:spacing w:val="-23"/>
        </w:rPr>
        <w:t xml:space="preserve"> </w:t>
      </w:r>
      <w:r>
        <w:t>further</w:t>
      </w:r>
      <w:r w:rsidRPr="00700515">
        <w:rPr>
          <w:spacing w:val="-24"/>
        </w:rPr>
        <w:t xml:space="preserve"> </w:t>
      </w:r>
      <w:r>
        <w:t>announc</w:t>
      </w:r>
      <w:r w:rsidRPr="00700515">
        <w:rPr>
          <w:spacing w:val="-1"/>
        </w:rPr>
        <w:t>ed</w:t>
      </w:r>
      <w:r w:rsidRPr="00700515">
        <w:rPr>
          <w:spacing w:val="-24"/>
        </w:rPr>
        <w:t xml:space="preserve"> </w:t>
      </w:r>
      <w:r>
        <w:t>tha</w:t>
      </w:r>
      <w:r w:rsidRPr="00700515">
        <w:rPr>
          <w:spacing w:val="-1"/>
        </w:rPr>
        <w:t>t</w:t>
      </w:r>
      <w:r w:rsidRPr="00700515">
        <w:rPr>
          <w:spacing w:val="-24"/>
        </w:rPr>
        <w:t xml:space="preserve"> </w:t>
      </w:r>
      <w:r>
        <w:t>the</w:t>
      </w:r>
      <w:r w:rsidRPr="00700515">
        <w:rPr>
          <w:spacing w:val="-23"/>
        </w:rPr>
        <w:t xml:space="preserve"> </w:t>
      </w:r>
      <w:r w:rsidRPr="00700515">
        <w:rPr>
          <w:spacing w:val="-1"/>
        </w:rPr>
        <w:t>A</w:t>
      </w:r>
      <w:r>
        <w:t>us</w:t>
      </w:r>
      <w:r w:rsidRPr="00700515">
        <w:rPr>
          <w:spacing w:val="-1"/>
        </w:rPr>
        <w:t>tr</w:t>
      </w:r>
      <w:r>
        <w:t>alian</w:t>
      </w:r>
      <w:r w:rsidRPr="00700515">
        <w:rPr>
          <w:spacing w:val="-24"/>
        </w:rPr>
        <w:t xml:space="preserve"> </w:t>
      </w:r>
      <w:r>
        <w:t>Skills</w:t>
      </w:r>
      <w:r w:rsidRPr="00700515">
        <w:rPr>
          <w:spacing w:val="-24"/>
        </w:rPr>
        <w:t xml:space="preserve"> </w:t>
      </w:r>
      <w:r>
        <w:t>Qualit</w:t>
      </w:r>
      <w:r w:rsidRPr="00700515">
        <w:rPr>
          <w:spacing w:val="-1"/>
        </w:rPr>
        <w:t>y</w:t>
      </w:r>
      <w:r w:rsidRPr="00700515">
        <w:rPr>
          <w:spacing w:val="-24"/>
        </w:rPr>
        <w:t xml:space="preserve"> </w:t>
      </w:r>
      <w:r w:rsidRPr="00700515">
        <w:rPr>
          <w:spacing w:val="-1"/>
        </w:rPr>
        <w:t>Authority</w:t>
      </w:r>
      <w:r w:rsidRPr="00700515">
        <w:rPr>
          <w:spacing w:val="-23"/>
        </w:rPr>
        <w:t xml:space="preserve"> </w:t>
      </w:r>
      <w:r>
        <w:t>(</w:t>
      </w:r>
      <w:r w:rsidRPr="00700515">
        <w:rPr>
          <w:spacing w:val="-1"/>
        </w:rPr>
        <w:t>ASQA</w:t>
      </w:r>
      <w:r>
        <w:t>)</w:t>
      </w:r>
      <w:r w:rsidRPr="00700515">
        <w:rPr>
          <w:spacing w:val="61"/>
          <w:w w:val="96"/>
        </w:rPr>
        <w:t xml:space="preserve"> </w:t>
      </w:r>
      <w:r>
        <w:t>will</w:t>
      </w:r>
      <w:r w:rsidRPr="00700515">
        <w:rPr>
          <w:spacing w:val="-22"/>
        </w:rPr>
        <w:t xml:space="preserve"> </w:t>
      </w:r>
      <w:r w:rsidRPr="00700515">
        <w:rPr>
          <w:spacing w:val="-4"/>
        </w:rPr>
        <w:t>remo</w:t>
      </w:r>
      <w:r w:rsidRPr="00700515">
        <w:rPr>
          <w:spacing w:val="-3"/>
        </w:rPr>
        <w:t>v</w:t>
      </w:r>
      <w:r w:rsidRPr="00700515">
        <w:rPr>
          <w:spacing w:val="-4"/>
        </w:rPr>
        <w:t>e</w:t>
      </w:r>
      <w:r w:rsidRPr="00700515">
        <w:rPr>
          <w:spacing w:val="-22"/>
        </w:rPr>
        <w:t xml:space="preserve"> </w:t>
      </w:r>
      <w:r>
        <w:t>the</w:t>
      </w:r>
      <w:r w:rsidRPr="00700515">
        <w:rPr>
          <w:spacing w:val="-22"/>
        </w:rPr>
        <w:t xml:space="preserve"> </w:t>
      </w:r>
      <w:r>
        <w:t>requiremen</w:t>
      </w:r>
      <w:r w:rsidRPr="00700515">
        <w:rPr>
          <w:spacing w:val="-1"/>
        </w:rPr>
        <w:t>ts</w:t>
      </w:r>
      <w:r w:rsidRPr="00700515">
        <w:rPr>
          <w:spacing w:val="-22"/>
        </w:rPr>
        <w:t xml:space="preserve"> </w:t>
      </w:r>
      <w:r w:rsidRPr="00700515">
        <w:rPr>
          <w:spacing w:val="-1"/>
        </w:rPr>
        <w:t>for</w:t>
      </w:r>
      <w:r w:rsidRPr="00700515">
        <w:rPr>
          <w:spacing w:val="-22"/>
        </w:rPr>
        <w:t xml:space="preserve"> </w:t>
      </w:r>
      <w:r>
        <w:t>a</w:t>
      </w:r>
      <w:r w:rsidRPr="00700515">
        <w:rPr>
          <w:spacing w:val="-22"/>
        </w:rPr>
        <w:t xml:space="preserve"> </w:t>
      </w:r>
      <w:r>
        <w:t>financial</w:t>
      </w:r>
      <w:r w:rsidRPr="00700515">
        <w:rPr>
          <w:spacing w:val="-22"/>
        </w:rPr>
        <w:t xml:space="preserve"> </w:t>
      </w:r>
      <w:r w:rsidRPr="00700515">
        <w:rPr>
          <w:spacing w:val="-1"/>
        </w:rPr>
        <w:t>viability</w:t>
      </w:r>
      <w:r w:rsidRPr="00700515">
        <w:rPr>
          <w:spacing w:val="-22"/>
        </w:rPr>
        <w:t xml:space="preserve"> </w:t>
      </w:r>
      <w:r>
        <w:t>assessmen</w:t>
      </w:r>
      <w:r w:rsidRPr="00700515">
        <w:rPr>
          <w:spacing w:val="-1"/>
        </w:rPr>
        <w:t>t</w:t>
      </w:r>
      <w:r w:rsidRPr="00700515">
        <w:rPr>
          <w:spacing w:val="-22"/>
        </w:rPr>
        <w:t xml:space="preserve"> </w:t>
      </w:r>
      <w:r>
        <w:t>to</w:t>
      </w:r>
      <w:r w:rsidRPr="00700515">
        <w:rPr>
          <w:spacing w:val="-22"/>
        </w:rPr>
        <w:t xml:space="preserve"> </w:t>
      </w:r>
      <w:r>
        <w:t>be</w:t>
      </w:r>
      <w:r w:rsidRPr="00700515">
        <w:rPr>
          <w:spacing w:val="-22"/>
        </w:rPr>
        <w:t xml:space="preserve"> </w:t>
      </w:r>
      <w:r>
        <w:t>undertaken</w:t>
      </w:r>
      <w:r w:rsidRPr="00700515">
        <w:rPr>
          <w:spacing w:val="-22"/>
        </w:rPr>
        <w:t xml:space="preserve"> </w:t>
      </w:r>
      <w:r>
        <w:t>as</w:t>
      </w:r>
      <w:r w:rsidRPr="00700515">
        <w:rPr>
          <w:spacing w:val="-22"/>
        </w:rPr>
        <w:t xml:space="preserve"> </w:t>
      </w:r>
      <w:r>
        <w:t>part</w:t>
      </w:r>
      <w:r w:rsidRPr="00700515">
        <w:rPr>
          <w:spacing w:val="-22"/>
        </w:rPr>
        <w:t xml:space="preserve"> </w:t>
      </w:r>
      <w:r>
        <w:t>of</w:t>
      </w:r>
      <w:r w:rsidRPr="00700515">
        <w:rPr>
          <w:spacing w:val="-22"/>
        </w:rPr>
        <w:t xml:space="preserve"> </w:t>
      </w:r>
      <w:r>
        <w:t>the</w:t>
      </w:r>
      <w:r w:rsidRPr="00700515">
        <w:rPr>
          <w:spacing w:val="-22"/>
        </w:rPr>
        <w:t xml:space="preserve"> </w:t>
      </w:r>
      <w:r w:rsidRPr="00700515">
        <w:rPr>
          <w:spacing w:val="-3"/>
        </w:rPr>
        <w:t>re</w:t>
      </w:r>
      <w:r w:rsidRPr="00700515">
        <w:rPr>
          <w:spacing w:val="-22"/>
        </w:rPr>
        <w:t xml:space="preserve"> </w:t>
      </w:r>
      <w:r>
        <w:t>regis</w:t>
      </w:r>
      <w:r w:rsidRPr="00700515">
        <w:rPr>
          <w:spacing w:val="-1"/>
        </w:rPr>
        <w:t>tr</w:t>
      </w:r>
      <w:r>
        <w:t>a</w:t>
      </w:r>
      <w:r w:rsidRPr="00700515">
        <w:rPr>
          <w:spacing w:val="-1"/>
        </w:rPr>
        <w:t>tion</w:t>
      </w:r>
      <w:r w:rsidRPr="00700515">
        <w:rPr>
          <w:spacing w:val="59"/>
          <w:w w:val="98"/>
        </w:rPr>
        <w:t xml:space="preserve"> </w:t>
      </w:r>
      <w:r>
        <w:t>proc</w:t>
      </w:r>
      <w:r w:rsidRPr="0061209E">
        <w:t xml:space="preserve">ess for </w:t>
      </w:r>
      <w:r>
        <w:t>exis</w:t>
      </w:r>
      <w:r w:rsidRPr="0061209E">
        <w:t xml:space="preserve">ting </w:t>
      </w:r>
      <w:r>
        <w:t>R</w:t>
      </w:r>
      <w:r w:rsidRPr="0061209E">
        <w:t>TOs.</w:t>
      </w:r>
    </w:p>
    <w:p w:rsidR="00E46BBC" w:rsidRPr="00700515" w:rsidRDefault="00822AD3" w:rsidP="00A50DA3">
      <w:pPr>
        <w:pStyle w:val="ListParagraph"/>
        <w:numPr>
          <w:ilvl w:val="0"/>
          <w:numId w:val="12"/>
        </w:numPr>
        <w:ind w:right="45"/>
        <w:rPr>
          <w:szCs w:val="16"/>
        </w:rPr>
      </w:pPr>
      <w:r w:rsidRPr="00700515">
        <w:rPr>
          <w:spacing w:val="-2"/>
        </w:rPr>
        <w:t>The</w:t>
      </w:r>
      <w:r w:rsidRPr="00700515">
        <w:rPr>
          <w:spacing w:val="-24"/>
        </w:rPr>
        <w:t xml:space="preserve"> </w:t>
      </w:r>
      <w:r w:rsidRPr="00700515">
        <w:rPr>
          <w:spacing w:val="-2"/>
        </w:rPr>
        <w:t>Departmen</w:t>
      </w:r>
      <w:r w:rsidRPr="00700515">
        <w:rPr>
          <w:spacing w:val="-1"/>
        </w:rPr>
        <w:t>t</w:t>
      </w:r>
      <w:r w:rsidRPr="00700515">
        <w:rPr>
          <w:spacing w:val="-23"/>
        </w:rPr>
        <w:t xml:space="preserve"> </w:t>
      </w:r>
      <w:r>
        <w:t>of</w:t>
      </w:r>
      <w:r w:rsidRPr="00700515">
        <w:rPr>
          <w:spacing w:val="-24"/>
        </w:rPr>
        <w:t xml:space="preserve"> </w:t>
      </w:r>
      <w:r w:rsidRPr="00700515">
        <w:rPr>
          <w:spacing w:val="-2"/>
        </w:rPr>
        <w:t>Indus</w:t>
      </w:r>
      <w:r w:rsidRPr="00700515">
        <w:rPr>
          <w:spacing w:val="-1"/>
        </w:rPr>
        <w:t>try</w:t>
      </w:r>
      <w:r w:rsidRPr="00700515">
        <w:rPr>
          <w:spacing w:val="-23"/>
        </w:rPr>
        <w:t xml:space="preserve"> </w:t>
      </w:r>
      <w:r>
        <w:t>and</w:t>
      </w:r>
      <w:r w:rsidRPr="00700515">
        <w:rPr>
          <w:spacing w:val="-23"/>
        </w:rPr>
        <w:t xml:space="preserve"> </w:t>
      </w:r>
      <w:r w:rsidRPr="00700515">
        <w:rPr>
          <w:spacing w:val="-1"/>
        </w:rPr>
        <w:t>Scienc</w:t>
      </w:r>
      <w:r w:rsidRPr="00700515">
        <w:rPr>
          <w:spacing w:val="-2"/>
        </w:rPr>
        <w:t>e</w:t>
      </w:r>
      <w:r w:rsidRPr="00700515">
        <w:rPr>
          <w:spacing w:val="-24"/>
        </w:rPr>
        <w:t xml:space="preserve"> </w:t>
      </w:r>
      <w:r>
        <w:t>has</w:t>
      </w:r>
      <w:r w:rsidRPr="00700515">
        <w:rPr>
          <w:spacing w:val="-23"/>
        </w:rPr>
        <w:t xml:space="preserve"> </w:t>
      </w:r>
      <w:r w:rsidRPr="00700515">
        <w:rPr>
          <w:spacing w:val="-2"/>
        </w:rPr>
        <w:t>estima</w:t>
      </w:r>
      <w:r w:rsidRPr="00700515">
        <w:rPr>
          <w:spacing w:val="-1"/>
        </w:rPr>
        <w:t>ted</w:t>
      </w:r>
      <w:r w:rsidRPr="00700515">
        <w:rPr>
          <w:spacing w:val="-23"/>
        </w:rPr>
        <w:t xml:space="preserve"> </w:t>
      </w:r>
      <w:r w:rsidRPr="00700515">
        <w:rPr>
          <w:spacing w:val="-2"/>
        </w:rPr>
        <w:t>tha</w:t>
      </w:r>
      <w:r w:rsidRPr="00700515">
        <w:rPr>
          <w:spacing w:val="-1"/>
        </w:rPr>
        <w:t>t</w:t>
      </w:r>
      <w:r w:rsidRPr="00700515">
        <w:rPr>
          <w:spacing w:val="-24"/>
        </w:rPr>
        <w:t xml:space="preserve"> </w:t>
      </w:r>
      <w:r>
        <w:t>this</w:t>
      </w:r>
      <w:r w:rsidRPr="00700515">
        <w:rPr>
          <w:spacing w:val="-23"/>
        </w:rPr>
        <w:t xml:space="preserve"> </w:t>
      </w:r>
      <w:r>
        <w:t>will</w:t>
      </w:r>
      <w:r w:rsidRPr="00700515">
        <w:rPr>
          <w:spacing w:val="-23"/>
        </w:rPr>
        <w:t xml:space="preserve"> </w:t>
      </w:r>
      <w:r>
        <w:t>lead</w:t>
      </w:r>
      <w:r w:rsidRPr="00700515">
        <w:rPr>
          <w:spacing w:val="-24"/>
        </w:rPr>
        <w:t xml:space="preserve"> </w:t>
      </w:r>
      <w:r w:rsidRPr="00700515">
        <w:rPr>
          <w:spacing w:val="-2"/>
        </w:rPr>
        <w:t>to</w:t>
      </w:r>
      <w:r w:rsidRPr="00700515">
        <w:rPr>
          <w:spacing w:val="-23"/>
        </w:rPr>
        <w:t xml:space="preserve"> </w:t>
      </w:r>
      <w:r>
        <w:t>an</w:t>
      </w:r>
      <w:r w:rsidRPr="00700515">
        <w:rPr>
          <w:spacing w:val="-23"/>
        </w:rPr>
        <w:t xml:space="preserve"> </w:t>
      </w:r>
      <w:r>
        <w:t>annual</w:t>
      </w:r>
      <w:r w:rsidRPr="00700515">
        <w:rPr>
          <w:spacing w:val="-24"/>
        </w:rPr>
        <w:t xml:space="preserve"> </w:t>
      </w:r>
      <w:r w:rsidRPr="00700515">
        <w:rPr>
          <w:spacing w:val="-2"/>
        </w:rPr>
        <w:t>sa</w:t>
      </w:r>
      <w:r w:rsidRPr="00700515">
        <w:rPr>
          <w:spacing w:val="-1"/>
        </w:rPr>
        <w:t>ving</w:t>
      </w:r>
      <w:r w:rsidRPr="00700515">
        <w:rPr>
          <w:spacing w:val="-23"/>
        </w:rPr>
        <w:t xml:space="preserve"> </w:t>
      </w:r>
      <w:r>
        <w:t>of</w:t>
      </w:r>
      <w:r w:rsidRPr="00700515">
        <w:rPr>
          <w:spacing w:val="-24"/>
        </w:rPr>
        <w:t xml:space="preserve"> </w:t>
      </w:r>
      <w:r w:rsidRPr="00700515">
        <w:rPr>
          <w:spacing w:val="-1"/>
        </w:rPr>
        <w:t>$29</w:t>
      </w:r>
      <w:r w:rsidRPr="00700515">
        <w:rPr>
          <w:spacing w:val="-2"/>
        </w:rPr>
        <w:t>.95</w:t>
      </w:r>
      <w:r w:rsidRPr="00700515">
        <w:rPr>
          <w:spacing w:val="-23"/>
        </w:rPr>
        <w:t xml:space="preserve"> </w:t>
      </w:r>
      <w:r>
        <w:t>million</w:t>
      </w:r>
      <w:r w:rsidRPr="00700515">
        <w:rPr>
          <w:spacing w:val="65"/>
          <w:w w:val="97"/>
        </w:rPr>
        <w:t xml:space="preserve"> </w:t>
      </w:r>
      <w:r>
        <w:t>in</w:t>
      </w:r>
      <w:r w:rsidRPr="00700515">
        <w:rPr>
          <w:spacing w:val="-21"/>
        </w:rPr>
        <w:t xml:space="preserve"> </w:t>
      </w:r>
      <w:r w:rsidRPr="00700515">
        <w:rPr>
          <w:spacing w:val="-1"/>
        </w:rPr>
        <w:t>complianc</w:t>
      </w:r>
      <w:r w:rsidRPr="00700515">
        <w:rPr>
          <w:spacing w:val="-2"/>
        </w:rPr>
        <w:t>e</w:t>
      </w:r>
      <w:r w:rsidRPr="00700515">
        <w:rPr>
          <w:spacing w:val="-21"/>
        </w:rPr>
        <w:t xml:space="preserve"> </w:t>
      </w:r>
      <w:r w:rsidRPr="00700515">
        <w:rPr>
          <w:spacing w:val="-1"/>
        </w:rPr>
        <w:t>costs</w:t>
      </w:r>
      <w:r w:rsidRPr="00700515">
        <w:rPr>
          <w:spacing w:val="-21"/>
        </w:rPr>
        <w:t xml:space="preserve"> </w:t>
      </w:r>
      <w:r w:rsidRPr="00700515">
        <w:rPr>
          <w:spacing w:val="-1"/>
        </w:rPr>
        <w:t>for</w:t>
      </w:r>
      <w:r w:rsidRPr="00700515">
        <w:rPr>
          <w:spacing w:val="-20"/>
        </w:rPr>
        <w:t xml:space="preserve"> </w:t>
      </w:r>
      <w:r>
        <w:t>the</w:t>
      </w:r>
      <w:r w:rsidRPr="00700515">
        <w:rPr>
          <w:spacing w:val="-21"/>
        </w:rPr>
        <w:t xml:space="preserve"> </w:t>
      </w:r>
      <w:r>
        <w:t>VET</w:t>
      </w:r>
      <w:r w:rsidRPr="00700515">
        <w:rPr>
          <w:spacing w:val="-21"/>
        </w:rPr>
        <w:t xml:space="preserve"> </w:t>
      </w:r>
      <w:r w:rsidRPr="00700515">
        <w:rPr>
          <w:spacing w:val="-4"/>
        </w:rPr>
        <w:t>sec</w:t>
      </w:r>
      <w:r w:rsidRPr="00700515">
        <w:rPr>
          <w:spacing w:val="-3"/>
        </w:rPr>
        <w:t>t</w:t>
      </w:r>
      <w:r w:rsidRPr="00700515">
        <w:rPr>
          <w:spacing w:val="-4"/>
        </w:rPr>
        <w:t>or</w:t>
      </w:r>
      <w:r w:rsidRPr="00700515">
        <w:rPr>
          <w:spacing w:val="-5"/>
        </w:rPr>
        <w:t>.</w:t>
      </w:r>
    </w:p>
    <w:p w:rsidR="00700515" w:rsidRPr="00700515" w:rsidRDefault="00700515" w:rsidP="00A50DA3">
      <w:pPr>
        <w:pStyle w:val="Heading3"/>
      </w:pPr>
      <w:bookmarkStart w:id="126" w:name="_Toc414449262"/>
      <w:bookmarkStart w:id="127" w:name="_Toc414449438"/>
      <w:r w:rsidRPr="00700515">
        <w:lastRenderedPageBreak/>
        <w:t>Repealing the Energy Effi</w:t>
      </w:r>
      <w:r w:rsidR="00A942E6">
        <w:t>ciency Opportunities Programme</w:t>
      </w:r>
      <w:r w:rsidR="00A942E6">
        <w:rPr>
          <w:rStyle w:val="FootnoteReference"/>
        </w:rPr>
        <w:footnoteReference w:id="14"/>
      </w:r>
      <w:bookmarkEnd w:id="126"/>
      <w:bookmarkEnd w:id="127"/>
    </w:p>
    <w:p w:rsidR="00E46BBC" w:rsidRPr="00700515" w:rsidRDefault="00822AD3" w:rsidP="00A50DA3">
      <w:pPr>
        <w:pStyle w:val="ListParagraph"/>
        <w:numPr>
          <w:ilvl w:val="0"/>
          <w:numId w:val="13"/>
        </w:numPr>
        <w:ind w:right="45"/>
        <w:rPr>
          <w:szCs w:val="16"/>
        </w:rPr>
      </w:pPr>
      <w:r>
        <w:t>On</w:t>
      </w:r>
      <w:r w:rsidRPr="00700515">
        <w:rPr>
          <w:spacing w:val="-29"/>
        </w:rPr>
        <w:t xml:space="preserve"> </w:t>
      </w:r>
      <w:r>
        <w:t>15</w:t>
      </w:r>
      <w:r w:rsidRPr="00700515">
        <w:rPr>
          <w:spacing w:val="-28"/>
        </w:rPr>
        <w:t xml:space="preserve"> </w:t>
      </w:r>
      <w:r w:rsidRPr="00700515">
        <w:rPr>
          <w:spacing w:val="-2"/>
        </w:rPr>
        <w:t>Ma</w:t>
      </w:r>
      <w:r>
        <w:t>y</w:t>
      </w:r>
      <w:r w:rsidRPr="00700515">
        <w:rPr>
          <w:spacing w:val="-28"/>
        </w:rPr>
        <w:t xml:space="preserve"> </w:t>
      </w:r>
      <w:r>
        <w:t>20</w:t>
      </w:r>
      <w:r w:rsidRPr="00700515">
        <w:rPr>
          <w:spacing w:val="-2"/>
        </w:rPr>
        <w:t>14,</w:t>
      </w:r>
      <w:r w:rsidRPr="00700515">
        <w:rPr>
          <w:spacing w:val="-28"/>
        </w:rPr>
        <w:t xml:space="preserve"> </w:t>
      </w:r>
      <w:r>
        <w:t>the</w:t>
      </w:r>
      <w:r w:rsidRPr="00700515">
        <w:rPr>
          <w:spacing w:val="-28"/>
        </w:rPr>
        <w:t xml:space="preserve"> </w:t>
      </w:r>
      <w:r w:rsidRPr="00700515">
        <w:rPr>
          <w:spacing w:val="-2"/>
        </w:rPr>
        <w:t>Minis</w:t>
      </w:r>
      <w:r>
        <w:t>t</w:t>
      </w:r>
      <w:r w:rsidRPr="00700515">
        <w:rPr>
          <w:spacing w:val="-2"/>
        </w:rPr>
        <w:t>er</w:t>
      </w:r>
      <w:r w:rsidRPr="00700515">
        <w:rPr>
          <w:spacing w:val="-28"/>
        </w:rPr>
        <w:t xml:space="preserve"> </w:t>
      </w:r>
      <w:r>
        <w:t>for</w:t>
      </w:r>
      <w:r w:rsidRPr="00700515">
        <w:rPr>
          <w:spacing w:val="-29"/>
        </w:rPr>
        <w:t xml:space="preserve"> </w:t>
      </w:r>
      <w:r w:rsidRPr="00700515">
        <w:rPr>
          <w:spacing w:val="-2"/>
        </w:rPr>
        <w:t>Indus</w:t>
      </w:r>
      <w:r>
        <w:t>try</w:t>
      </w:r>
      <w:r w:rsidRPr="00700515">
        <w:rPr>
          <w:spacing w:val="-28"/>
        </w:rPr>
        <w:t xml:space="preserve"> </w:t>
      </w:r>
      <w:r w:rsidRPr="00700515">
        <w:rPr>
          <w:spacing w:val="-2"/>
        </w:rPr>
        <w:t>in</w:t>
      </w:r>
      <w:r>
        <w:t>troduced</w:t>
      </w:r>
      <w:r w:rsidRPr="00700515">
        <w:rPr>
          <w:spacing w:val="-28"/>
        </w:rPr>
        <w:t xml:space="preserve"> </w:t>
      </w:r>
      <w:r>
        <w:t>the</w:t>
      </w:r>
      <w:r w:rsidRPr="00700515">
        <w:rPr>
          <w:spacing w:val="-28"/>
        </w:rPr>
        <w:t xml:space="preserve"> </w:t>
      </w:r>
      <w:r w:rsidRPr="00700515">
        <w:rPr>
          <w:spacing w:val="-2"/>
        </w:rPr>
        <w:t>Ener</w:t>
      </w:r>
      <w:r>
        <w:t>gy</w:t>
      </w:r>
      <w:r w:rsidRPr="00700515">
        <w:rPr>
          <w:spacing w:val="-28"/>
        </w:rPr>
        <w:t xml:space="preserve"> </w:t>
      </w:r>
      <w:r>
        <w:t>Efficiency</w:t>
      </w:r>
      <w:r w:rsidRPr="00700515">
        <w:rPr>
          <w:spacing w:val="-28"/>
        </w:rPr>
        <w:t xml:space="preserve"> </w:t>
      </w:r>
      <w:r>
        <w:t>Opportunities</w:t>
      </w:r>
      <w:r w:rsidRPr="00700515">
        <w:rPr>
          <w:spacing w:val="-28"/>
        </w:rPr>
        <w:t xml:space="preserve"> </w:t>
      </w:r>
      <w:r>
        <w:t>(R</w:t>
      </w:r>
      <w:r w:rsidRPr="00700515">
        <w:rPr>
          <w:spacing w:val="-2"/>
        </w:rPr>
        <w:t>epeal)</w:t>
      </w:r>
      <w:r w:rsidRPr="00700515">
        <w:rPr>
          <w:spacing w:val="-29"/>
        </w:rPr>
        <w:t xml:space="preserve"> </w:t>
      </w:r>
      <w:r>
        <w:t>Bill</w:t>
      </w:r>
      <w:r w:rsidRPr="00700515">
        <w:rPr>
          <w:spacing w:val="-28"/>
        </w:rPr>
        <w:t xml:space="preserve"> </w:t>
      </w:r>
      <w:r>
        <w:t>20</w:t>
      </w:r>
      <w:r w:rsidRPr="00700515">
        <w:rPr>
          <w:spacing w:val="-2"/>
        </w:rPr>
        <w:t>14,</w:t>
      </w:r>
      <w:r w:rsidRPr="00700515">
        <w:rPr>
          <w:spacing w:val="-28"/>
        </w:rPr>
        <w:t xml:space="preserve"> </w:t>
      </w:r>
      <w:r w:rsidRPr="00700515">
        <w:rPr>
          <w:spacing w:val="-2"/>
        </w:rPr>
        <w:t>to</w:t>
      </w:r>
      <w:r w:rsidRPr="00700515">
        <w:rPr>
          <w:spacing w:val="73"/>
        </w:rPr>
        <w:t xml:space="preserve"> </w:t>
      </w:r>
      <w:r w:rsidRPr="0061209E">
        <w:t xml:space="preserve">repeal the </w:t>
      </w:r>
      <w:r w:rsidRPr="00700515">
        <w:rPr>
          <w:i/>
        </w:rPr>
        <w:t>Energy Efficiency Opportunities Act 2006</w:t>
      </w:r>
      <w:r w:rsidRPr="0061209E">
        <w:t>, and terminate its implementing programme.</w:t>
      </w:r>
      <w:r w:rsidR="00700515">
        <w:t xml:space="preserve"> </w:t>
      </w:r>
      <w:r w:rsidR="00700515">
        <w:br/>
      </w:r>
      <w:r>
        <w:t>The</w:t>
      </w:r>
      <w:r w:rsidRPr="00700515">
        <w:rPr>
          <w:spacing w:val="-33"/>
        </w:rPr>
        <w:t xml:space="preserve"> </w:t>
      </w:r>
      <w:r>
        <w:t>Bill</w:t>
      </w:r>
      <w:r w:rsidRPr="00700515">
        <w:rPr>
          <w:spacing w:val="-32"/>
        </w:rPr>
        <w:t xml:space="preserve"> </w:t>
      </w:r>
      <w:r w:rsidRPr="00700515">
        <w:rPr>
          <w:spacing w:val="-3"/>
        </w:rPr>
        <w:t>r</w:t>
      </w:r>
      <w:r>
        <w:t>ec</w:t>
      </w:r>
      <w:r w:rsidRPr="00700515">
        <w:rPr>
          <w:spacing w:val="-3"/>
        </w:rPr>
        <w:t>eiv</w:t>
      </w:r>
      <w:r>
        <w:t>ed</w:t>
      </w:r>
      <w:r w:rsidRPr="00700515">
        <w:rPr>
          <w:spacing w:val="-32"/>
        </w:rPr>
        <w:t xml:space="preserve"> </w:t>
      </w:r>
      <w:r w:rsidRPr="00700515">
        <w:rPr>
          <w:spacing w:val="-3"/>
        </w:rPr>
        <w:t>Roy</w:t>
      </w:r>
      <w:r w:rsidRPr="00700515">
        <w:rPr>
          <w:spacing w:val="-4"/>
        </w:rPr>
        <w:t>al</w:t>
      </w:r>
      <w:r w:rsidRPr="00700515">
        <w:rPr>
          <w:spacing w:val="-33"/>
        </w:rPr>
        <w:t xml:space="preserve"> </w:t>
      </w:r>
      <w:r w:rsidRPr="00700515">
        <w:rPr>
          <w:spacing w:val="-1"/>
        </w:rPr>
        <w:t>As</w:t>
      </w:r>
      <w:r>
        <w:t>sen</w:t>
      </w:r>
      <w:r w:rsidRPr="00700515">
        <w:rPr>
          <w:spacing w:val="-1"/>
        </w:rPr>
        <w:t>t</w:t>
      </w:r>
      <w:r w:rsidRPr="00700515">
        <w:rPr>
          <w:spacing w:val="-32"/>
        </w:rPr>
        <w:t xml:space="preserve"> </w:t>
      </w:r>
      <w:r>
        <w:t>on</w:t>
      </w:r>
      <w:r w:rsidRPr="00700515">
        <w:rPr>
          <w:spacing w:val="-32"/>
        </w:rPr>
        <w:t xml:space="preserve"> </w:t>
      </w:r>
      <w:r w:rsidRPr="00700515">
        <w:rPr>
          <w:w w:val="95"/>
        </w:rPr>
        <w:t>11</w:t>
      </w:r>
      <w:r w:rsidRPr="00700515">
        <w:rPr>
          <w:spacing w:val="-30"/>
          <w:w w:val="95"/>
        </w:rPr>
        <w:t xml:space="preserve"> </w:t>
      </w:r>
      <w:r w:rsidRPr="00700515">
        <w:rPr>
          <w:spacing w:val="-1"/>
        </w:rPr>
        <w:t>September</w:t>
      </w:r>
      <w:r w:rsidRPr="00700515">
        <w:rPr>
          <w:spacing w:val="-33"/>
        </w:rPr>
        <w:t xml:space="preserve"> </w:t>
      </w:r>
      <w:r w:rsidRPr="00700515">
        <w:rPr>
          <w:spacing w:val="-1"/>
        </w:rPr>
        <w:t>20</w:t>
      </w:r>
      <w:r>
        <w:t>14.</w:t>
      </w:r>
    </w:p>
    <w:p w:rsidR="00E46BBC" w:rsidRPr="00700515" w:rsidRDefault="00822AD3" w:rsidP="00A50DA3">
      <w:pPr>
        <w:pStyle w:val="ListParagraph"/>
        <w:numPr>
          <w:ilvl w:val="0"/>
          <w:numId w:val="13"/>
        </w:numPr>
        <w:ind w:right="45"/>
        <w:rPr>
          <w:szCs w:val="16"/>
        </w:rPr>
      </w:pPr>
      <w:r w:rsidRPr="00700515">
        <w:rPr>
          <w:spacing w:val="-1"/>
        </w:rPr>
        <w:t>W</w:t>
      </w:r>
      <w:r>
        <w:t>ith</w:t>
      </w:r>
      <w:r w:rsidRPr="00700515">
        <w:rPr>
          <w:spacing w:val="-20"/>
        </w:rPr>
        <w:t xml:space="preserve"> </w:t>
      </w:r>
      <w:r>
        <w:t>rising</w:t>
      </w:r>
      <w:r w:rsidRPr="00700515">
        <w:rPr>
          <w:spacing w:val="-20"/>
        </w:rPr>
        <w:t xml:space="preserve"> </w:t>
      </w:r>
      <w:r>
        <w:t>ener</w:t>
      </w:r>
      <w:r w:rsidRPr="00700515">
        <w:rPr>
          <w:spacing w:val="-1"/>
        </w:rPr>
        <w:t>gy</w:t>
      </w:r>
      <w:r w:rsidRPr="00700515">
        <w:rPr>
          <w:spacing w:val="-19"/>
        </w:rPr>
        <w:t xml:space="preserve"> </w:t>
      </w:r>
      <w:r w:rsidRPr="00700515">
        <w:rPr>
          <w:spacing w:val="-1"/>
        </w:rPr>
        <w:t>pric</w:t>
      </w:r>
      <w:r>
        <w:t>es</w:t>
      </w:r>
      <w:r w:rsidRPr="00700515">
        <w:rPr>
          <w:spacing w:val="-20"/>
        </w:rPr>
        <w:t xml:space="preserve"> </w:t>
      </w:r>
      <w:r>
        <w:t>and</w:t>
      </w:r>
      <w:r w:rsidRPr="00700515">
        <w:rPr>
          <w:spacing w:val="-20"/>
        </w:rPr>
        <w:t xml:space="preserve"> </w:t>
      </w:r>
      <w:r>
        <w:t>an</w:t>
      </w:r>
      <w:r w:rsidRPr="00700515">
        <w:rPr>
          <w:spacing w:val="-19"/>
        </w:rPr>
        <w:t xml:space="preserve"> </w:t>
      </w:r>
      <w:r>
        <w:t>increased</w:t>
      </w:r>
      <w:r w:rsidRPr="00700515">
        <w:rPr>
          <w:spacing w:val="-20"/>
        </w:rPr>
        <w:t xml:space="preserve"> </w:t>
      </w:r>
      <w:r w:rsidRPr="00700515">
        <w:rPr>
          <w:spacing w:val="-1"/>
        </w:rPr>
        <w:t>capacity</w:t>
      </w:r>
      <w:r w:rsidRPr="00700515">
        <w:rPr>
          <w:spacing w:val="-20"/>
        </w:rPr>
        <w:t xml:space="preserve"> </w:t>
      </w:r>
      <w:r>
        <w:t>to</w:t>
      </w:r>
      <w:r w:rsidRPr="00700515">
        <w:rPr>
          <w:spacing w:val="-19"/>
        </w:rPr>
        <w:t xml:space="preserve"> </w:t>
      </w:r>
      <w:r>
        <w:t>r</w:t>
      </w:r>
      <w:r w:rsidRPr="00700515">
        <w:rPr>
          <w:spacing w:val="-1"/>
        </w:rPr>
        <w:t>espond</w:t>
      </w:r>
      <w:r w:rsidRPr="00700515">
        <w:rPr>
          <w:spacing w:val="-20"/>
        </w:rPr>
        <w:t xml:space="preserve"> </w:t>
      </w:r>
      <w:r>
        <w:t>to</w:t>
      </w:r>
      <w:r w:rsidRPr="00700515">
        <w:rPr>
          <w:spacing w:val="-20"/>
        </w:rPr>
        <w:t xml:space="preserve"> </w:t>
      </w:r>
      <w:r>
        <w:t>ener</w:t>
      </w:r>
      <w:r w:rsidRPr="00700515">
        <w:rPr>
          <w:spacing w:val="-1"/>
        </w:rPr>
        <w:t>gy</w:t>
      </w:r>
      <w:r w:rsidRPr="00700515">
        <w:rPr>
          <w:spacing w:val="-19"/>
        </w:rPr>
        <w:t xml:space="preserve"> </w:t>
      </w:r>
      <w:r w:rsidRPr="00700515">
        <w:rPr>
          <w:spacing w:val="-1"/>
        </w:rPr>
        <w:t>costs</w:t>
      </w:r>
      <w:r w:rsidRPr="00700515">
        <w:rPr>
          <w:spacing w:val="-20"/>
        </w:rPr>
        <w:t xml:space="preserve"> </w:t>
      </w:r>
      <w:r w:rsidRPr="00700515">
        <w:rPr>
          <w:spacing w:val="-3"/>
        </w:rPr>
        <w:t>no</w:t>
      </w:r>
      <w:r>
        <w:t>w</w:t>
      </w:r>
      <w:r w:rsidRPr="00700515">
        <w:rPr>
          <w:spacing w:val="-20"/>
        </w:rPr>
        <w:t xml:space="preserve"> </w:t>
      </w:r>
      <w:r w:rsidRPr="00700515">
        <w:rPr>
          <w:spacing w:val="-1"/>
        </w:rPr>
        <w:t>w</w:t>
      </w:r>
      <w:r>
        <w:t>ell</w:t>
      </w:r>
      <w:r w:rsidRPr="00700515">
        <w:rPr>
          <w:spacing w:val="-19"/>
        </w:rPr>
        <w:t xml:space="preserve"> </w:t>
      </w:r>
      <w:r>
        <w:t>established,</w:t>
      </w:r>
      <w:r w:rsidRPr="00700515">
        <w:rPr>
          <w:spacing w:val="-20"/>
        </w:rPr>
        <w:t xml:space="preserve"> </w:t>
      </w:r>
      <w:r>
        <w:t>indus</w:t>
      </w:r>
      <w:r w:rsidRPr="00700515">
        <w:rPr>
          <w:spacing w:val="-1"/>
        </w:rPr>
        <w:t>try</w:t>
      </w:r>
      <w:r w:rsidRPr="00700515">
        <w:rPr>
          <w:spacing w:val="89"/>
        </w:rPr>
        <w:t xml:space="preserve"> </w:t>
      </w:r>
      <w:r>
        <w:t>is</w:t>
      </w:r>
      <w:r w:rsidRPr="00700515">
        <w:rPr>
          <w:spacing w:val="-22"/>
        </w:rPr>
        <w:t xml:space="preserve"> </w:t>
      </w:r>
      <w:r>
        <w:t>bes</w:t>
      </w:r>
      <w:r w:rsidRPr="00700515">
        <w:rPr>
          <w:spacing w:val="-1"/>
        </w:rPr>
        <w:t>t</w:t>
      </w:r>
      <w:r w:rsidRPr="00700515">
        <w:rPr>
          <w:spacing w:val="-22"/>
        </w:rPr>
        <w:t xml:space="preserve"> </w:t>
      </w:r>
      <w:r w:rsidRPr="00700515">
        <w:rPr>
          <w:spacing w:val="-1"/>
        </w:rPr>
        <w:t>placed</w:t>
      </w:r>
      <w:r w:rsidRPr="00700515">
        <w:rPr>
          <w:spacing w:val="-22"/>
        </w:rPr>
        <w:t xml:space="preserve"> </w:t>
      </w:r>
      <w:r>
        <w:t>to</w:t>
      </w:r>
      <w:r w:rsidRPr="00700515">
        <w:rPr>
          <w:spacing w:val="-21"/>
        </w:rPr>
        <w:t xml:space="preserve"> </w:t>
      </w:r>
      <w:r>
        <w:t>make</w:t>
      </w:r>
      <w:r w:rsidRPr="00700515">
        <w:rPr>
          <w:spacing w:val="-22"/>
        </w:rPr>
        <w:t xml:space="preserve"> </w:t>
      </w:r>
      <w:r>
        <w:t>decisions</w:t>
      </w:r>
      <w:r w:rsidRPr="00700515">
        <w:rPr>
          <w:spacing w:val="-22"/>
        </w:rPr>
        <w:t xml:space="preserve"> </w:t>
      </w:r>
      <w:r>
        <w:t>on</w:t>
      </w:r>
      <w:r w:rsidRPr="00700515">
        <w:rPr>
          <w:spacing w:val="-21"/>
        </w:rPr>
        <w:t xml:space="preserve"> </w:t>
      </w:r>
      <w:r>
        <w:t>ener</w:t>
      </w:r>
      <w:r w:rsidRPr="00700515">
        <w:rPr>
          <w:spacing w:val="-1"/>
        </w:rPr>
        <w:t>gy</w:t>
      </w:r>
      <w:r w:rsidRPr="00700515">
        <w:rPr>
          <w:spacing w:val="-22"/>
        </w:rPr>
        <w:t xml:space="preserve"> </w:t>
      </w:r>
      <w:r>
        <w:t>use.</w:t>
      </w:r>
      <w:r w:rsidRPr="00700515">
        <w:rPr>
          <w:spacing w:val="-22"/>
        </w:rPr>
        <w:t xml:space="preserve"> </w:t>
      </w:r>
      <w:r>
        <w:t>The</w:t>
      </w:r>
      <w:r w:rsidRPr="00700515">
        <w:rPr>
          <w:spacing w:val="-21"/>
        </w:rPr>
        <w:t xml:space="preserve"> </w:t>
      </w:r>
      <w:r>
        <w:t>repeal</w:t>
      </w:r>
      <w:r w:rsidRPr="00700515">
        <w:rPr>
          <w:spacing w:val="-22"/>
        </w:rPr>
        <w:t xml:space="preserve"> </w:t>
      </w:r>
      <w:r>
        <w:t>of</w:t>
      </w:r>
      <w:r w:rsidRPr="00700515">
        <w:rPr>
          <w:spacing w:val="-22"/>
        </w:rPr>
        <w:t xml:space="preserve"> </w:t>
      </w:r>
      <w:r>
        <w:t>the</w:t>
      </w:r>
      <w:r w:rsidRPr="00700515">
        <w:rPr>
          <w:spacing w:val="-21"/>
        </w:rPr>
        <w:t xml:space="preserve"> </w:t>
      </w:r>
      <w:r>
        <w:t>Ener</w:t>
      </w:r>
      <w:r w:rsidRPr="00700515">
        <w:rPr>
          <w:spacing w:val="-1"/>
        </w:rPr>
        <w:t>gy</w:t>
      </w:r>
      <w:r w:rsidRPr="00700515">
        <w:rPr>
          <w:spacing w:val="-22"/>
        </w:rPr>
        <w:t xml:space="preserve"> </w:t>
      </w:r>
      <w:r w:rsidRPr="00700515">
        <w:rPr>
          <w:spacing w:val="-1"/>
        </w:rPr>
        <w:t>Efficiency</w:t>
      </w:r>
      <w:r w:rsidRPr="00700515">
        <w:rPr>
          <w:spacing w:val="-22"/>
        </w:rPr>
        <w:t xml:space="preserve"> </w:t>
      </w:r>
      <w:r>
        <w:t>Opportunities</w:t>
      </w:r>
      <w:r w:rsidRPr="00700515">
        <w:rPr>
          <w:spacing w:val="-21"/>
        </w:rPr>
        <w:t xml:space="preserve"> </w:t>
      </w:r>
      <w:r>
        <w:t>legisla</w:t>
      </w:r>
      <w:r w:rsidRPr="00700515">
        <w:rPr>
          <w:spacing w:val="-1"/>
        </w:rPr>
        <w:t>tion</w:t>
      </w:r>
      <w:r w:rsidRPr="00700515">
        <w:rPr>
          <w:spacing w:val="63"/>
          <w:w w:val="98"/>
        </w:rPr>
        <w:t xml:space="preserve"> </w:t>
      </w:r>
      <w:r w:rsidRPr="00700515">
        <w:rPr>
          <w:spacing w:val="-3"/>
        </w:rPr>
        <w:t>remo</w:t>
      </w:r>
      <w:r>
        <w:t>v</w:t>
      </w:r>
      <w:r w:rsidRPr="00700515">
        <w:rPr>
          <w:spacing w:val="-3"/>
        </w:rPr>
        <w:t>es</w:t>
      </w:r>
      <w:r w:rsidRPr="00700515">
        <w:rPr>
          <w:spacing w:val="-27"/>
        </w:rPr>
        <w:t xml:space="preserve"> </w:t>
      </w:r>
      <w:r w:rsidRPr="00700515">
        <w:rPr>
          <w:spacing w:val="-1"/>
        </w:rPr>
        <w:t>complianc</w:t>
      </w:r>
      <w:r>
        <w:t>e</w:t>
      </w:r>
      <w:r w:rsidRPr="00700515">
        <w:rPr>
          <w:spacing w:val="-26"/>
        </w:rPr>
        <w:t xml:space="preserve"> </w:t>
      </w:r>
      <w:r w:rsidRPr="00700515">
        <w:rPr>
          <w:spacing w:val="-1"/>
        </w:rPr>
        <w:t>bur</w:t>
      </w:r>
      <w:r>
        <w:t>den</w:t>
      </w:r>
      <w:r w:rsidRPr="00700515">
        <w:rPr>
          <w:spacing w:val="-26"/>
        </w:rPr>
        <w:t xml:space="preserve"> </w:t>
      </w:r>
      <w:r>
        <w:t>on</w:t>
      </w:r>
      <w:r w:rsidRPr="00700515">
        <w:rPr>
          <w:spacing w:val="-26"/>
        </w:rPr>
        <w:t xml:space="preserve"> </w:t>
      </w:r>
      <w:r>
        <w:t>businesses,</w:t>
      </w:r>
      <w:r w:rsidRPr="00700515">
        <w:rPr>
          <w:spacing w:val="-26"/>
        </w:rPr>
        <w:t xml:space="preserve"> </w:t>
      </w:r>
      <w:r>
        <w:t>with</w:t>
      </w:r>
      <w:r w:rsidRPr="00700515">
        <w:rPr>
          <w:spacing w:val="-26"/>
        </w:rPr>
        <w:t xml:space="preserve"> </w:t>
      </w:r>
      <w:r>
        <w:t>his</w:t>
      </w:r>
      <w:r w:rsidRPr="00700515">
        <w:rPr>
          <w:spacing w:val="-1"/>
        </w:rPr>
        <w:t>torical</w:t>
      </w:r>
      <w:r w:rsidRPr="00700515">
        <w:rPr>
          <w:spacing w:val="-26"/>
        </w:rPr>
        <w:t xml:space="preserve"> </w:t>
      </w:r>
      <w:r w:rsidRPr="00700515">
        <w:rPr>
          <w:spacing w:val="-1"/>
        </w:rPr>
        <w:t>progr</w:t>
      </w:r>
      <w:r>
        <w:t>amme</w:t>
      </w:r>
      <w:r w:rsidRPr="00700515">
        <w:rPr>
          <w:spacing w:val="-26"/>
        </w:rPr>
        <w:t xml:space="preserve"> </w:t>
      </w:r>
      <w:r>
        <w:t>ma</w:t>
      </w:r>
      <w:r w:rsidRPr="00700515">
        <w:rPr>
          <w:spacing w:val="-1"/>
        </w:rPr>
        <w:t>t</w:t>
      </w:r>
      <w:r>
        <w:t>erial</w:t>
      </w:r>
      <w:r w:rsidRPr="00700515">
        <w:rPr>
          <w:spacing w:val="-26"/>
        </w:rPr>
        <w:t xml:space="preserve"> </w:t>
      </w:r>
      <w:r>
        <w:t>still</w:t>
      </w:r>
      <w:r w:rsidRPr="00700515">
        <w:rPr>
          <w:spacing w:val="-26"/>
        </w:rPr>
        <w:t xml:space="preserve"> </w:t>
      </w:r>
      <w:r>
        <w:t>a</w:t>
      </w:r>
      <w:r w:rsidRPr="00700515">
        <w:rPr>
          <w:spacing w:val="-1"/>
        </w:rPr>
        <w:t>v</w:t>
      </w:r>
      <w:r>
        <w:t>ailable</w:t>
      </w:r>
      <w:r w:rsidRPr="00700515">
        <w:rPr>
          <w:spacing w:val="-26"/>
        </w:rPr>
        <w:t xml:space="preserve"> </w:t>
      </w:r>
      <w:r>
        <w:t>should</w:t>
      </w:r>
      <w:r w:rsidRPr="00700515">
        <w:rPr>
          <w:spacing w:val="-26"/>
        </w:rPr>
        <w:t xml:space="preserve"> </w:t>
      </w:r>
      <w:r>
        <w:t>businesses</w:t>
      </w:r>
      <w:r w:rsidRPr="00700515">
        <w:rPr>
          <w:spacing w:val="77"/>
          <w:w w:val="95"/>
        </w:rPr>
        <w:t xml:space="preserve"> </w:t>
      </w:r>
      <w:r>
        <w:t>wish</w:t>
      </w:r>
      <w:r w:rsidRPr="00700515">
        <w:rPr>
          <w:spacing w:val="-24"/>
        </w:rPr>
        <w:t xml:space="preserve"> </w:t>
      </w:r>
      <w:r>
        <w:t>to</w:t>
      </w:r>
      <w:r w:rsidRPr="00700515">
        <w:rPr>
          <w:spacing w:val="-23"/>
        </w:rPr>
        <w:t xml:space="preserve"> </w:t>
      </w:r>
      <w:r w:rsidRPr="00700515">
        <w:rPr>
          <w:spacing w:val="-3"/>
        </w:rPr>
        <w:t>ac</w:t>
      </w:r>
      <w:r>
        <w:t>c</w:t>
      </w:r>
      <w:r w:rsidRPr="00700515">
        <w:rPr>
          <w:spacing w:val="-3"/>
        </w:rPr>
        <w:t>ess</w:t>
      </w:r>
      <w:r w:rsidRPr="00700515">
        <w:rPr>
          <w:spacing w:val="-23"/>
        </w:rPr>
        <w:t xml:space="preserve"> </w:t>
      </w:r>
      <w:r>
        <w:t>it.</w:t>
      </w:r>
    </w:p>
    <w:p w:rsidR="00E46BBC" w:rsidRPr="00700515" w:rsidRDefault="00822AD3" w:rsidP="00A50DA3">
      <w:pPr>
        <w:pStyle w:val="ListParagraph"/>
        <w:numPr>
          <w:ilvl w:val="0"/>
          <w:numId w:val="13"/>
        </w:numPr>
        <w:ind w:right="45"/>
        <w:rPr>
          <w:szCs w:val="16"/>
        </w:rPr>
      </w:pPr>
      <w:r>
        <w:t>The</w:t>
      </w:r>
      <w:r w:rsidRPr="00700515">
        <w:rPr>
          <w:spacing w:val="-25"/>
        </w:rPr>
        <w:t xml:space="preserve"> </w:t>
      </w:r>
      <w:r>
        <w:t>Departmen</w:t>
      </w:r>
      <w:r w:rsidRPr="00700515">
        <w:rPr>
          <w:spacing w:val="-1"/>
        </w:rPr>
        <w:t>t</w:t>
      </w:r>
      <w:r w:rsidRPr="00700515">
        <w:rPr>
          <w:spacing w:val="-24"/>
        </w:rPr>
        <w:t xml:space="preserve"> </w:t>
      </w:r>
      <w:r>
        <w:t>of</w:t>
      </w:r>
      <w:r w:rsidRPr="00700515">
        <w:rPr>
          <w:spacing w:val="-24"/>
        </w:rPr>
        <w:t xml:space="preserve"> </w:t>
      </w:r>
      <w:r>
        <w:t>Indus</w:t>
      </w:r>
      <w:r w:rsidRPr="00700515">
        <w:rPr>
          <w:spacing w:val="-1"/>
        </w:rPr>
        <w:t>try</w:t>
      </w:r>
      <w:r w:rsidRPr="00700515">
        <w:rPr>
          <w:spacing w:val="-25"/>
        </w:rPr>
        <w:t xml:space="preserve"> </w:t>
      </w:r>
      <w:r>
        <w:t>and</w:t>
      </w:r>
      <w:r w:rsidRPr="00700515">
        <w:rPr>
          <w:spacing w:val="-24"/>
        </w:rPr>
        <w:t xml:space="preserve"> </w:t>
      </w:r>
      <w:r w:rsidRPr="00700515">
        <w:rPr>
          <w:spacing w:val="-1"/>
        </w:rPr>
        <w:t>Scienc</w:t>
      </w:r>
      <w:r>
        <w:t>e</w:t>
      </w:r>
      <w:r w:rsidRPr="00700515">
        <w:rPr>
          <w:spacing w:val="-24"/>
        </w:rPr>
        <w:t xml:space="preserve"> </w:t>
      </w:r>
      <w:r>
        <w:t>has</w:t>
      </w:r>
      <w:r w:rsidRPr="00700515">
        <w:rPr>
          <w:spacing w:val="-25"/>
        </w:rPr>
        <w:t xml:space="preserve"> </w:t>
      </w:r>
      <w:r>
        <w:t>estima</w:t>
      </w:r>
      <w:r w:rsidRPr="00700515">
        <w:rPr>
          <w:spacing w:val="-1"/>
        </w:rPr>
        <w:t>ted</w:t>
      </w:r>
      <w:r w:rsidRPr="00700515">
        <w:rPr>
          <w:spacing w:val="-24"/>
        </w:rPr>
        <w:t xml:space="preserve"> </w:t>
      </w:r>
      <w:r>
        <w:t>this</w:t>
      </w:r>
      <w:r w:rsidRPr="00700515">
        <w:rPr>
          <w:spacing w:val="-24"/>
        </w:rPr>
        <w:t xml:space="preserve"> </w:t>
      </w:r>
      <w:r>
        <w:t>will</w:t>
      </w:r>
      <w:r w:rsidRPr="00700515">
        <w:rPr>
          <w:spacing w:val="-25"/>
        </w:rPr>
        <w:t xml:space="preserve"> </w:t>
      </w:r>
      <w:r>
        <w:t>lead</w:t>
      </w:r>
      <w:r w:rsidRPr="00700515">
        <w:rPr>
          <w:spacing w:val="-24"/>
        </w:rPr>
        <w:t xml:space="preserve"> </w:t>
      </w:r>
      <w:r>
        <w:t>to</w:t>
      </w:r>
      <w:r w:rsidRPr="00700515">
        <w:rPr>
          <w:spacing w:val="-24"/>
        </w:rPr>
        <w:t xml:space="preserve"> </w:t>
      </w:r>
      <w:r>
        <w:t>an</w:t>
      </w:r>
      <w:r w:rsidRPr="00700515">
        <w:rPr>
          <w:spacing w:val="-25"/>
        </w:rPr>
        <w:t xml:space="preserve"> </w:t>
      </w:r>
      <w:r>
        <w:t>annual</w:t>
      </w:r>
      <w:r w:rsidRPr="00700515">
        <w:rPr>
          <w:spacing w:val="-24"/>
        </w:rPr>
        <w:t xml:space="preserve"> </w:t>
      </w:r>
      <w:r>
        <w:t>sa</w:t>
      </w:r>
      <w:r w:rsidRPr="00700515">
        <w:rPr>
          <w:spacing w:val="-1"/>
        </w:rPr>
        <w:t>ving</w:t>
      </w:r>
      <w:r w:rsidRPr="00700515">
        <w:rPr>
          <w:spacing w:val="-24"/>
        </w:rPr>
        <w:t xml:space="preserve"> </w:t>
      </w:r>
      <w:r>
        <w:t>of</w:t>
      </w:r>
      <w:r w:rsidRPr="00700515">
        <w:rPr>
          <w:spacing w:val="-25"/>
        </w:rPr>
        <w:t xml:space="preserve"> </w:t>
      </w:r>
      <w:r>
        <w:t>$26.77</w:t>
      </w:r>
      <w:r w:rsidRPr="00700515">
        <w:rPr>
          <w:spacing w:val="-24"/>
        </w:rPr>
        <w:t xml:space="preserve"> </w:t>
      </w:r>
      <w:r>
        <w:t>million</w:t>
      </w:r>
      <w:r w:rsidRPr="00700515">
        <w:rPr>
          <w:spacing w:val="57"/>
          <w:w w:val="97"/>
        </w:rPr>
        <w:t xml:space="preserve"> </w:t>
      </w:r>
      <w:r>
        <w:t>in</w:t>
      </w:r>
      <w:r w:rsidRPr="00700515">
        <w:rPr>
          <w:spacing w:val="-25"/>
        </w:rPr>
        <w:t xml:space="preserve"> </w:t>
      </w:r>
      <w:r w:rsidRPr="00700515">
        <w:rPr>
          <w:spacing w:val="-1"/>
        </w:rPr>
        <w:t>complianc</w:t>
      </w:r>
      <w:r>
        <w:t>e</w:t>
      </w:r>
      <w:r w:rsidRPr="00700515">
        <w:rPr>
          <w:spacing w:val="-24"/>
        </w:rPr>
        <w:t xml:space="preserve"> </w:t>
      </w:r>
      <w:r w:rsidRPr="00700515">
        <w:rPr>
          <w:spacing w:val="-1"/>
        </w:rPr>
        <w:t>costs</w:t>
      </w:r>
      <w:r w:rsidRPr="00700515">
        <w:rPr>
          <w:spacing w:val="-24"/>
        </w:rPr>
        <w:t xml:space="preserve"> </w:t>
      </w:r>
      <w:r w:rsidRPr="00700515">
        <w:rPr>
          <w:spacing w:val="-1"/>
        </w:rPr>
        <w:t>for</w:t>
      </w:r>
      <w:r w:rsidRPr="00700515">
        <w:rPr>
          <w:spacing w:val="-25"/>
        </w:rPr>
        <w:t xml:space="preserve"> </w:t>
      </w:r>
      <w:r>
        <w:t>lar</w:t>
      </w:r>
      <w:r w:rsidRPr="00700515">
        <w:rPr>
          <w:spacing w:val="-1"/>
        </w:rPr>
        <w:t>ge</w:t>
      </w:r>
      <w:r w:rsidRPr="00700515">
        <w:rPr>
          <w:spacing w:val="-24"/>
        </w:rPr>
        <w:t xml:space="preserve"> </w:t>
      </w:r>
      <w:r>
        <w:t>ener</w:t>
      </w:r>
      <w:r w:rsidRPr="00700515">
        <w:rPr>
          <w:spacing w:val="-1"/>
        </w:rPr>
        <w:t>gy</w:t>
      </w:r>
      <w:r w:rsidRPr="00700515">
        <w:rPr>
          <w:spacing w:val="-24"/>
        </w:rPr>
        <w:t xml:space="preserve"> </w:t>
      </w:r>
      <w:r>
        <w:t>users.</w:t>
      </w:r>
    </w:p>
    <w:p w:rsidR="00700515" w:rsidRDefault="00700515" w:rsidP="00A50DA3">
      <w:pPr>
        <w:pStyle w:val="Heading3"/>
        <w:rPr>
          <w:rFonts w:eastAsia="Calibri" w:hAnsi="Calibri" w:cs="Calibri"/>
          <w:sz w:val="9"/>
          <w:szCs w:val="9"/>
        </w:rPr>
      </w:pPr>
      <w:bookmarkStart w:id="128" w:name="_Toc414449263"/>
      <w:bookmarkStart w:id="129" w:name="_Toc414449439"/>
      <w:r>
        <w:rPr>
          <w:w w:val="110"/>
        </w:rPr>
        <w:t>R</w:t>
      </w:r>
      <w:r>
        <w:rPr>
          <w:spacing w:val="-2"/>
          <w:w w:val="110"/>
        </w:rPr>
        <w:t>ef</w:t>
      </w:r>
      <w:r>
        <w:rPr>
          <w:w w:val="110"/>
        </w:rPr>
        <w:t>orming</w:t>
      </w:r>
      <w:r>
        <w:rPr>
          <w:spacing w:val="-13"/>
          <w:w w:val="110"/>
        </w:rPr>
        <w:t xml:space="preserve"> </w:t>
      </w:r>
      <w:r>
        <w:rPr>
          <w:w w:val="110"/>
        </w:rPr>
        <w:t>A</w:t>
      </w:r>
      <w:r>
        <w:rPr>
          <w:spacing w:val="-2"/>
          <w:w w:val="110"/>
        </w:rPr>
        <w:t>ustralian</w:t>
      </w:r>
      <w:r>
        <w:rPr>
          <w:spacing w:val="-12"/>
          <w:w w:val="110"/>
        </w:rPr>
        <w:t xml:space="preserve"> </w:t>
      </w:r>
      <w:r>
        <w:rPr>
          <w:w w:val="110"/>
        </w:rPr>
        <w:t>Appr</w:t>
      </w:r>
      <w:r>
        <w:rPr>
          <w:spacing w:val="-2"/>
          <w:w w:val="110"/>
        </w:rPr>
        <w:t>en</w:t>
      </w:r>
      <w:r>
        <w:rPr>
          <w:w w:val="110"/>
        </w:rPr>
        <w:t>ticeships</w:t>
      </w:r>
      <w:r>
        <w:rPr>
          <w:spacing w:val="-12"/>
          <w:w w:val="110"/>
        </w:rPr>
        <w:t xml:space="preserve"> </w:t>
      </w:r>
      <w:r>
        <w:rPr>
          <w:w w:val="110"/>
        </w:rPr>
        <w:t>Support</w:t>
      </w:r>
      <w:r>
        <w:rPr>
          <w:spacing w:val="-13"/>
          <w:w w:val="110"/>
        </w:rPr>
        <w:t xml:space="preserve"> </w:t>
      </w:r>
      <w:r>
        <w:rPr>
          <w:w w:val="110"/>
        </w:rPr>
        <w:t>Servic</w:t>
      </w:r>
      <w:r>
        <w:rPr>
          <w:spacing w:val="-2"/>
          <w:w w:val="110"/>
        </w:rPr>
        <w:t>es</w:t>
      </w:r>
      <w:r w:rsidR="00A942E6">
        <w:rPr>
          <w:rStyle w:val="FootnoteReference"/>
          <w:spacing w:val="-2"/>
          <w:w w:val="110"/>
        </w:rPr>
        <w:footnoteReference w:id="15"/>
      </w:r>
      <w:bookmarkEnd w:id="128"/>
      <w:bookmarkEnd w:id="129"/>
    </w:p>
    <w:p w:rsidR="00E46BBC" w:rsidRPr="00700515" w:rsidRDefault="00822AD3" w:rsidP="00A50DA3">
      <w:pPr>
        <w:pStyle w:val="ListParagraph"/>
        <w:numPr>
          <w:ilvl w:val="0"/>
          <w:numId w:val="14"/>
        </w:numPr>
      </w:pPr>
      <w:r w:rsidRPr="00700515">
        <w:t>On 8 September 2014, the Australian Government announced new arrangements for the delivery of support services to apprentices and their employers to lift apprenticeship completion rates.</w:t>
      </w:r>
    </w:p>
    <w:p w:rsidR="00E46BBC" w:rsidRPr="00700515" w:rsidRDefault="00822AD3" w:rsidP="00A50DA3">
      <w:pPr>
        <w:pStyle w:val="ListParagraph"/>
        <w:numPr>
          <w:ilvl w:val="0"/>
          <w:numId w:val="14"/>
        </w:numPr>
      </w:pPr>
      <w:r w:rsidRPr="00700515">
        <w:t>The new Australian Apprenticeships Support Network (the network) will commence from 1</w:t>
      </w:r>
      <w:r w:rsidR="0061209E" w:rsidRPr="00700515">
        <w:t xml:space="preserve"> </w:t>
      </w:r>
      <w:r w:rsidRPr="00700515">
        <w:t>July 2015, and will shift apprenticeship services away from administration to outcomes-focused services such as mentoring and job-matching to better support businesses and apprentices. To address low completion rates, the network will provide better support for apprentices and their employers at all points of the apprenticeship cycle. Targeted individuals will have access to entry-level screening for suitable matching to an apprenticeship or further training. Employers and their apprentices at risk of apprenticeship non-completion will have access</w:t>
      </w:r>
      <w:r w:rsidR="00700515">
        <w:t xml:space="preserve"> </w:t>
      </w:r>
      <w:r w:rsidRPr="00700515">
        <w:t>to individually tailored support and mentoring.</w:t>
      </w:r>
    </w:p>
    <w:p w:rsidR="00E46BBC" w:rsidRPr="00700515" w:rsidRDefault="00822AD3" w:rsidP="00A50DA3">
      <w:pPr>
        <w:pStyle w:val="ListParagraph"/>
        <w:numPr>
          <w:ilvl w:val="0"/>
          <w:numId w:val="14"/>
        </w:numPr>
      </w:pPr>
      <w:r w:rsidRPr="00700515">
        <w:t>The Department of Industry and Science has estimated this will lead to an annual saving of $17.00 million in compliance costs for apprentices and employers.</w:t>
      </w:r>
    </w:p>
    <w:p w:rsidR="00700515" w:rsidRDefault="00700515" w:rsidP="00A50DA3">
      <w:pPr>
        <w:pStyle w:val="Heading3"/>
        <w:rPr>
          <w:rFonts w:eastAsia="Calibri" w:hAnsi="Calibri" w:cs="Calibri"/>
          <w:szCs w:val="16"/>
        </w:rPr>
      </w:pPr>
      <w:bookmarkStart w:id="130" w:name="_Toc414449264"/>
      <w:bookmarkStart w:id="131" w:name="_Toc414449440"/>
      <w:r>
        <w:rPr>
          <w:w w:val="110"/>
        </w:rPr>
        <w:t>Impro</w:t>
      </w:r>
      <w:r>
        <w:rPr>
          <w:spacing w:val="-1"/>
          <w:w w:val="110"/>
        </w:rPr>
        <w:t>ving</w:t>
      </w:r>
      <w:r>
        <w:rPr>
          <w:w w:val="110"/>
        </w:rPr>
        <w:t xml:space="preserve"> fle</w:t>
      </w:r>
      <w:r>
        <w:rPr>
          <w:spacing w:val="-1"/>
          <w:w w:val="110"/>
        </w:rPr>
        <w:t xml:space="preserve">xibility </w:t>
      </w:r>
      <w:r>
        <w:rPr>
          <w:w w:val="110"/>
        </w:rPr>
        <w:t>in the</w:t>
      </w:r>
      <w:r>
        <w:rPr>
          <w:spacing w:val="-1"/>
          <w:w w:val="110"/>
        </w:rPr>
        <w:t xml:space="preserve"> </w:t>
      </w:r>
      <w:r>
        <w:rPr>
          <w:w w:val="110"/>
        </w:rPr>
        <w:t>National</w:t>
      </w:r>
      <w:r>
        <w:rPr>
          <w:spacing w:val="-1"/>
          <w:w w:val="110"/>
        </w:rPr>
        <w:t xml:space="preserve"> C</w:t>
      </w:r>
      <w:r>
        <w:rPr>
          <w:w w:val="110"/>
        </w:rPr>
        <w:t xml:space="preserve">onstruction </w:t>
      </w:r>
      <w:r>
        <w:rPr>
          <w:spacing w:val="-1"/>
          <w:w w:val="110"/>
        </w:rPr>
        <w:t>C</w:t>
      </w:r>
      <w:r>
        <w:rPr>
          <w:w w:val="110"/>
        </w:rPr>
        <w:t>ode</w:t>
      </w:r>
      <w:r>
        <w:rPr>
          <w:spacing w:val="-1"/>
          <w:w w:val="110"/>
        </w:rPr>
        <w:t xml:space="preserve"> (NCC)</w:t>
      </w:r>
      <w:bookmarkEnd w:id="130"/>
      <w:bookmarkEnd w:id="131"/>
    </w:p>
    <w:p w:rsidR="00E46BBC" w:rsidRPr="00700515" w:rsidRDefault="00822AD3" w:rsidP="00A50DA3">
      <w:pPr>
        <w:pStyle w:val="ListParagraph"/>
        <w:numPr>
          <w:ilvl w:val="0"/>
          <w:numId w:val="15"/>
        </w:numPr>
      </w:pPr>
      <w:r w:rsidRPr="00700515">
        <w:t>In November 2013, the Australian Building Codes Board (ABCB) agreed to amend the NCC to permit fire extinguishers to be used in lieu of fire hoses in certain classes of new residential buildings. The amendment took effect from 1 May 2014.</w:t>
      </w:r>
    </w:p>
    <w:p w:rsidR="00E46BBC" w:rsidRPr="00700515" w:rsidRDefault="00822AD3" w:rsidP="00A50DA3">
      <w:pPr>
        <w:pStyle w:val="ListParagraph"/>
        <w:numPr>
          <w:ilvl w:val="0"/>
          <w:numId w:val="15"/>
        </w:numPr>
      </w:pPr>
      <w:r w:rsidRPr="00700515">
        <w:t>The number of buildings broadly affected each year is estimated to be just over 4,500. The change to the NCC reduces regulatory burden and maintains an appropriate level of fire safety</w:t>
      </w:r>
      <w:r w:rsidR="0061209E" w:rsidRPr="00700515">
        <w:t xml:space="preserve"> </w:t>
      </w:r>
      <w:r w:rsidRPr="00700515">
        <w:t>in buildings.</w:t>
      </w:r>
    </w:p>
    <w:p w:rsidR="00E46BBC" w:rsidRPr="00700515" w:rsidRDefault="00822AD3" w:rsidP="00A50DA3">
      <w:pPr>
        <w:pStyle w:val="ListParagraph"/>
        <w:numPr>
          <w:ilvl w:val="0"/>
          <w:numId w:val="15"/>
        </w:numPr>
      </w:pPr>
      <w:r w:rsidRPr="00700515">
        <w:t>The OBPR has agreed that this will lead to an annual saving of $13.8 million in compliance costs for the building and construction sector, of which $8.28 million has been a</w:t>
      </w:r>
      <w:r w:rsidR="00A942E6">
        <w:t>pportioned to the Commonwealth.</w:t>
      </w:r>
      <w:r w:rsidR="00A942E6">
        <w:rPr>
          <w:rStyle w:val="FootnoteReference"/>
        </w:rPr>
        <w:footnoteReference w:id="16"/>
      </w:r>
    </w:p>
    <w:p w:rsidR="00700515" w:rsidRDefault="00700515" w:rsidP="00A50DA3">
      <w:pPr>
        <w:pStyle w:val="Heading3"/>
        <w:rPr>
          <w:rFonts w:eastAsia="Calibri" w:hAnsi="Calibri" w:cs="Calibri"/>
          <w:sz w:val="9"/>
          <w:szCs w:val="9"/>
        </w:rPr>
      </w:pPr>
      <w:bookmarkStart w:id="132" w:name="_Toc414449265"/>
      <w:bookmarkStart w:id="133" w:name="_Toc414449441"/>
      <w:r>
        <w:rPr>
          <w:w w:val="110"/>
        </w:rPr>
        <w:t>Delegating</w:t>
      </w:r>
      <w:r>
        <w:rPr>
          <w:spacing w:val="-9"/>
          <w:w w:val="110"/>
        </w:rPr>
        <w:t xml:space="preserve"> </w:t>
      </w:r>
      <w:r w:rsidRPr="00700515">
        <w:t>regulatory</w:t>
      </w:r>
      <w:r>
        <w:rPr>
          <w:spacing w:val="-8"/>
          <w:w w:val="110"/>
        </w:rPr>
        <w:t xml:space="preserve"> </w:t>
      </w:r>
      <w:r>
        <w:rPr>
          <w:spacing w:val="-2"/>
          <w:w w:val="110"/>
        </w:rPr>
        <w:t>r</w:t>
      </w:r>
      <w:r>
        <w:rPr>
          <w:w w:val="110"/>
        </w:rPr>
        <w:t>esponsibility</w:t>
      </w:r>
      <w:r>
        <w:rPr>
          <w:spacing w:val="-8"/>
          <w:w w:val="110"/>
        </w:rPr>
        <w:t xml:space="preserve"> </w:t>
      </w:r>
      <w:r>
        <w:rPr>
          <w:spacing w:val="-3"/>
          <w:w w:val="110"/>
        </w:rPr>
        <w:t>to</w:t>
      </w:r>
      <w:r>
        <w:rPr>
          <w:spacing w:val="-8"/>
          <w:w w:val="110"/>
        </w:rPr>
        <w:t xml:space="preserve"> </w:t>
      </w:r>
      <w:r>
        <w:rPr>
          <w:spacing w:val="-2"/>
          <w:w w:val="110"/>
        </w:rPr>
        <w:t>RTOs</w:t>
      </w:r>
      <w:r w:rsidR="00A942E6">
        <w:rPr>
          <w:rStyle w:val="FootnoteReference"/>
          <w:spacing w:val="-2"/>
          <w:w w:val="110"/>
        </w:rPr>
        <w:footnoteReference w:id="17"/>
      </w:r>
      <w:bookmarkEnd w:id="132"/>
      <w:bookmarkEnd w:id="133"/>
    </w:p>
    <w:p w:rsidR="00E46BBC" w:rsidRPr="00700515" w:rsidRDefault="00822AD3" w:rsidP="00A50DA3">
      <w:pPr>
        <w:pStyle w:val="ListParagraph"/>
        <w:numPr>
          <w:ilvl w:val="0"/>
          <w:numId w:val="16"/>
        </w:numPr>
      </w:pPr>
      <w:r w:rsidRPr="00700515">
        <w:t>On 11 September 2014, the Minister for Industry announced changes to the way the ASQA regulates high-performing training providers.</w:t>
      </w:r>
    </w:p>
    <w:p w:rsidR="00E46BBC" w:rsidRPr="00700515" w:rsidRDefault="00822AD3" w:rsidP="00A50DA3">
      <w:pPr>
        <w:pStyle w:val="ListParagraph"/>
        <w:numPr>
          <w:ilvl w:val="0"/>
          <w:numId w:val="16"/>
        </w:numPr>
      </w:pPr>
      <w:r w:rsidRPr="00700515">
        <w:t>ASQA will invite high performing, eligible RTOs with a history of compliance to apply for a delegation of regulatory responsibility. An approved delegate will be able to add new qualifications or units of competency to their scope of registration without having to submit an application and paying a fee to ASQA each time they make a change.</w:t>
      </w:r>
    </w:p>
    <w:p w:rsidR="00E46BBC" w:rsidRDefault="00822AD3" w:rsidP="00A50DA3">
      <w:pPr>
        <w:pStyle w:val="ListParagraph"/>
        <w:numPr>
          <w:ilvl w:val="0"/>
          <w:numId w:val="16"/>
        </w:numPr>
      </w:pPr>
      <w:r w:rsidRPr="00700515">
        <w:t>The Department of Industry and Science has estimated this will lead to an annual saving of $6.23 million in compliance costs for RTOs.</w:t>
      </w:r>
    </w:p>
    <w:p w:rsidR="000C7648" w:rsidRDefault="000C7648">
      <w:pPr>
        <w:spacing w:before="0" w:after="0" w:line="240" w:lineRule="auto"/>
        <w:rPr>
          <w:rFonts w:ascii="Century Gothic" w:eastAsia="Century Gothic" w:hAnsi="Century Gothic"/>
          <w:b/>
          <w:sz w:val="24"/>
          <w:szCs w:val="24"/>
        </w:rPr>
      </w:pPr>
      <w:r>
        <w:br w:type="page"/>
      </w:r>
    </w:p>
    <w:p w:rsidR="00700515" w:rsidRDefault="00700515" w:rsidP="00A50DA3">
      <w:pPr>
        <w:pStyle w:val="Heading3"/>
      </w:pPr>
      <w:bookmarkStart w:id="134" w:name="_Toc414449266"/>
      <w:bookmarkStart w:id="135" w:name="_Toc414449442"/>
      <w:r w:rsidRPr="00700515">
        <w:lastRenderedPageBreak/>
        <w:t>Introducing the Un</w:t>
      </w:r>
      <w:r w:rsidR="00A942E6">
        <w:t>ique Student Identifier scheme</w:t>
      </w:r>
      <w:r w:rsidR="00A942E6">
        <w:rPr>
          <w:rStyle w:val="FootnoteReference"/>
        </w:rPr>
        <w:footnoteReference w:id="18"/>
      </w:r>
      <w:bookmarkEnd w:id="134"/>
      <w:bookmarkEnd w:id="135"/>
    </w:p>
    <w:p w:rsidR="00E46BBC" w:rsidRPr="00700515" w:rsidRDefault="00822AD3" w:rsidP="00A50DA3">
      <w:pPr>
        <w:pStyle w:val="ListParagraph"/>
        <w:numPr>
          <w:ilvl w:val="0"/>
          <w:numId w:val="17"/>
        </w:numPr>
      </w:pPr>
      <w:r w:rsidRPr="00700515">
        <w:t>On 27 March 2014, the Assistant Minister for Education introduced the Student</w:t>
      </w:r>
      <w:r w:rsidR="00BB6F22" w:rsidRPr="00700515">
        <w:t xml:space="preserve"> </w:t>
      </w:r>
      <w:r w:rsidRPr="00700515">
        <w:t>Identifiers Bill 2014. The Bill received Royal Assent on 25 June 2014.</w:t>
      </w:r>
    </w:p>
    <w:p w:rsidR="00E46BBC" w:rsidRPr="00700515" w:rsidRDefault="00822AD3" w:rsidP="00A50DA3">
      <w:pPr>
        <w:pStyle w:val="ListParagraph"/>
        <w:numPr>
          <w:ilvl w:val="0"/>
          <w:numId w:val="17"/>
        </w:numPr>
      </w:pPr>
      <w:r w:rsidRPr="00700515">
        <w:t>From 1 January 2015, millions of Australians can now build an online record of their VET attainments and qualifications. Every new and existing VET student will be issued a unique student identifier. This number is retained by a student throughout his or her lifetime. By gaining greater control over their VET records, student access to information for course enrolment will improve. Establishing credit for recognised prior learning will be simpler and it will be easier for students to show employers this information during interviews.</w:t>
      </w:r>
    </w:p>
    <w:p w:rsidR="00E46BBC" w:rsidRPr="00700515" w:rsidRDefault="00822AD3" w:rsidP="00A50DA3">
      <w:pPr>
        <w:pStyle w:val="ListParagraph"/>
        <w:numPr>
          <w:ilvl w:val="0"/>
          <w:numId w:val="17"/>
        </w:numPr>
      </w:pPr>
      <w:r w:rsidRPr="00700515">
        <w:t>The Department of Industry and Science has estimated this will lead to an annual saving of $6.01 million in compliance costs for VET students and training providers, of which $5.41 million has been apportioned to the Commonwealth.</w:t>
      </w:r>
      <w:r w:rsidR="00A942E6">
        <w:rPr>
          <w:rStyle w:val="FootnoteReference"/>
        </w:rPr>
        <w:footnoteReference w:id="19"/>
      </w:r>
    </w:p>
    <w:p w:rsidR="00700515" w:rsidRDefault="00700515" w:rsidP="00A50DA3">
      <w:pPr>
        <w:pStyle w:val="Heading3"/>
      </w:pPr>
      <w:bookmarkStart w:id="136" w:name="_Toc414449267"/>
      <w:bookmarkStart w:id="137" w:name="_Toc414449443"/>
      <w:r w:rsidRPr="00700515">
        <w:t>Removing requirements for Australian Industry Opportunity Officers from the Enhanc</w:t>
      </w:r>
      <w:r w:rsidR="00A942E6">
        <w:t xml:space="preserve">ed Project By-Law </w:t>
      </w:r>
      <w:r w:rsidR="00723AD7">
        <w:t>Scheme (</w:t>
      </w:r>
      <w:r w:rsidR="00A942E6">
        <w:t>EPBS)</w:t>
      </w:r>
      <w:r w:rsidR="00A942E6">
        <w:rPr>
          <w:rStyle w:val="FootnoteReference"/>
        </w:rPr>
        <w:footnoteReference w:id="20"/>
      </w:r>
      <w:bookmarkEnd w:id="136"/>
      <w:bookmarkEnd w:id="137"/>
    </w:p>
    <w:p w:rsidR="00E46BBC" w:rsidRPr="00700515" w:rsidRDefault="00822AD3" w:rsidP="00A50DA3">
      <w:pPr>
        <w:pStyle w:val="ListParagraph"/>
        <w:numPr>
          <w:ilvl w:val="0"/>
          <w:numId w:val="18"/>
        </w:numPr>
      </w:pPr>
      <w:r w:rsidRPr="00700515">
        <w:t>The Minister for Industry revised EPBS Guidelines to remove the requirement for major projects to employ an Australian Industry Opportunity Officer. The requirement for large projects valued at $2 billion or more to</w:t>
      </w:r>
      <w:r w:rsidR="00700515" w:rsidRPr="00700515">
        <w:t xml:space="preserve"> </w:t>
      </w:r>
      <w:r w:rsidRPr="00700515">
        <w:t>employ an Australian Industry Opportunity Officer within its procurement team or global supply office ceased on 17 April 2014.</w:t>
      </w:r>
    </w:p>
    <w:p w:rsidR="00E46BBC" w:rsidRDefault="00822AD3" w:rsidP="00A50DA3">
      <w:pPr>
        <w:pStyle w:val="ListParagraph"/>
        <w:numPr>
          <w:ilvl w:val="0"/>
          <w:numId w:val="18"/>
        </w:numPr>
      </w:pPr>
      <w:r w:rsidRPr="00700515">
        <w:t>The Department of Industry and Science has estimated this will lead to an annual saving of $5.95 million in compliance costs for industry.</w:t>
      </w:r>
    </w:p>
    <w:p w:rsidR="00700515" w:rsidRPr="00700515" w:rsidRDefault="00700515" w:rsidP="00A50DA3">
      <w:pPr>
        <w:pStyle w:val="Heading3"/>
      </w:pPr>
      <w:bookmarkStart w:id="138" w:name="_Toc414449268"/>
      <w:bookmarkStart w:id="139" w:name="_Toc414449444"/>
      <w:r>
        <w:rPr>
          <w:w w:val="105"/>
        </w:rPr>
        <w:t>National</w:t>
      </w:r>
      <w:r>
        <w:rPr>
          <w:spacing w:val="19"/>
          <w:w w:val="105"/>
        </w:rPr>
        <w:t xml:space="preserve"> </w:t>
      </w:r>
      <w:r>
        <w:rPr>
          <w:spacing w:val="-2"/>
          <w:w w:val="105"/>
        </w:rPr>
        <w:t>Workforce</w:t>
      </w:r>
      <w:r>
        <w:rPr>
          <w:spacing w:val="19"/>
          <w:w w:val="105"/>
        </w:rPr>
        <w:t xml:space="preserve"> </w:t>
      </w:r>
      <w:r>
        <w:rPr>
          <w:w w:val="105"/>
        </w:rPr>
        <w:t>Development</w:t>
      </w:r>
      <w:r>
        <w:rPr>
          <w:spacing w:val="19"/>
          <w:w w:val="105"/>
        </w:rPr>
        <w:t xml:space="preserve"> </w:t>
      </w:r>
      <w:r>
        <w:rPr>
          <w:w w:val="105"/>
        </w:rPr>
        <w:t>Fund</w:t>
      </w:r>
      <w:r>
        <w:rPr>
          <w:spacing w:val="19"/>
          <w:w w:val="105"/>
        </w:rPr>
        <w:t xml:space="preserve"> </w:t>
      </w:r>
      <w:r>
        <w:rPr>
          <w:w w:val="105"/>
        </w:rPr>
        <w:t>(NWDF)</w:t>
      </w:r>
      <w:r>
        <w:rPr>
          <w:spacing w:val="19"/>
          <w:w w:val="105"/>
        </w:rPr>
        <w:t xml:space="preserve"> </w:t>
      </w:r>
      <w:r>
        <w:rPr>
          <w:w w:val="105"/>
        </w:rPr>
        <w:t>-</w:t>
      </w:r>
      <w:r>
        <w:rPr>
          <w:spacing w:val="18"/>
          <w:w w:val="105"/>
        </w:rPr>
        <w:t xml:space="preserve"> </w:t>
      </w:r>
      <w:r>
        <w:rPr>
          <w:spacing w:val="-2"/>
          <w:w w:val="105"/>
        </w:rPr>
        <w:t>Review</w:t>
      </w:r>
      <w:r>
        <w:rPr>
          <w:spacing w:val="19"/>
          <w:w w:val="105"/>
        </w:rPr>
        <w:t xml:space="preserve"> </w:t>
      </w:r>
      <w:r>
        <w:rPr>
          <w:w w:val="105"/>
        </w:rPr>
        <w:t>of</w:t>
      </w:r>
      <w:r>
        <w:rPr>
          <w:spacing w:val="19"/>
          <w:w w:val="105"/>
        </w:rPr>
        <w:t xml:space="preserve"> </w:t>
      </w:r>
      <w:r>
        <w:rPr>
          <w:spacing w:val="-3"/>
          <w:w w:val="105"/>
        </w:rPr>
        <w:t>RTO</w:t>
      </w:r>
      <w:r>
        <w:rPr>
          <w:spacing w:val="19"/>
          <w:w w:val="105"/>
        </w:rPr>
        <w:t xml:space="preserve"> </w:t>
      </w:r>
      <w:r>
        <w:rPr>
          <w:w w:val="105"/>
        </w:rPr>
        <w:t>VET</w:t>
      </w:r>
      <w:r>
        <w:rPr>
          <w:spacing w:val="19"/>
          <w:w w:val="105"/>
        </w:rPr>
        <w:t xml:space="preserve"> </w:t>
      </w:r>
      <w:r>
        <w:rPr>
          <w:w w:val="105"/>
        </w:rPr>
        <w:t>Data</w:t>
      </w:r>
      <w:r>
        <w:rPr>
          <w:spacing w:val="19"/>
          <w:w w:val="105"/>
        </w:rPr>
        <w:t xml:space="preserve"> </w:t>
      </w:r>
      <w:r>
        <w:rPr>
          <w:w w:val="105"/>
        </w:rPr>
        <w:t>reporting requirements</w:t>
      </w:r>
      <w:r w:rsidR="00A942E6">
        <w:rPr>
          <w:rStyle w:val="FootnoteReference"/>
          <w:w w:val="105"/>
        </w:rPr>
        <w:footnoteReference w:id="21"/>
      </w:r>
      <w:bookmarkEnd w:id="138"/>
      <w:bookmarkEnd w:id="139"/>
    </w:p>
    <w:p w:rsidR="00E46BBC" w:rsidRPr="00700515" w:rsidRDefault="00822AD3" w:rsidP="00A50DA3">
      <w:pPr>
        <w:pStyle w:val="ListParagraph"/>
        <w:numPr>
          <w:ilvl w:val="0"/>
          <w:numId w:val="19"/>
        </w:numPr>
      </w:pPr>
      <w:r w:rsidRPr="00700515">
        <w:t>The former council of Commonwealth, state and territory training ministers sought a review of RTO data reporting obligations to the NWDF. The review identified an opportunity to reduce the number of existing mandatory reporting obligations with further gains to be made by reducing the number of fields that are not compliant with the Australian Vocational Education and Training Management Information Statistical Standard.</w:t>
      </w:r>
    </w:p>
    <w:p w:rsidR="00E46BBC" w:rsidRDefault="00822AD3" w:rsidP="00A50DA3">
      <w:pPr>
        <w:pStyle w:val="ListParagraph"/>
        <w:numPr>
          <w:ilvl w:val="0"/>
          <w:numId w:val="19"/>
        </w:numPr>
      </w:pPr>
      <w:r w:rsidRPr="00700515">
        <w:t>The Department of Industry and Science has estimated that this will lead to an annual saving of $2.22 million in compliance costs for RTOs.</w:t>
      </w:r>
    </w:p>
    <w:p w:rsidR="00700515" w:rsidRDefault="00700515" w:rsidP="00A50DA3">
      <w:pPr>
        <w:pStyle w:val="Heading3"/>
        <w:rPr>
          <w:rFonts w:eastAsia="Calibri" w:hAnsi="Calibri" w:cs="Calibri"/>
          <w:sz w:val="9"/>
          <w:szCs w:val="9"/>
        </w:rPr>
      </w:pPr>
      <w:bookmarkStart w:id="140" w:name="_Toc414449269"/>
      <w:bookmarkStart w:id="141" w:name="_Toc414449445"/>
      <w:r>
        <w:rPr>
          <w:w w:val="105"/>
        </w:rPr>
        <w:t>Introduction</w:t>
      </w:r>
      <w:r>
        <w:rPr>
          <w:spacing w:val="14"/>
          <w:w w:val="105"/>
        </w:rPr>
        <w:t xml:space="preserve"> </w:t>
      </w:r>
      <w:r>
        <w:rPr>
          <w:w w:val="105"/>
        </w:rPr>
        <w:t>of</w:t>
      </w:r>
      <w:r>
        <w:rPr>
          <w:spacing w:val="15"/>
          <w:w w:val="105"/>
        </w:rPr>
        <w:t xml:space="preserve"> </w:t>
      </w:r>
      <w:r>
        <w:rPr>
          <w:w w:val="105"/>
        </w:rPr>
        <w:t>the</w:t>
      </w:r>
      <w:r>
        <w:rPr>
          <w:spacing w:val="15"/>
          <w:w w:val="105"/>
        </w:rPr>
        <w:t xml:space="preserve"> </w:t>
      </w:r>
      <w:r>
        <w:rPr>
          <w:w w:val="105"/>
        </w:rPr>
        <w:t>Australian</w:t>
      </w:r>
      <w:r>
        <w:rPr>
          <w:spacing w:val="15"/>
          <w:w w:val="105"/>
        </w:rPr>
        <w:t xml:space="preserve"> </w:t>
      </w:r>
      <w:r>
        <w:rPr>
          <w:w w:val="105"/>
        </w:rPr>
        <w:t>Apprenticeships</w:t>
      </w:r>
      <w:r>
        <w:rPr>
          <w:spacing w:val="15"/>
          <w:w w:val="105"/>
        </w:rPr>
        <w:t xml:space="preserve"> </w:t>
      </w:r>
      <w:r>
        <w:rPr>
          <w:w w:val="105"/>
        </w:rPr>
        <w:t>Management</w:t>
      </w:r>
      <w:r>
        <w:rPr>
          <w:spacing w:val="15"/>
          <w:w w:val="105"/>
        </w:rPr>
        <w:t xml:space="preserve"> </w:t>
      </w:r>
      <w:r>
        <w:rPr>
          <w:spacing w:val="-2"/>
          <w:w w:val="105"/>
        </w:rPr>
        <w:t>System</w:t>
      </w:r>
      <w:r>
        <w:rPr>
          <w:spacing w:val="14"/>
          <w:w w:val="105"/>
        </w:rPr>
        <w:t xml:space="preserve"> </w:t>
      </w:r>
      <w:r>
        <w:rPr>
          <w:w w:val="105"/>
        </w:rPr>
        <w:t>(AAMS)</w:t>
      </w:r>
      <w:r w:rsidR="00A942E6">
        <w:rPr>
          <w:rStyle w:val="FootnoteReference"/>
          <w:w w:val="105"/>
        </w:rPr>
        <w:footnoteReference w:id="22"/>
      </w:r>
      <w:bookmarkEnd w:id="140"/>
      <w:bookmarkEnd w:id="141"/>
    </w:p>
    <w:p w:rsidR="00E46BBC" w:rsidRPr="00700515" w:rsidRDefault="00822AD3" w:rsidP="00A50DA3">
      <w:pPr>
        <w:pStyle w:val="ListParagraph"/>
        <w:numPr>
          <w:ilvl w:val="0"/>
          <w:numId w:val="20"/>
        </w:numPr>
      </w:pPr>
      <w:r w:rsidRPr="00700515">
        <w:t xml:space="preserve">On 8 September 2014, the Prime Minister announced new arrangements for the delivery of support to Australian apprentices and their employers through the establishment of the Australian Apprenticeship Support Network from </w:t>
      </w:r>
      <w:r w:rsidR="00BB6F22" w:rsidRPr="00700515">
        <w:t xml:space="preserve">1 </w:t>
      </w:r>
      <w:r w:rsidRPr="00700515">
        <w:t>July 2015.</w:t>
      </w:r>
    </w:p>
    <w:p w:rsidR="00E46BBC" w:rsidRPr="00700515" w:rsidRDefault="00822AD3" w:rsidP="00A50DA3">
      <w:pPr>
        <w:pStyle w:val="ListParagraph"/>
        <w:numPr>
          <w:ilvl w:val="0"/>
          <w:numId w:val="20"/>
        </w:numPr>
      </w:pPr>
      <w:r w:rsidRPr="00700515">
        <w:t>The AAMS will support the operation of the Australian Apprenticeship Support Network and replace the Training and Youth Internet Management System and once implemented will provide an online system</w:t>
      </w:r>
      <w:r w:rsidR="00BB6F22" w:rsidRPr="00700515">
        <w:t xml:space="preserve"> </w:t>
      </w:r>
      <w:r w:rsidRPr="00700515">
        <w:t>that will automate many of the current manual and paper based processes.</w:t>
      </w:r>
    </w:p>
    <w:p w:rsidR="00E46BBC" w:rsidRPr="00700515" w:rsidRDefault="00822AD3" w:rsidP="00A50DA3">
      <w:pPr>
        <w:pStyle w:val="ListParagraph"/>
        <w:numPr>
          <w:ilvl w:val="0"/>
          <w:numId w:val="20"/>
        </w:numPr>
      </w:pPr>
      <w:r w:rsidRPr="00700515">
        <w:t>The Department of Industry and Science has estimated that this will lead to an annual saving of $2.11 million in compliance costs for the VET sector.</w:t>
      </w:r>
    </w:p>
    <w:p w:rsidR="00700515" w:rsidRDefault="00700515" w:rsidP="00A50DA3">
      <w:pPr>
        <w:pStyle w:val="Heading3"/>
      </w:pPr>
      <w:bookmarkStart w:id="142" w:name="_Toc414449270"/>
      <w:bookmarkStart w:id="143" w:name="_Toc414449446"/>
      <w:r w:rsidRPr="00700515">
        <w:lastRenderedPageBreak/>
        <w:t>Moving towards repealing the Australian Renewable Energy Agency (ARENA)</w:t>
      </w:r>
      <w:bookmarkEnd w:id="142"/>
      <w:bookmarkEnd w:id="143"/>
    </w:p>
    <w:p w:rsidR="00E46BBC" w:rsidRPr="00700515" w:rsidRDefault="00822AD3" w:rsidP="00A50DA3">
      <w:pPr>
        <w:pStyle w:val="ListParagraph"/>
        <w:numPr>
          <w:ilvl w:val="0"/>
          <w:numId w:val="21"/>
        </w:numPr>
      </w:pPr>
      <w:r w:rsidRPr="00700515">
        <w:t>On 19 June 2014, the Minister for Industry introduced the Australian Renewable Energy Agency (Repeal) Bill 2014 to the House of Representatives. This Bill is currently before the Senate.</w:t>
      </w:r>
    </w:p>
    <w:p w:rsidR="00E46BBC" w:rsidRPr="00700515" w:rsidRDefault="00822AD3" w:rsidP="00A50DA3">
      <w:pPr>
        <w:pStyle w:val="ListParagraph"/>
        <w:numPr>
          <w:ilvl w:val="0"/>
          <w:numId w:val="21"/>
        </w:numPr>
      </w:pPr>
      <w:r w:rsidRPr="00700515">
        <w:t>The Bill repeals the Australian Renewable Energy Agency Act 2011 and moves towards repealing ARENA, returning its functions to the Department of Industry and Science and returning $1.3 billion to consolidated revenue. The Budget changes do not affect around 200 projects, worth close to $1 billion that already have funding agreements in place with ARENA.</w:t>
      </w:r>
    </w:p>
    <w:p w:rsidR="00E46BBC" w:rsidRPr="00700515" w:rsidRDefault="00822AD3" w:rsidP="00A50DA3">
      <w:pPr>
        <w:pStyle w:val="ListParagraph"/>
        <w:numPr>
          <w:ilvl w:val="0"/>
          <w:numId w:val="21"/>
        </w:numPr>
      </w:pPr>
      <w:r w:rsidRPr="00700515">
        <w:t>The Department of Industry and Science has estimated that this will lead to an annual saving of $1.80 million in compliance costs for industry.</w:t>
      </w:r>
    </w:p>
    <w:p w:rsidR="00700515" w:rsidRDefault="00700515" w:rsidP="00A50DA3">
      <w:pPr>
        <w:pStyle w:val="Heading3"/>
      </w:pPr>
      <w:bookmarkStart w:id="144" w:name="_Toc414449271"/>
      <w:bookmarkStart w:id="145" w:name="_Toc414449447"/>
      <w:r>
        <w:t>Greenhouse and Energy Minimum Standards (External Pow</w:t>
      </w:r>
      <w:r w:rsidR="00723AD7">
        <w:t xml:space="preserve">er Supplies) Determination 2014 </w:t>
      </w:r>
      <w:r>
        <w:t>- Allowing the voluntary marking of Mark VI on External Power Supplies (EPS) products</w:t>
      </w:r>
      <w:bookmarkEnd w:id="144"/>
      <w:bookmarkEnd w:id="145"/>
    </w:p>
    <w:p w:rsidR="00E46BBC" w:rsidRPr="00700515" w:rsidRDefault="00822AD3" w:rsidP="00A50DA3">
      <w:pPr>
        <w:pStyle w:val="ListParagraph"/>
        <w:numPr>
          <w:ilvl w:val="0"/>
          <w:numId w:val="22"/>
        </w:numPr>
      </w:pPr>
      <w:r w:rsidRPr="00700515">
        <w:t>The Greenhouse and Energy Minimum Standards (External Power Supplies) Determination 2012 (EPS Determination) was amended in October 2014 so that suppliers of EPS products can voluntarily mark their products with a new efficiency level – Mark VI.</w:t>
      </w:r>
    </w:p>
    <w:p w:rsidR="00E46BBC" w:rsidRPr="00700515" w:rsidRDefault="00822AD3" w:rsidP="00A50DA3">
      <w:pPr>
        <w:pStyle w:val="ListParagraph"/>
        <w:numPr>
          <w:ilvl w:val="0"/>
          <w:numId w:val="22"/>
        </w:numPr>
      </w:pPr>
      <w:r w:rsidRPr="00700515">
        <w:t>The Department of Industry and Science has estimated that this will lead to an annual saving of $1.64 million in compliance costs for industry.</w:t>
      </w:r>
    </w:p>
    <w:p w:rsidR="00700515" w:rsidRDefault="00700515" w:rsidP="00A50DA3">
      <w:pPr>
        <w:pStyle w:val="Heading3"/>
      </w:pPr>
      <w:bookmarkStart w:id="146" w:name="_Toc414449272"/>
      <w:bookmarkStart w:id="147" w:name="_Toc414449448"/>
      <w:r w:rsidRPr="00700515">
        <w:t>IP Australia - Outbound correspondence for patents in electronic format only</w:t>
      </w:r>
      <w:bookmarkEnd w:id="146"/>
      <w:bookmarkEnd w:id="147"/>
    </w:p>
    <w:p w:rsidR="00E46BBC" w:rsidRPr="00700515" w:rsidRDefault="00822AD3" w:rsidP="00A50DA3">
      <w:pPr>
        <w:pStyle w:val="ListParagraph"/>
        <w:numPr>
          <w:ilvl w:val="0"/>
          <w:numId w:val="23"/>
        </w:numPr>
      </w:pPr>
      <w:r w:rsidRPr="00700515">
        <w:t>As part of the Outbound Correspondence Project, on 1 September 2014 IP Australia replaced hard copy correspondence with electronic correspondence for web based eServices and B2B customers. This improves communication with private firms and saves them from having to scan paper correspondence into their electronic record-keeping systems.</w:t>
      </w:r>
    </w:p>
    <w:p w:rsidR="00E46BBC" w:rsidRPr="00700515" w:rsidRDefault="00822AD3" w:rsidP="00A50DA3">
      <w:pPr>
        <w:pStyle w:val="ListParagraph"/>
        <w:numPr>
          <w:ilvl w:val="0"/>
          <w:numId w:val="23"/>
        </w:numPr>
      </w:pPr>
      <w:r w:rsidRPr="00700515">
        <w:t>The Department of Industry and Science has estimated that this will lead to an annual saving of $1.44 million in compliance costs for industry.</w:t>
      </w:r>
    </w:p>
    <w:p w:rsidR="00700515" w:rsidRDefault="00700515" w:rsidP="00A50DA3">
      <w:pPr>
        <w:pStyle w:val="Heading3"/>
      </w:pPr>
      <w:bookmarkStart w:id="148" w:name="_Toc414449273"/>
      <w:bookmarkStart w:id="149" w:name="_Toc414449449"/>
      <w:r w:rsidRPr="00700515">
        <w:t>Development of new regulatory st</w:t>
      </w:r>
      <w:r w:rsidR="00723AD7">
        <w:t xml:space="preserve">andards for Registered Training </w:t>
      </w:r>
      <w:r w:rsidRPr="00700515">
        <w:t>Organisations (RTOs) and standards for the operation of the VET Regulators</w:t>
      </w:r>
      <w:bookmarkEnd w:id="148"/>
      <w:bookmarkEnd w:id="149"/>
    </w:p>
    <w:p w:rsidR="00E46BBC" w:rsidRPr="00700515" w:rsidRDefault="00822AD3" w:rsidP="00A50DA3">
      <w:pPr>
        <w:pStyle w:val="ListParagraph"/>
        <w:numPr>
          <w:ilvl w:val="0"/>
          <w:numId w:val="24"/>
        </w:numPr>
      </w:pPr>
      <w:r w:rsidRPr="00700515">
        <w:t>On 26 September 2014, the Council of Australian Governments (COAG) Industry and Skills Council agreed to new regulatory standards for training providers and regulators.</w:t>
      </w:r>
    </w:p>
    <w:p w:rsidR="00E46BBC" w:rsidRPr="00700515" w:rsidRDefault="00822AD3" w:rsidP="00A50DA3">
      <w:pPr>
        <w:pStyle w:val="ListParagraph"/>
        <w:numPr>
          <w:ilvl w:val="0"/>
          <w:numId w:val="24"/>
        </w:numPr>
      </w:pPr>
      <w:r w:rsidRPr="00700515">
        <w:t>The new training provider and regulator standards address the quality of trainers and assessors by requiring minimum qualifications, notification to the regulator of subcontracting arrangements and the provision of annual declarations of compliance. Quality and governance of registered training organisations (RTOs) has been addressed by clarifying the standards and removing prescriptions in relation to operational management and decision making. There are clearer requirements for RTOs to increase industry and to consult with industry in the design of training strategies and practices.</w:t>
      </w:r>
    </w:p>
    <w:p w:rsidR="00E46BBC" w:rsidRPr="00700515" w:rsidRDefault="00822AD3" w:rsidP="00A50DA3">
      <w:pPr>
        <w:pStyle w:val="ListParagraph"/>
        <w:numPr>
          <w:ilvl w:val="0"/>
          <w:numId w:val="24"/>
        </w:numPr>
      </w:pPr>
      <w:r w:rsidRPr="00700515">
        <w:t>The national and state-based regulators have developed educational materials for RTOs to provide guidance on the requirements of the new standards and expectations for transition to the new system. Standards came into effect from 1 January 2015 for new RTOs. Existing RTOs have until 1 April 2015 to comply.</w:t>
      </w:r>
    </w:p>
    <w:p w:rsidR="00E46BBC" w:rsidRPr="00700515" w:rsidRDefault="00822AD3" w:rsidP="00A50DA3">
      <w:pPr>
        <w:pStyle w:val="ListParagraph"/>
        <w:numPr>
          <w:ilvl w:val="0"/>
          <w:numId w:val="24"/>
        </w:numPr>
      </w:pPr>
      <w:r w:rsidRPr="00700515">
        <w:t>The OBPR has agreed that this will lead to an annual saving of $1.52 million in compliance costs for the VET sector, of which $0.93 million has been a</w:t>
      </w:r>
      <w:r w:rsidR="00A942E6">
        <w:t>pportioned to the Commonwealth.</w:t>
      </w:r>
      <w:r w:rsidR="00A942E6">
        <w:rPr>
          <w:rStyle w:val="FootnoteReference"/>
        </w:rPr>
        <w:footnoteReference w:id="23"/>
      </w:r>
    </w:p>
    <w:p w:rsidR="00723AD7" w:rsidRDefault="00723AD7">
      <w:pPr>
        <w:spacing w:before="0" w:after="0" w:line="240" w:lineRule="auto"/>
        <w:rPr>
          <w:rFonts w:ascii="Palatino Linotype" w:eastAsia="Palatino Linotype" w:hAnsi="Palatino Linotype"/>
          <w:i/>
          <w:sz w:val="28"/>
          <w:szCs w:val="36"/>
        </w:rPr>
      </w:pPr>
      <w:bookmarkStart w:id="150" w:name="_Toc414449274"/>
      <w:bookmarkStart w:id="151" w:name="_Toc414449450"/>
      <w:r>
        <w:br w:type="page"/>
      </w:r>
    </w:p>
    <w:p w:rsidR="00700515" w:rsidRDefault="00700515" w:rsidP="00A50DA3">
      <w:pPr>
        <w:pStyle w:val="Heading3"/>
      </w:pPr>
      <w:r w:rsidRPr="00700515">
        <w:lastRenderedPageBreak/>
        <w:t>Cessation of the Tools for Your Trade Payments</w:t>
      </w:r>
      <w:bookmarkEnd w:id="150"/>
      <w:bookmarkEnd w:id="151"/>
    </w:p>
    <w:p w:rsidR="00E46BBC" w:rsidRPr="00700515" w:rsidRDefault="00822AD3" w:rsidP="00A50DA3">
      <w:pPr>
        <w:pStyle w:val="ListParagraph"/>
        <w:numPr>
          <w:ilvl w:val="0"/>
          <w:numId w:val="25"/>
        </w:numPr>
      </w:pPr>
      <w:r w:rsidRPr="00700515">
        <w:t>In the 2014-15 Budget, the Australian Government announced the removal of the Tools For Your Trade initiative effective from 1 July 2014. The initiative was removed as part of ongoing reforms to the VET system and to better target programmes to support apprentices to complete their qualifications. The removal of the programme saved $914.6 million over the forward estimates, some of which was used to offset costs relating to the Trade Support Loans Programme.</w:t>
      </w:r>
    </w:p>
    <w:p w:rsidR="00E46BBC" w:rsidRPr="00700515" w:rsidRDefault="00822AD3" w:rsidP="00A50DA3">
      <w:pPr>
        <w:pStyle w:val="ListParagraph"/>
        <w:numPr>
          <w:ilvl w:val="0"/>
          <w:numId w:val="25"/>
        </w:numPr>
      </w:pPr>
      <w:r w:rsidRPr="00700515">
        <w:t>The removal of Tools for Your Trade initiative reduces the number of forms that apprentices and their employers must complete over the life of an apprenticeship.</w:t>
      </w:r>
    </w:p>
    <w:p w:rsidR="00E46BBC" w:rsidRPr="00700515" w:rsidRDefault="00822AD3" w:rsidP="00A50DA3">
      <w:pPr>
        <w:pStyle w:val="ListParagraph"/>
        <w:numPr>
          <w:ilvl w:val="0"/>
          <w:numId w:val="25"/>
        </w:numPr>
      </w:pPr>
      <w:r w:rsidRPr="00700515">
        <w:t>The OBPR has agreed that this will lead to an annual saving of $0.58 million in compliance costs for the VET sector.</w:t>
      </w:r>
    </w:p>
    <w:p w:rsidR="00700515" w:rsidRDefault="00700515" w:rsidP="00A50DA3">
      <w:pPr>
        <w:pStyle w:val="Heading3"/>
      </w:pPr>
      <w:bookmarkStart w:id="152" w:name="_Toc414449275"/>
      <w:bookmarkStart w:id="153" w:name="_Toc414449451"/>
      <w:r w:rsidRPr="00700515">
        <w:t>Streamlining of the Greenhouse and Energy Minimum Standards (GEMS) administrative processes</w:t>
      </w:r>
      <w:bookmarkEnd w:id="152"/>
      <w:bookmarkEnd w:id="153"/>
    </w:p>
    <w:p w:rsidR="00E46BBC" w:rsidRPr="00700515" w:rsidRDefault="00822AD3" w:rsidP="00A50DA3">
      <w:pPr>
        <w:pStyle w:val="ListParagraph"/>
        <w:numPr>
          <w:ilvl w:val="0"/>
          <w:numId w:val="26"/>
        </w:numPr>
      </w:pPr>
      <w:r w:rsidRPr="00700515">
        <w:t>This initiative reduced the administrative costs in complying with the GEMS legislation, including through the information required to be supplied for the registration of products and enhancements to the registration system businesses use for product registration.</w:t>
      </w:r>
    </w:p>
    <w:p w:rsidR="00E46BBC" w:rsidRPr="00700515" w:rsidRDefault="00822AD3" w:rsidP="00A50DA3">
      <w:pPr>
        <w:pStyle w:val="ListParagraph"/>
        <w:numPr>
          <w:ilvl w:val="0"/>
          <w:numId w:val="26"/>
        </w:numPr>
      </w:pPr>
      <w:r w:rsidRPr="00700515">
        <w:t>The Department of Industry and Science has estimated that this will lead to an annual saving of $0.78 million in compliance costs for industry.</w:t>
      </w:r>
    </w:p>
    <w:p w:rsidR="00E46BBC" w:rsidRDefault="00700515" w:rsidP="00A50DA3">
      <w:pPr>
        <w:pStyle w:val="Heading3"/>
      </w:pPr>
      <w:bookmarkStart w:id="154" w:name="_Toc414449276"/>
      <w:bookmarkStart w:id="155" w:name="_Toc414449452"/>
      <w:r w:rsidRPr="00700515">
        <w:t>Legislative changes to the Commercial Building Disclosure Programme</w:t>
      </w:r>
      <w:bookmarkEnd w:id="154"/>
      <w:bookmarkEnd w:id="155"/>
    </w:p>
    <w:p w:rsidR="00E46BBC" w:rsidRPr="00700515" w:rsidRDefault="00822AD3" w:rsidP="00A50DA3">
      <w:pPr>
        <w:pStyle w:val="ListParagraph"/>
        <w:numPr>
          <w:ilvl w:val="0"/>
          <w:numId w:val="27"/>
        </w:numPr>
      </w:pPr>
      <w:r w:rsidRPr="00700515">
        <w:t>As part of the 2014 Spring Repeal Day, the Minister for Industry introduced the Building Energy Efficiency Disclosure Amendment Bill 2014 to amend the Building Energy Efficiency Disclosure Act 2010, which established the Commercial Building Disclosure Programme.</w:t>
      </w:r>
    </w:p>
    <w:p w:rsidR="00E46BBC" w:rsidRPr="00700515" w:rsidRDefault="00822AD3" w:rsidP="00A50DA3">
      <w:pPr>
        <w:pStyle w:val="ListParagraph"/>
        <w:numPr>
          <w:ilvl w:val="0"/>
          <w:numId w:val="27"/>
        </w:numPr>
      </w:pPr>
      <w:r w:rsidRPr="00700515">
        <w:t>The amendments to the legislation are expected to deliver improved administration and exemption from the requirement for building owners (and tenants who are subleasing) to provide energy efficiency assessments for unsolicited offers to buy or lease a commercial property.</w:t>
      </w:r>
    </w:p>
    <w:p w:rsidR="00E46BBC" w:rsidRPr="00700515" w:rsidRDefault="00822AD3" w:rsidP="00A50DA3">
      <w:pPr>
        <w:pStyle w:val="ListParagraph"/>
        <w:numPr>
          <w:ilvl w:val="0"/>
          <w:numId w:val="27"/>
        </w:numPr>
      </w:pPr>
      <w:r w:rsidRPr="00700515">
        <w:t>The Department of Industry and Science has estimated that this will lead to an annual saving of $0.63 million in compliance costs for industry.</w:t>
      </w:r>
    </w:p>
    <w:p w:rsidR="00E46BBC" w:rsidRDefault="00700515" w:rsidP="00A50DA3">
      <w:pPr>
        <w:pStyle w:val="Heading3"/>
      </w:pPr>
      <w:bookmarkStart w:id="156" w:name="_Toc414449277"/>
      <w:bookmarkStart w:id="157" w:name="_Toc414449453"/>
      <w:r w:rsidRPr="00700515">
        <w:t>Closing Programmes</w:t>
      </w:r>
      <w:r w:rsidR="00A942E6">
        <w:rPr>
          <w:rStyle w:val="FootnoteReference"/>
        </w:rPr>
        <w:footnoteReference w:id="24"/>
      </w:r>
      <w:bookmarkEnd w:id="156"/>
      <w:bookmarkEnd w:id="157"/>
    </w:p>
    <w:p w:rsidR="00E46BBC" w:rsidRPr="00700515" w:rsidRDefault="00822AD3" w:rsidP="00A50DA3">
      <w:pPr>
        <w:pStyle w:val="ListParagraph"/>
        <w:numPr>
          <w:ilvl w:val="0"/>
          <w:numId w:val="28"/>
        </w:numPr>
      </w:pPr>
      <w:r w:rsidRPr="00700515">
        <w:t>The Government will close a number of programmes which, under the Regulation Burden Measurement Framework, will lead to an annual saving of $</w:t>
      </w:r>
      <w:r w:rsidR="00723AD7">
        <w:t>46.02</w:t>
      </w:r>
      <w:r w:rsidRPr="00700515">
        <w:t xml:space="preserve"> million in compliance costs. Below is a list of the closing programmes:</w:t>
      </w:r>
    </w:p>
    <w:p w:rsidR="00E46BBC" w:rsidRPr="00700515" w:rsidRDefault="00822AD3" w:rsidP="00A50DA3">
      <w:pPr>
        <w:pStyle w:val="ListParagraph"/>
        <w:numPr>
          <w:ilvl w:val="0"/>
          <w:numId w:val="28"/>
        </w:numPr>
      </w:pPr>
      <w:r w:rsidRPr="00700515">
        <w:t>Investing in Experience - Skills Recognition &amp; Training</w:t>
      </w:r>
    </w:p>
    <w:p w:rsidR="00E46BBC" w:rsidRPr="00700515" w:rsidRDefault="00822AD3" w:rsidP="00A50DA3">
      <w:pPr>
        <w:pStyle w:val="ListParagraph"/>
        <w:numPr>
          <w:ilvl w:val="0"/>
          <w:numId w:val="28"/>
        </w:numPr>
      </w:pPr>
      <w:r w:rsidRPr="00700515">
        <w:t>National Workforce Development Fund</w:t>
      </w:r>
    </w:p>
    <w:p w:rsidR="00E46BBC" w:rsidRPr="00700515" w:rsidRDefault="00822AD3" w:rsidP="00A50DA3">
      <w:pPr>
        <w:pStyle w:val="ListParagraph"/>
        <w:numPr>
          <w:ilvl w:val="0"/>
          <w:numId w:val="28"/>
        </w:numPr>
      </w:pPr>
      <w:r w:rsidRPr="00700515">
        <w:t>Australian Apprenticeships Access Programme</w:t>
      </w:r>
    </w:p>
    <w:p w:rsidR="00E46BBC" w:rsidRPr="00700515" w:rsidRDefault="00822AD3" w:rsidP="00A50DA3">
      <w:pPr>
        <w:pStyle w:val="ListParagraph"/>
        <w:numPr>
          <w:ilvl w:val="0"/>
          <w:numId w:val="28"/>
        </w:numPr>
      </w:pPr>
      <w:r w:rsidRPr="00700515">
        <w:t>Commercialisation Australia</w:t>
      </w:r>
    </w:p>
    <w:p w:rsidR="00E46BBC" w:rsidRPr="00700515" w:rsidRDefault="00822AD3" w:rsidP="00A50DA3">
      <w:pPr>
        <w:pStyle w:val="ListParagraph"/>
        <w:numPr>
          <w:ilvl w:val="0"/>
          <w:numId w:val="28"/>
        </w:numPr>
      </w:pPr>
      <w:r w:rsidRPr="00700515">
        <w:t>Workplace English Language and Literacy Programme costs.</w:t>
      </w:r>
    </w:p>
    <w:p w:rsidR="00E46BBC" w:rsidRPr="00700515" w:rsidRDefault="00822AD3" w:rsidP="00A50DA3">
      <w:pPr>
        <w:pStyle w:val="ListParagraph"/>
        <w:numPr>
          <w:ilvl w:val="0"/>
          <w:numId w:val="28"/>
        </w:numPr>
      </w:pPr>
      <w:r w:rsidRPr="00700515">
        <w:t>Clothing and Household Textile Building Innovative Capability Scheme</w:t>
      </w:r>
    </w:p>
    <w:p w:rsidR="00E46BBC" w:rsidRPr="00700515" w:rsidRDefault="00822AD3" w:rsidP="00A50DA3">
      <w:pPr>
        <w:pStyle w:val="ListParagraph"/>
        <w:numPr>
          <w:ilvl w:val="0"/>
          <w:numId w:val="28"/>
        </w:numPr>
      </w:pPr>
      <w:r w:rsidRPr="00700515">
        <w:t>Productive Ageing through Community Education</w:t>
      </w:r>
    </w:p>
    <w:p w:rsidR="00E46BBC" w:rsidRPr="00700515" w:rsidRDefault="00822AD3" w:rsidP="00A50DA3">
      <w:pPr>
        <w:pStyle w:val="ListParagraph"/>
        <w:numPr>
          <w:ilvl w:val="0"/>
          <w:numId w:val="28"/>
        </w:numPr>
      </w:pPr>
      <w:r w:rsidRPr="00700515">
        <w:t>Enterprise Connect</w:t>
      </w:r>
    </w:p>
    <w:p w:rsidR="00E46BBC" w:rsidRPr="00700515" w:rsidRDefault="00822AD3" w:rsidP="00A50DA3">
      <w:pPr>
        <w:pStyle w:val="ListParagraph"/>
        <w:numPr>
          <w:ilvl w:val="0"/>
          <w:numId w:val="28"/>
        </w:numPr>
      </w:pPr>
      <w:r w:rsidRPr="00700515">
        <w:t>Accelerated Australian Apprenticeships Programme</w:t>
      </w:r>
    </w:p>
    <w:p w:rsidR="00E46BBC" w:rsidRPr="00700515" w:rsidRDefault="00822AD3" w:rsidP="00A50DA3">
      <w:pPr>
        <w:pStyle w:val="ListParagraph"/>
        <w:numPr>
          <w:ilvl w:val="0"/>
          <w:numId w:val="28"/>
        </w:numPr>
      </w:pPr>
      <w:r w:rsidRPr="00700515">
        <w:t>Apprentice to Business Owner Programme</w:t>
      </w:r>
    </w:p>
    <w:p w:rsidR="00E46BBC" w:rsidRPr="00700515" w:rsidRDefault="00822AD3" w:rsidP="00A50DA3">
      <w:pPr>
        <w:pStyle w:val="ListParagraph"/>
        <w:numPr>
          <w:ilvl w:val="0"/>
          <w:numId w:val="28"/>
        </w:numPr>
      </w:pPr>
      <w:r w:rsidRPr="00700515">
        <w:t>Australian Apprenticeships Mentoring Programme</w:t>
      </w:r>
    </w:p>
    <w:p w:rsidR="00E46BBC" w:rsidRPr="00700515" w:rsidRDefault="00822AD3" w:rsidP="00A50DA3">
      <w:pPr>
        <w:pStyle w:val="ListParagraph"/>
        <w:numPr>
          <w:ilvl w:val="0"/>
          <w:numId w:val="28"/>
        </w:numPr>
      </w:pPr>
      <w:r w:rsidRPr="00700515">
        <w:lastRenderedPageBreak/>
        <w:t>Latrobe Valley economic diversification (known as the Briquettes Replacement Programme)</w:t>
      </w:r>
    </w:p>
    <w:p w:rsidR="00E46BBC" w:rsidRPr="00700515" w:rsidRDefault="00822AD3" w:rsidP="00A50DA3">
      <w:pPr>
        <w:pStyle w:val="ListParagraph"/>
        <w:numPr>
          <w:ilvl w:val="0"/>
          <w:numId w:val="28"/>
        </w:numPr>
      </w:pPr>
      <w:r w:rsidRPr="00700515">
        <w:t>Charities Maritime and Aviation Support Programme</w:t>
      </w:r>
    </w:p>
    <w:p w:rsidR="00E46BBC" w:rsidRPr="00700515" w:rsidRDefault="00822AD3" w:rsidP="00A50DA3">
      <w:pPr>
        <w:pStyle w:val="ListParagraph"/>
        <w:numPr>
          <w:ilvl w:val="0"/>
          <w:numId w:val="28"/>
        </w:numPr>
      </w:pPr>
      <w:r w:rsidRPr="00700515">
        <w:t>Clean Technology Innovation Programme</w:t>
      </w:r>
    </w:p>
    <w:p w:rsidR="00E46BBC" w:rsidRPr="00700515" w:rsidRDefault="00822AD3" w:rsidP="00A50DA3">
      <w:pPr>
        <w:pStyle w:val="ListParagraph"/>
        <w:numPr>
          <w:ilvl w:val="0"/>
          <w:numId w:val="28"/>
        </w:numPr>
      </w:pPr>
      <w:r w:rsidRPr="00700515">
        <w:t>Clean Technology Investment - Food and Foundries Investment Programme</w:t>
      </w:r>
    </w:p>
    <w:p w:rsidR="00E46BBC" w:rsidRPr="00700515" w:rsidRDefault="00822AD3" w:rsidP="00A50DA3">
      <w:pPr>
        <w:pStyle w:val="ListParagraph"/>
        <w:numPr>
          <w:ilvl w:val="0"/>
          <w:numId w:val="28"/>
        </w:numPr>
      </w:pPr>
      <w:r w:rsidRPr="00700515">
        <w:t>Clean Technology Investment</w:t>
      </w:r>
    </w:p>
    <w:p w:rsidR="00E46BBC" w:rsidRPr="00700515" w:rsidRDefault="00822AD3" w:rsidP="00A50DA3">
      <w:pPr>
        <w:pStyle w:val="ListParagraph"/>
        <w:numPr>
          <w:ilvl w:val="0"/>
          <w:numId w:val="28"/>
        </w:numPr>
      </w:pPr>
      <w:r w:rsidRPr="00700515">
        <w:t>Critical Skills Investment Fund</w:t>
      </w:r>
    </w:p>
    <w:p w:rsidR="00E46BBC" w:rsidRPr="00700515" w:rsidRDefault="00822AD3" w:rsidP="00A50DA3">
      <w:pPr>
        <w:pStyle w:val="ListParagraph"/>
        <w:numPr>
          <w:ilvl w:val="0"/>
          <w:numId w:val="28"/>
        </w:numPr>
      </w:pPr>
      <w:r w:rsidRPr="00700515">
        <w:t>Industry Innovation Precincts Programme</w:t>
      </w:r>
    </w:p>
    <w:p w:rsidR="00E46BBC" w:rsidRPr="00700515" w:rsidRDefault="00822AD3" w:rsidP="00A50DA3">
      <w:pPr>
        <w:pStyle w:val="ListParagraph"/>
        <w:numPr>
          <w:ilvl w:val="0"/>
          <w:numId w:val="28"/>
        </w:numPr>
      </w:pPr>
      <w:r w:rsidRPr="00700515">
        <w:t>Coal Sector Jobs Package</w:t>
      </w:r>
    </w:p>
    <w:p w:rsidR="00E46BBC" w:rsidRPr="00700515" w:rsidRDefault="00822AD3" w:rsidP="00A50DA3">
      <w:pPr>
        <w:pStyle w:val="ListParagraph"/>
        <w:numPr>
          <w:ilvl w:val="0"/>
          <w:numId w:val="28"/>
        </w:numPr>
      </w:pPr>
      <w:r w:rsidRPr="00700515">
        <w:t>Ethanol Production Grants</w:t>
      </w:r>
    </w:p>
    <w:p w:rsidR="00E46BBC" w:rsidRPr="00700515" w:rsidRDefault="00822AD3" w:rsidP="00A50DA3">
      <w:pPr>
        <w:pStyle w:val="ListParagraph"/>
        <w:numPr>
          <w:ilvl w:val="0"/>
          <w:numId w:val="28"/>
        </w:numPr>
      </w:pPr>
      <w:r w:rsidRPr="00700515">
        <w:t>Automotive New Markets Programme</w:t>
      </w:r>
    </w:p>
    <w:p w:rsidR="00E46BBC" w:rsidRPr="00700515" w:rsidRDefault="00822AD3" w:rsidP="00A50DA3">
      <w:pPr>
        <w:pStyle w:val="ListParagraph"/>
        <w:numPr>
          <w:ilvl w:val="0"/>
          <w:numId w:val="28"/>
        </w:numPr>
      </w:pPr>
      <w:r w:rsidRPr="00700515">
        <w:t>Steel Transformation Plan</w:t>
      </w:r>
    </w:p>
    <w:p w:rsidR="00E46BBC" w:rsidRPr="00700515" w:rsidRDefault="00822AD3" w:rsidP="00A50DA3">
      <w:pPr>
        <w:pStyle w:val="ListParagraph"/>
        <w:numPr>
          <w:ilvl w:val="0"/>
          <w:numId w:val="28"/>
        </w:numPr>
      </w:pPr>
      <w:r w:rsidRPr="00700515">
        <w:t>Textile Clothing and Footwear Structural Adjustment Programme</w:t>
      </w:r>
    </w:p>
    <w:p w:rsidR="00E46BBC" w:rsidRPr="00700515" w:rsidRDefault="00822AD3" w:rsidP="00A50DA3">
      <w:pPr>
        <w:pStyle w:val="ListParagraph"/>
        <w:numPr>
          <w:ilvl w:val="0"/>
          <w:numId w:val="28"/>
        </w:numPr>
      </w:pPr>
      <w:r w:rsidRPr="00700515">
        <w:t>Textile, Clothing and Footwear - Small Business Programme</w:t>
      </w:r>
    </w:p>
    <w:p w:rsidR="007E64D8" w:rsidRDefault="007E64D8" w:rsidP="00F20B31">
      <w:pPr>
        <w:ind w:right="45"/>
      </w:pPr>
      <w:r>
        <w:br w:type="page"/>
      </w:r>
    </w:p>
    <w:p w:rsidR="00E46BBC" w:rsidRDefault="00822AD3" w:rsidP="00A50DA3">
      <w:pPr>
        <w:pStyle w:val="Heading2"/>
        <w:numPr>
          <w:ilvl w:val="0"/>
          <w:numId w:val="33"/>
        </w:numPr>
        <w:ind w:left="357" w:hanging="357"/>
      </w:pPr>
      <w:bookmarkStart w:id="158" w:name="_Toc414449056"/>
      <w:bookmarkStart w:id="159" w:name="_Toc414449113"/>
      <w:bookmarkStart w:id="160" w:name="_Toc414449278"/>
      <w:bookmarkStart w:id="161" w:name="_Toc414449454"/>
      <w:r w:rsidRPr="00700515">
        <w:lastRenderedPageBreak/>
        <w:t>Deregulation</w:t>
      </w:r>
      <w:r>
        <w:rPr>
          <w:spacing w:val="25"/>
          <w:w w:val="105"/>
        </w:rPr>
        <w:t xml:space="preserve"> </w:t>
      </w:r>
      <w:r>
        <w:rPr>
          <w:w w:val="105"/>
        </w:rPr>
        <w:t>measures</w:t>
      </w:r>
      <w:r>
        <w:rPr>
          <w:spacing w:val="26"/>
          <w:w w:val="105"/>
        </w:rPr>
        <w:t xml:space="preserve"> </w:t>
      </w:r>
      <w:r>
        <w:rPr>
          <w:w w:val="105"/>
        </w:rPr>
        <w:t>each</w:t>
      </w:r>
      <w:r>
        <w:rPr>
          <w:spacing w:val="25"/>
          <w:w w:val="105"/>
        </w:rPr>
        <w:t xml:space="preserve"> </w:t>
      </w:r>
      <w:r>
        <w:rPr>
          <w:w w:val="105"/>
        </w:rPr>
        <w:t>delivering</w:t>
      </w:r>
      <w:r>
        <w:rPr>
          <w:spacing w:val="27"/>
          <w:w w:val="105"/>
        </w:rPr>
        <w:t xml:space="preserve"> </w:t>
      </w:r>
      <w:r>
        <w:rPr>
          <w:spacing w:val="-2"/>
          <w:w w:val="105"/>
        </w:rPr>
        <w:t>und</w:t>
      </w:r>
      <w:r>
        <w:rPr>
          <w:w w:val="105"/>
        </w:rPr>
        <w:t>er</w:t>
      </w:r>
      <w:r>
        <w:rPr>
          <w:spacing w:val="-12"/>
          <w:w w:val="105"/>
        </w:rPr>
        <w:t xml:space="preserve"> </w:t>
      </w:r>
      <w:r>
        <w:rPr>
          <w:w w:val="105"/>
        </w:rPr>
        <w:t>$500</w:t>
      </w:r>
      <w:r>
        <w:rPr>
          <w:spacing w:val="-11"/>
          <w:w w:val="105"/>
        </w:rPr>
        <w:t xml:space="preserve"> </w:t>
      </w:r>
      <w:r>
        <w:rPr>
          <w:w w:val="105"/>
        </w:rPr>
        <w:t>000</w:t>
      </w:r>
      <w:r>
        <w:rPr>
          <w:spacing w:val="-12"/>
          <w:w w:val="105"/>
        </w:rPr>
        <w:t xml:space="preserve"> </w:t>
      </w:r>
      <w:r>
        <w:rPr>
          <w:w w:val="105"/>
        </w:rPr>
        <w:t>in</w:t>
      </w:r>
      <w:r>
        <w:rPr>
          <w:spacing w:val="-11"/>
          <w:w w:val="105"/>
        </w:rPr>
        <w:t xml:space="preserve"> </w:t>
      </w:r>
      <w:r>
        <w:rPr>
          <w:w w:val="105"/>
        </w:rPr>
        <w:t>savings</w:t>
      </w:r>
      <w:bookmarkEnd w:id="158"/>
      <w:bookmarkEnd w:id="159"/>
      <w:bookmarkEnd w:id="160"/>
      <w:bookmarkEnd w:id="161"/>
    </w:p>
    <w:tbl>
      <w:tblPr>
        <w:tblW w:w="0" w:type="auto"/>
        <w:tblInd w:w="113" w:type="dxa"/>
        <w:tblLayout w:type="fixed"/>
        <w:tblCellMar>
          <w:left w:w="113" w:type="dxa"/>
          <w:right w:w="113" w:type="dxa"/>
        </w:tblCellMar>
        <w:tblLook w:val="01E0" w:firstRow="1" w:lastRow="1" w:firstColumn="1" w:lastColumn="1" w:noHBand="0" w:noVBand="0"/>
      </w:tblPr>
      <w:tblGrid>
        <w:gridCol w:w="5914"/>
        <w:gridCol w:w="2023"/>
      </w:tblGrid>
      <w:tr w:rsidR="00E46BBC" w:rsidRPr="000C7648" w:rsidTr="000C7648">
        <w:trPr>
          <w:tblHeader/>
        </w:trPr>
        <w:tc>
          <w:tcPr>
            <w:tcW w:w="5914" w:type="dxa"/>
            <w:tcBorders>
              <w:top w:val="nil"/>
              <w:left w:val="nil"/>
              <w:bottom w:val="nil"/>
              <w:right w:val="nil"/>
            </w:tcBorders>
            <w:shd w:val="clear" w:color="auto" w:fill="005577"/>
          </w:tcPr>
          <w:p w:rsidR="00E46BBC" w:rsidRPr="000C7648" w:rsidRDefault="00822AD3" w:rsidP="000C7648">
            <w:pPr>
              <w:rPr>
                <w:b/>
                <w:color w:val="FFFFFF" w:themeColor="background1"/>
              </w:rPr>
            </w:pPr>
            <w:r w:rsidRPr="000C7648">
              <w:rPr>
                <w:b/>
                <w:color w:val="FFFFFF" w:themeColor="background1"/>
              </w:rPr>
              <w:t>OTHER MEASURES</w:t>
            </w:r>
          </w:p>
        </w:tc>
        <w:tc>
          <w:tcPr>
            <w:tcW w:w="2023" w:type="dxa"/>
            <w:tcBorders>
              <w:top w:val="nil"/>
              <w:left w:val="nil"/>
              <w:bottom w:val="nil"/>
              <w:right w:val="nil"/>
            </w:tcBorders>
            <w:shd w:val="clear" w:color="auto" w:fill="005577"/>
          </w:tcPr>
          <w:p w:rsidR="00E46BBC" w:rsidRPr="000C7648" w:rsidRDefault="00822AD3" w:rsidP="000C7648">
            <w:pPr>
              <w:rPr>
                <w:b/>
                <w:color w:val="FFFFFF" w:themeColor="background1"/>
              </w:rPr>
            </w:pPr>
            <w:r w:rsidRPr="000C7648">
              <w:rPr>
                <w:b/>
                <w:color w:val="FFFFFF" w:themeColor="background1"/>
              </w:rPr>
              <w:t>Reported ($ million)</w:t>
            </w:r>
          </w:p>
        </w:tc>
      </w:tr>
      <w:tr w:rsidR="00E46BBC" w:rsidRPr="000C7648" w:rsidTr="000C7648">
        <w:tc>
          <w:tcPr>
            <w:tcW w:w="5914" w:type="dxa"/>
            <w:tcBorders>
              <w:top w:val="nil"/>
              <w:left w:val="nil"/>
              <w:bottom w:val="single" w:sz="2" w:space="0" w:color="005577"/>
              <w:right w:val="nil"/>
            </w:tcBorders>
          </w:tcPr>
          <w:p w:rsidR="00E46BBC" w:rsidRPr="000C7648" w:rsidRDefault="00822AD3" w:rsidP="000C7648">
            <w:r w:rsidRPr="000C7648">
              <w:t>Amendments to the Offshore Petroleum and Greenhouse Gas Storage Amendment (Regulatory Powers and Other Measures) Bill 2014</w:t>
            </w:r>
            <w:r w:rsidR="00A942E6" w:rsidRPr="000C7648">
              <w:rPr>
                <w:vertAlign w:val="superscript"/>
              </w:rPr>
              <w:footnoteReference w:id="25"/>
            </w:r>
          </w:p>
        </w:tc>
        <w:tc>
          <w:tcPr>
            <w:tcW w:w="2023" w:type="dxa"/>
            <w:tcBorders>
              <w:top w:val="nil"/>
              <w:left w:val="nil"/>
              <w:bottom w:val="single" w:sz="2" w:space="0" w:color="005577"/>
              <w:right w:val="nil"/>
            </w:tcBorders>
          </w:tcPr>
          <w:p w:rsidR="00E46BBC" w:rsidRPr="000C7648" w:rsidRDefault="00822AD3" w:rsidP="000C7648">
            <w:r w:rsidRPr="000C7648">
              <w:t>0.00</w:t>
            </w:r>
          </w:p>
        </w:tc>
      </w:tr>
      <w:tr w:rsidR="00E46BBC" w:rsidRPr="000C7648" w:rsidTr="000C7648">
        <w:tc>
          <w:tcPr>
            <w:tcW w:w="5914" w:type="dxa"/>
            <w:tcBorders>
              <w:top w:val="single" w:sz="2" w:space="0" w:color="005577"/>
              <w:left w:val="nil"/>
              <w:bottom w:val="single" w:sz="2" w:space="0" w:color="005577"/>
              <w:right w:val="nil"/>
            </w:tcBorders>
            <w:shd w:val="clear" w:color="auto" w:fill="CCDDE3"/>
          </w:tcPr>
          <w:p w:rsidR="00E46BBC" w:rsidRPr="000C7648" w:rsidRDefault="00822AD3" w:rsidP="000C7648">
            <w:r w:rsidRPr="000C7648">
              <w:t>Replacing hard copy forms with electronic Smart Forms on business.gov.au</w:t>
            </w:r>
          </w:p>
        </w:tc>
        <w:tc>
          <w:tcPr>
            <w:tcW w:w="2023" w:type="dxa"/>
            <w:tcBorders>
              <w:top w:val="single" w:sz="2" w:space="0" w:color="005577"/>
              <w:left w:val="nil"/>
              <w:bottom w:val="single" w:sz="2" w:space="0" w:color="005577"/>
              <w:right w:val="nil"/>
            </w:tcBorders>
            <w:shd w:val="clear" w:color="auto" w:fill="CCDDE3"/>
          </w:tcPr>
          <w:p w:rsidR="00E46BBC" w:rsidRPr="000C7648" w:rsidRDefault="00822AD3" w:rsidP="000C7648">
            <w:r w:rsidRPr="000C7648">
              <w:t>0.30</w:t>
            </w:r>
          </w:p>
        </w:tc>
      </w:tr>
      <w:tr w:rsidR="00E46BBC" w:rsidRPr="000C7648" w:rsidTr="000C7648">
        <w:tc>
          <w:tcPr>
            <w:tcW w:w="5914" w:type="dxa"/>
            <w:tcBorders>
              <w:top w:val="single" w:sz="2" w:space="0" w:color="005577"/>
              <w:left w:val="nil"/>
              <w:bottom w:val="single" w:sz="2" w:space="0" w:color="005577"/>
              <w:right w:val="nil"/>
            </w:tcBorders>
          </w:tcPr>
          <w:p w:rsidR="00E46BBC" w:rsidRPr="000C7648" w:rsidRDefault="00822AD3" w:rsidP="000C7648">
            <w:r w:rsidRPr="000C7648">
              <w:t>Strengthening Australia’s Anti-dumping System</w:t>
            </w:r>
          </w:p>
        </w:tc>
        <w:tc>
          <w:tcPr>
            <w:tcW w:w="2023" w:type="dxa"/>
            <w:tcBorders>
              <w:top w:val="single" w:sz="2" w:space="0" w:color="005577"/>
              <w:left w:val="nil"/>
              <w:bottom w:val="single" w:sz="2" w:space="0" w:color="005577"/>
              <w:right w:val="nil"/>
            </w:tcBorders>
          </w:tcPr>
          <w:p w:rsidR="00E46BBC" w:rsidRPr="000C7648" w:rsidRDefault="00822AD3" w:rsidP="000C7648">
            <w:r w:rsidRPr="000C7648">
              <w:t>0.10</w:t>
            </w:r>
          </w:p>
        </w:tc>
      </w:tr>
      <w:tr w:rsidR="00E46BBC" w:rsidRPr="000C7648" w:rsidTr="000C7648">
        <w:tc>
          <w:tcPr>
            <w:tcW w:w="5914" w:type="dxa"/>
            <w:tcBorders>
              <w:top w:val="single" w:sz="2" w:space="0" w:color="005577"/>
              <w:left w:val="nil"/>
              <w:bottom w:val="single" w:sz="2" w:space="0" w:color="005577"/>
              <w:right w:val="nil"/>
            </w:tcBorders>
            <w:shd w:val="clear" w:color="auto" w:fill="CCDDE3"/>
          </w:tcPr>
          <w:p w:rsidR="00E46BBC" w:rsidRPr="000C7648" w:rsidRDefault="00822AD3" w:rsidP="000C7648">
            <w:r w:rsidRPr="000C7648">
              <w:t>Ceasing the Solar System Project</w:t>
            </w:r>
          </w:p>
        </w:tc>
        <w:tc>
          <w:tcPr>
            <w:tcW w:w="2023" w:type="dxa"/>
            <w:tcBorders>
              <w:top w:val="single" w:sz="2" w:space="0" w:color="005577"/>
              <w:left w:val="nil"/>
              <w:bottom w:val="single" w:sz="2" w:space="0" w:color="005577"/>
              <w:right w:val="nil"/>
            </w:tcBorders>
            <w:shd w:val="clear" w:color="auto" w:fill="CCDDE3"/>
          </w:tcPr>
          <w:p w:rsidR="00E46BBC" w:rsidRPr="000C7648" w:rsidRDefault="00822AD3" w:rsidP="000C7648">
            <w:r w:rsidRPr="000C7648">
              <w:t>0.05</w:t>
            </w:r>
          </w:p>
        </w:tc>
      </w:tr>
      <w:tr w:rsidR="00E46BBC" w:rsidRPr="000C7648" w:rsidTr="000C7648">
        <w:tc>
          <w:tcPr>
            <w:tcW w:w="5914" w:type="dxa"/>
            <w:tcBorders>
              <w:top w:val="single" w:sz="2" w:space="0" w:color="005577"/>
              <w:left w:val="nil"/>
              <w:bottom w:val="single" w:sz="2" w:space="0" w:color="005577"/>
              <w:right w:val="nil"/>
            </w:tcBorders>
          </w:tcPr>
          <w:p w:rsidR="00E46BBC" w:rsidRPr="000C7648" w:rsidRDefault="00822AD3" w:rsidP="000C7648">
            <w:r w:rsidRPr="000C7648">
              <w:t>Amendments to intellectual property laws</w:t>
            </w:r>
          </w:p>
        </w:tc>
        <w:tc>
          <w:tcPr>
            <w:tcW w:w="2023" w:type="dxa"/>
            <w:tcBorders>
              <w:top w:val="single" w:sz="2" w:space="0" w:color="005577"/>
              <w:left w:val="nil"/>
              <w:bottom w:val="single" w:sz="2" w:space="0" w:color="005577"/>
              <w:right w:val="nil"/>
            </w:tcBorders>
          </w:tcPr>
          <w:p w:rsidR="00E46BBC" w:rsidRPr="000C7648" w:rsidRDefault="00822AD3" w:rsidP="000C7648">
            <w:r w:rsidRPr="000C7648">
              <w:t>0.01</w:t>
            </w:r>
          </w:p>
        </w:tc>
      </w:tr>
      <w:tr w:rsidR="00E46BBC" w:rsidRPr="000C7648" w:rsidTr="000C7648">
        <w:tc>
          <w:tcPr>
            <w:tcW w:w="5914" w:type="dxa"/>
            <w:tcBorders>
              <w:top w:val="single" w:sz="2" w:space="0" w:color="005577"/>
              <w:left w:val="nil"/>
              <w:bottom w:val="single" w:sz="2" w:space="0" w:color="005577"/>
              <w:right w:val="nil"/>
            </w:tcBorders>
            <w:shd w:val="clear" w:color="auto" w:fill="CCDDE3"/>
          </w:tcPr>
          <w:p w:rsidR="00E46BBC" w:rsidRPr="000C7648" w:rsidRDefault="00822AD3" w:rsidP="000C7648">
            <w:r w:rsidRPr="000C7648">
              <w:t>Establishment of the Tasmanian Major Projects Approval Agency</w:t>
            </w:r>
          </w:p>
        </w:tc>
        <w:tc>
          <w:tcPr>
            <w:tcW w:w="2023" w:type="dxa"/>
            <w:tcBorders>
              <w:top w:val="single" w:sz="2" w:space="0" w:color="005577"/>
              <w:left w:val="nil"/>
              <w:bottom w:val="single" w:sz="2" w:space="0" w:color="005577"/>
              <w:right w:val="nil"/>
            </w:tcBorders>
            <w:shd w:val="clear" w:color="auto" w:fill="CCDDE3"/>
          </w:tcPr>
          <w:p w:rsidR="00E46BBC" w:rsidRPr="000C7648" w:rsidRDefault="00822AD3" w:rsidP="000C7648">
            <w:r w:rsidRPr="000C7648">
              <w:t>0.14</w:t>
            </w:r>
          </w:p>
        </w:tc>
      </w:tr>
    </w:tbl>
    <w:p w:rsidR="00700515" w:rsidRDefault="00700515">
      <w:pPr>
        <w:spacing w:before="0" w:line="240" w:lineRule="auto"/>
      </w:pPr>
      <w:r>
        <w:br w:type="page"/>
      </w:r>
    </w:p>
    <w:p w:rsidR="00E46BBC" w:rsidRDefault="00822AD3" w:rsidP="00A50DA3">
      <w:pPr>
        <w:pStyle w:val="Heading2"/>
        <w:numPr>
          <w:ilvl w:val="0"/>
          <w:numId w:val="33"/>
        </w:numPr>
        <w:ind w:left="357" w:hanging="357"/>
      </w:pPr>
      <w:bookmarkStart w:id="162" w:name="_Toc414449057"/>
      <w:bookmarkStart w:id="163" w:name="_Toc414449114"/>
      <w:bookmarkStart w:id="164" w:name="_Toc414449279"/>
      <w:bookmarkStart w:id="165" w:name="_Toc414449455"/>
      <w:r w:rsidRPr="00700515">
        <w:lastRenderedPageBreak/>
        <w:t>Regulatory</w:t>
      </w:r>
      <w:r>
        <w:rPr>
          <w:spacing w:val="-65"/>
          <w:w w:val="110"/>
        </w:rPr>
        <w:t xml:space="preserve"> </w:t>
      </w:r>
      <w:r>
        <w:rPr>
          <w:w w:val="110"/>
        </w:rPr>
        <w:t>measur</w:t>
      </w:r>
      <w:r>
        <w:rPr>
          <w:spacing w:val="-1"/>
          <w:w w:val="110"/>
        </w:rPr>
        <w:t>es</w:t>
      </w:r>
      <w:r>
        <w:rPr>
          <w:spacing w:val="-65"/>
          <w:w w:val="110"/>
        </w:rPr>
        <w:t xml:space="preserve"> </w:t>
      </w:r>
      <w:r>
        <w:rPr>
          <w:w w:val="110"/>
        </w:rPr>
        <w:t>each</w:t>
      </w:r>
      <w:r>
        <w:rPr>
          <w:spacing w:val="-64"/>
          <w:w w:val="110"/>
        </w:rPr>
        <w:t xml:space="preserve"> </w:t>
      </w:r>
      <w:r>
        <w:rPr>
          <w:w w:val="110"/>
        </w:rPr>
        <w:t>incr</w:t>
      </w:r>
      <w:r>
        <w:rPr>
          <w:spacing w:val="-1"/>
          <w:w w:val="110"/>
        </w:rPr>
        <w:t>easing</w:t>
      </w:r>
      <w:r>
        <w:rPr>
          <w:spacing w:val="-65"/>
          <w:w w:val="110"/>
        </w:rPr>
        <w:t xml:space="preserve"> </w:t>
      </w:r>
      <w:r>
        <w:rPr>
          <w:w w:val="110"/>
        </w:rPr>
        <w:t>regulatory</w:t>
      </w:r>
      <w:r>
        <w:rPr>
          <w:spacing w:val="21"/>
          <w:w w:val="107"/>
        </w:rPr>
        <w:t xml:space="preserve"> </w:t>
      </w:r>
      <w:r>
        <w:rPr>
          <w:spacing w:val="-1"/>
          <w:w w:val="110"/>
        </w:rPr>
        <w:t>co</w:t>
      </w:r>
      <w:r>
        <w:rPr>
          <w:w w:val="110"/>
        </w:rPr>
        <w:t>sts</w:t>
      </w:r>
      <w:r>
        <w:rPr>
          <w:spacing w:val="-39"/>
          <w:w w:val="110"/>
        </w:rPr>
        <w:t xml:space="preserve"> </w:t>
      </w:r>
      <w:r>
        <w:rPr>
          <w:spacing w:val="-4"/>
          <w:w w:val="110"/>
        </w:rPr>
        <w:t>b</w:t>
      </w:r>
      <w:r>
        <w:rPr>
          <w:spacing w:val="-5"/>
          <w:w w:val="110"/>
        </w:rPr>
        <w:t>y</w:t>
      </w:r>
      <w:r>
        <w:rPr>
          <w:spacing w:val="-39"/>
          <w:w w:val="110"/>
        </w:rPr>
        <w:t xml:space="preserve"> </w:t>
      </w:r>
      <w:r>
        <w:rPr>
          <w:spacing w:val="-3"/>
          <w:w w:val="110"/>
        </w:rPr>
        <w:t>o</w:t>
      </w:r>
      <w:r>
        <w:rPr>
          <w:spacing w:val="-4"/>
          <w:w w:val="110"/>
        </w:rPr>
        <w:t>v</w:t>
      </w:r>
      <w:r>
        <w:rPr>
          <w:spacing w:val="-3"/>
          <w:w w:val="110"/>
        </w:rPr>
        <w:t>er</w:t>
      </w:r>
      <w:r>
        <w:rPr>
          <w:spacing w:val="-39"/>
          <w:w w:val="110"/>
        </w:rPr>
        <w:t xml:space="preserve"> </w:t>
      </w:r>
      <w:r>
        <w:rPr>
          <w:w w:val="110"/>
        </w:rPr>
        <w:t>$500</w:t>
      </w:r>
      <w:r>
        <w:rPr>
          <w:spacing w:val="-39"/>
          <w:w w:val="110"/>
        </w:rPr>
        <w:t xml:space="preserve"> </w:t>
      </w:r>
      <w:r>
        <w:rPr>
          <w:w w:val="110"/>
        </w:rPr>
        <w:t>000</w:t>
      </w:r>
      <w:bookmarkEnd w:id="162"/>
      <w:bookmarkEnd w:id="163"/>
      <w:bookmarkEnd w:id="164"/>
      <w:bookmarkEnd w:id="165"/>
    </w:p>
    <w:p w:rsidR="00E46BBC" w:rsidRDefault="00700515" w:rsidP="00A50DA3">
      <w:pPr>
        <w:pStyle w:val="Heading3"/>
      </w:pPr>
      <w:bookmarkStart w:id="166" w:name="_Toc414449280"/>
      <w:bookmarkStart w:id="167" w:name="_Toc414449456"/>
      <w:r w:rsidRPr="00700515">
        <w:t>Establishment of the Entrepreneurs’ Infrastructure Programme</w:t>
      </w:r>
      <w:bookmarkEnd w:id="166"/>
      <w:bookmarkEnd w:id="167"/>
    </w:p>
    <w:p w:rsidR="00E46BBC" w:rsidRPr="00700515" w:rsidRDefault="00822AD3" w:rsidP="00A50DA3">
      <w:pPr>
        <w:pStyle w:val="ListParagraph"/>
        <w:numPr>
          <w:ilvl w:val="0"/>
          <w:numId w:val="29"/>
        </w:numPr>
      </w:pPr>
      <w:r w:rsidRPr="00700515">
        <w:t>The Entrepreneurs’ Infrastructure Programme is the Australian Government’s</w:t>
      </w:r>
      <w:r w:rsidR="00BB6F22" w:rsidRPr="00700515">
        <w:t xml:space="preserve"> </w:t>
      </w:r>
      <w:r w:rsidRPr="00700515">
        <w:t>fl</w:t>
      </w:r>
      <w:r w:rsidR="00BB6F22" w:rsidRPr="00700515">
        <w:t xml:space="preserve">agship </w:t>
      </w:r>
      <w:r w:rsidRPr="00700515">
        <w:t>initiative for business competitiveness and productivity at the fi</w:t>
      </w:r>
      <w:r w:rsidR="00BB6F22" w:rsidRPr="00700515">
        <w:t xml:space="preserve">rm </w:t>
      </w:r>
      <w:r w:rsidRPr="00700515">
        <w:t>level. It forms part of the Australian Government’s new industry policy outlined in the Industry Innovation and Competitiveness Agenda.</w:t>
      </w:r>
    </w:p>
    <w:p w:rsidR="00E46BBC" w:rsidRPr="00700515" w:rsidRDefault="00822AD3" w:rsidP="00A50DA3">
      <w:pPr>
        <w:pStyle w:val="ListParagraph"/>
        <w:numPr>
          <w:ilvl w:val="0"/>
          <w:numId w:val="29"/>
        </w:numPr>
      </w:pPr>
      <w:r w:rsidRPr="00700515">
        <w:t>The Programme uses experienced facilitators and advisers, drawn from industry, to ensure businesses get the advice and support they need to improve their competiveness and productivity. The primary focus is on providing access to the best advice and expert networks to solve their problems rather than focusing on fi</w:t>
      </w:r>
      <w:r w:rsidR="00BB6F22" w:rsidRPr="00700515">
        <w:t xml:space="preserve">nancial </w:t>
      </w:r>
      <w:r w:rsidRPr="00700515">
        <w:t>assistance. Practical support for businesses includes: advice from people with relevant private sector experience, co-funded grants to commercialise new products, processes and services, funding to advantage of growth opportunities, and connection and collaboration opportunities.</w:t>
      </w:r>
    </w:p>
    <w:p w:rsidR="00E46BBC" w:rsidRDefault="00822AD3" w:rsidP="00A50DA3">
      <w:pPr>
        <w:pStyle w:val="ListParagraph"/>
        <w:numPr>
          <w:ilvl w:val="0"/>
          <w:numId w:val="29"/>
        </w:numPr>
      </w:pPr>
      <w:r w:rsidRPr="00700515">
        <w:t>The Department of Industry and Science has estimated that this will lead to an annual compliance cost</w:t>
      </w:r>
      <w:r w:rsidR="006F4249" w:rsidRPr="00700515">
        <w:t xml:space="preserve"> </w:t>
      </w:r>
      <w:r w:rsidRPr="00700515">
        <w:t>for industry of $4.46 million. This has been off</w:t>
      </w:r>
      <w:r w:rsidR="00BB6F22" w:rsidRPr="00700515">
        <w:t xml:space="preserve">set </w:t>
      </w:r>
      <w:r w:rsidRPr="00700515">
        <w:t>through the closure of several programmes as announced in the 2014</w:t>
      </w:r>
      <w:r w:rsidR="00BB6F22" w:rsidRPr="00700515">
        <w:t>-</w:t>
      </w:r>
      <w:r w:rsidRPr="00700515">
        <w:t>15 Budget.</w:t>
      </w:r>
    </w:p>
    <w:p w:rsidR="00E46BBC" w:rsidRDefault="00700515" w:rsidP="00A50DA3">
      <w:pPr>
        <w:pStyle w:val="Heading3"/>
      </w:pPr>
      <w:bookmarkStart w:id="168" w:name="_Toc414449281"/>
      <w:bookmarkStart w:id="169" w:name="_Toc414449457"/>
      <w:r w:rsidRPr="00700515">
        <w:t>Establishment of the Industry Growth C</w:t>
      </w:r>
      <w:r w:rsidR="000C7648">
        <w:t>entres</w:t>
      </w:r>
      <w:r w:rsidR="000C7648">
        <w:rPr>
          <w:rStyle w:val="FootnoteReference"/>
        </w:rPr>
        <w:footnoteReference w:id="26"/>
      </w:r>
      <w:bookmarkEnd w:id="168"/>
      <w:bookmarkEnd w:id="169"/>
    </w:p>
    <w:p w:rsidR="00E46BBC" w:rsidRPr="00700515" w:rsidRDefault="00822AD3" w:rsidP="00A50DA3">
      <w:pPr>
        <w:pStyle w:val="ListParagraph"/>
        <w:numPr>
          <w:ilvl w:val="0"/>
          <w:numId w:val="30"/>
        </w:numPr>
      </w:pPr>
      <w:r w:rsidRPr="00700515">
        <w:t>On 14 October 2014, the Australian Government announced as part of the Industry Innovation and Competitiveness Agenda the establishment of the Industry Growth Centres Initiative (the Initiative).</w:t>
      </w:r>
    </w:p>
    <w:p w:rsidR="00E46BBC" w:rsidRPr="00700515" w:rsidRDefault="00822AD3" w:rsidP="00A50DA3">
      <w:pPr>
        <w:pStyle w:val="ListParagraph"/>
        <w:numPr>
          <w:ilvl w:val="0"/>
          <w:numId w:val="30"/>
        </w:numPr>
      </w:pPr>
      <w:r w:rsidRPr="00700515">
        <w:t>From early 2015, the Initiative will establish not-for-profi</w:t>
      </w:r>
      <w:r w:rsidR="00BB6F22" w:rsidRPr="00700515">
        <w:t>t</w:t>
      </w:r>
      <w:r w:rsidRPr="00700515">
        <w:t xml:space="preserve"> companies, limited by guarantee, that are led by respected industry leaders. These companies will be established in the advanced manufacturing, food and agribusiness, medical technologies and pharmaceuticals, mining equipment, technology and services and oil, gas and energy resources sectors. The Growth Centres will: identify regulations that are unnecessary or over burdensome in their sectors and impede their ability to grow and suggest possible reforms; improve capability of the sectors to engage with international markets and access global supply chains; improve the management and workforce skills within the sectors; and improve engagement between research and industry to achieve stronger collaboration and commercialisation outcomes. They will also facilitate connections between the sectors and enabling services such as information and communication technology.</w:t>
      </w:r>
    </w:p>
    <w:p w:rsidR="00E46BBC" w:rsidRPr="00700515" w:rsidRDefault="00822AD3" w:rsidP="00A50DA3">
      <w:pPr>
        <w:pStyle w:val="ListParagraph"/>
        <w:numPr>
          <w:ilvl w:val="0"/>
          <w:numId w:val="30"/>
        </w:numPr>
      </w:pPr>
      <w:r w:rsidRPr="00700515">
        <w:t>As a result of establishing the Initiative, regulatory burden will be introduced for businesses involved in the process to develop Growth Centre proposals and Growth Centre companies (when established) complying with planning, reporting, monitoring and evaluation requirements. This burden, however, will be much lower than it was for similar past initiatives.</w:t>
      </w:r>
    </w:p>
    <w:p w:rsidR="00E46BBC" w:rsidRPr="00700515" w:rsidRDefault="00822AD3" w:rsidP="00A50DA3">
      <w:pPr>
        <w:pStyle w:val="ListParagraph"/>
        <w:numPr>
          <w:ilvl w:val="0"/>
          <w:numId w:val="30"/>
        </w:numPr>
      </w:pPr>
      <w:r w:rsidRPr="00700515">
        <w:t>The Department of Industry and Science has estimated that this will lead to an annual compliance cost for industry of $3.73 million.</w:t>
      </w:r>
    </w:p>
    <w:p w:rsidR="00E46BBC" w:rsidRDefault="00700515" w:rsidP="00A50DA3">
      <w:pPr>
        <w:pStyle w:val="Heading3"/>
      </w:pPr>
      <w:bookmarkStart w:id="170" w:name="_Toc414449282"/>
      <w:bookmarkStart w:id="171" w:name="_Toc414449458"/>
      <w:r w:rsidRPr="00700515">
        <w:t>Establishment of the Industry Skills Fund</w:t>
      </w:r>
      <w:bookmarkEnd w:id="170"/>
      <w:bookmarkEnd w:id="171"/>
    </w:p>
    <w:p w:rsidR="00E46BBC" w:rsidRPr="00700515" w:rsidRDefault="00822AD3" w:rsidP="00A50DA3">
      <w:pPr>
        <w:pStyle w:val="ListParagraph"/>
        <w:numPr>
          <w:ilvl w:val="0"/>
          <w:numId w:val="31"/>
        </w:numPr>
      </w:pPr>
      <w:r w:rsidRPr="00700515">
        <w:t>The Industry Skills Fund – Growth Stream (the Fund) assists industry to invest in training and support services and to develop innovative training solutions. The fund will help build a highly skilled workforce that can take advantage of new business growth opportunities and adapt to rapid technological change. It is a key element in the Australian Government’s Industry Innovation and Competitiveness Agenda and will provide up to 200,000 training places and support services over four years.</w:t>
      </w:r>
    </w:p>
    <w:p w:rsidR="00E46BBC" w:rsidRDefault="00822AD3" w:rsidP="00A50DA3">
      <w:pPr>
        <w:pStyle w:val="ListParagraph"/>
        <w:numPr>
          <w:ilvl w:val="0"/>
          <w:numId w:val="31"/>
        </w:numPr>
      </w:pPr>
      <w:r w:rsidRPr="00700515">
        <w:t>The Department of Industry and Science has estimated that this will lead to an annual compliance cost for industry of $3.69 million. This has been offset through the closure of ten skills programmes.</w:t>
      </w:r>
    </w:p>
    <w:p w:rsidR="00700515" w:rsidRPr="00700515" w:rsidRDefault="00700515" w:rsidP="00700515"/>
    <w:p w:rsidR="00700515" w:rsidRDefault="00700515">
      <w:pPr>
        <w:spacing w:before="0" w:line="240" w:lineRule="auto"/>
        <w:rPr>
          <w:w w:val="95"/>
        </w:rPr>
      </w:pPr>
      <w:r>
        <w:rPr>
          <w:w w:val="95"/>
        </w:rPr>
        <w:br w:type="page"/>
      </w:r>
    </w:p>
    <w:p w:rsidR="00E46BBC" w:rsidRDefault="00822AD3" w:rsidP="00A50DA3">
      <w:pPr>
        <w:pStyle w:val="Heading2"/>
        <w:numPr>
          <w:ilvl w:val="0"/>
          <w:numId w:val="33"/>
        </w:numPr>
        <w:ind w:left="357" w:hanging="357"/>
      </w:pPr>
      <w:bookmarkStart w:id="172" w:name="_Toc414449058"/>
      <w:bookmarkStart w:id="173" w:name="_Toc414449115"/>
      <w:bookmarkStart w:id="174" w:name="_Toc414449283"/>
      <w:bookmarkStart w:id="175" w:name="_Toc414449459"/>
      <w:r w:rsidRPr="00700515">
        <w:lastRenderedPageBreak/>
        <w:t>Regulatory</w:t>
      </w:r>
      <w:r>
        <w:rPr>
          <w:spacing w:val="-65"/>
          <w:w w:val="110"/>
        </w:rPr>
        <w:t xml:space="preserve"> </w:t>
      </w:r>
      <w:r>
        <w:rPr>
          <w:w w:val="110"/>
        </w:rPr>
        <w:t>measur</w:t>
      </w:r>
      <w:r>
        <w:rPr>
          <w:spacing w:val="-1"/>
          <w:w w:val="110"/>
        </w:rPr>
        <w:t>es</w:t>
      </w:r>
      <w:r>
        <w:rPr>
          <w:spacing w:val="-65"/>
          <w:w w:val="110"/>
        </w:rPr>
        <w:t xml:space="preserve"> </w:t>
      </w:r>
      <w:r>
        <w:rPr>
          <w:w w:val="110"/>
        </w:rPr>
        <w:t>each</w:t>
      </w:r>
      <w:r>
        <w:rPr>
          <w:spacing w:val="-64"/>
          <w:w w:val="110"/>
        </w:rPr>
        <w:t xml:space="preserve"> </w:t>
      </w:r>
      <w:r>
        <w:rPr>
          <w:w w:val="110"/>
        </w:rPr>
        <w:t>incr</w:t>
      </w:r>
      <w:r>
        <w:rPr>
          <w:spacing w:val="-1"/>
          <w:w w:val="110"/>
        </w:rPr>
        <w:t>easing</w:t>
      </w:r>
      <w:r>
        <w:rPr>
          <w:spacing w:val="-65"/>
          <w:w w:val="110"/>
        </w:rPr>
        <w:t xml:space="preserve"> </w:t>
      </w:r>
      <w:r>
        <w:rPr>
          <w:w w:val="110"/>
        </w:rPr>
        <w:t>regulatory</w:t>
      </w:r>
      <w:r>
        <w:rPr>
          <w:spacing w:val="21"/>
          <w:w w:val="107"/>
        </w:rPr>
        <w:t xml:space="preserve"> </w:t>
      </w:r>
      <w:r>
        <w:rPr>
          <w:spacing w:val="-1"/>
          <w:w w:val="110"/>
        </w:rPr>
        <w:t>co</w:t>
      </w:r>
      <w:r>
        <w:rPr>
          <w:w w:val="110"/>
        </w:rPr>
        <w:t>sts</w:t>
      </w:r>
      <w:r>
        <w:rPr>
          <w:spacing w:val="-35"/>
          <w:w w:val="110"/>
        </w:rPr>
        <w:t xml:space="preserve"> </w:t>
      </w:r>
      <w:r>
        <w:rPr>
          <w:spacing w:val="-4"/>
          <w:w w:val="110"/>
        </w:rPr>
        <w:t>b</w:t>
      </w:r>
      <w:r>
        <w:rPr>
          <w:spacing w:val="-5"/>
          <w:w w:val="110"/>
        </w:rPr>
        <w:t>y</w:t>
      </w:r>
      <w:r>
        <w:rPr>
          <w:spacing w:val="-35"/>
          <w:w w:val="110"/>
        </w:rPr>
        <w:t xml:space="preserve"> </w:t>
      </w:r>
      <w:r>
        <w:rPr>
          <w:w w:val="110"/>
        </w:rPr>
        <w:t>l</w:t>
      </w:r>
      <w:r>
        <w:rPr>
          <w:spacing w:val="-1"/>
          <w:w w:val="110"/>
        </w:rPr>
        <w:t>ess</w:t>
      </w:r>
      <w:r>
        <w:rPr>
          <w:spacing w:val="-35"/>
          <w:w w:val="110"/>
        </w:rPr>
        <w:t xml:space="preserve"> </w:t>
      </w:r>
      <w:r>
        <w:rPr>
          <w:w w:val="110"/>
        </w:rPr>
        <w:t>than</w:t>
      </w:r>
      <w:r>
        <w:rPr>
          <w:spacing w:val="-35"/>
          <w:w w:val="110"/>
        </w:rPr>
        <w:t xml:space="preserve"> </w:t>
      </w:r>
      <w:r>
        <w:rPr>
          <w:w w:val="110"/>
        </w:rPr>
        <w:t>$500</w:t>
      </w:r>
      <w:r>
        <w:rPr>
          <w:spacing w:val="-35"/>
          <w:w w:val="110"/>
        </w:rPr>
        <w:t xml:space="preserve"> </w:t>
      </w:r>
      <w:r>
        <w:rPr>
          <w:w w:val="110"/>
        </w:rPr>
        <w:t>000</w:t>
      </w:r>
      <w:bookmarkEnd w:id="172"/>
      <w:bookmarkEnd w:id="173"/>
      <w:bookmarkEnd w:id="174"/>
      <w:bookmarkEnd w:id="175"/>
    </w:p>
    <w:tbl>
      <w:tblPr>
        <w:tblW w:w="0" w:type="auto"/>
        <w:tblInd w:w="113" w:type="dxa"/>
        <w:tblLayout w:type="fixed"/>
        <w:tblCellMar>
          <w:left w:w="113" w:type="dxa"/>
          <w:right w:w="113" w:type="dxa"/>
        </w:tblCellMar>
        <w:tblLook w:val="01E0" w:firstRow="1" w:lastRow="1" w:firstColumn="1" w:lastColumn="1" w:noHBand="0" w:noVBand="0"/>
      </w:tblPr>
      <w:tblGrid>
        <w:gridCol w:w="5481"/>
        <w:gridCol w:w="2456"/>
      </w:tblGrid>
      <w:tr w:rsidR="00E46BBC" w:rsidTr="000C7648">
        <w:trPr>
          <w:cantSplit/>
          <w:tblHeader/>
        </w:trPr>
        <w:tc>
          <w:tcPr>
            <w:tcW w:w="5481" w:type="dxa"/>
            <w:tcBorders>
              <w:top w:val="nil"/>
              <w:left w:val="nil"/>
              <w:bottom w:val="nil"/>
              <w:right w:val="nil"/>
            </w:tcBorders>
            <w:shd w:val="clear" w:color="auto" w:fill="005577"/>
          </w:tcPr>
          <w:p w:rsidR="00E46BBC" w:rsidRPr="000C7648" w:rsidRDefault="00822AD3" w:rsidP="00F20B31">
            <w:pPr>
              <w:pStyle w:val="TableParagraph"/>
              <w:ind w:right="45"/>
              <w:rPr>
                <w:rFonts w:eastAsia="Calibri" w:hAnsi="Calibri" w:cs="Calibri"/>
                <w:b/>
                <w:color w:val="FFFFFF" w:themeColor="background1"/>
                <w:szCs w:val="16"/>
              </w:rPr>
            </w:pPr>
            <w:r w:rsidRPr="000C7648">
              <w:rPr>
                <w:b/>
                <w:color w:val="FFFFFF" w:themeColor="background1"/>
                <w:spacing w:val="-3"/>
                <w:w w:val="110"/>
              </w:rPr>
              <w:t>O</w:t>
            </w:r>
            <w:r w:rsidRPr="000C7648">
              <w:rPr>
                <w:b/>
                <w:color w:val="FFFFFF" w:themeColor="background1"/>
                <w:w w:val="110"/>
              </w:rPr>
              <w:t>THER</w:t>
            </w:r>
            <w:r w:rsidRPr="000C7648">
              <w:rPr>
                <w:b/>
                <w:color w:val="FFFFFF" w:themeColor="background1"/>
                <w:spacing w:val="1"/>
                <w:w w:val="110"/>
              </w:rPr>
              <w:t xml:space="preserve"> </w:t>
            </w:r>
            <w:r w:rsidRPr="000C7648">
              <w:rPr>
                <w:b/>
                <w:color w:val="FFFFFF" w:themeColor="background1"/>
                <w:w w:val="110"/>
              </w:rPr>
              <w:t>MEA</w:t>
            </w:r>
            <w:r w:rsidRPr="000C7648">
              <w:rPr>
                <w:b/>
                <w:color w:val="FFFFFF" w:themeColor="background1"/>
                <w:spacing w:val="-1"/>
                <w:w w:val="110"/>
              </w:rPr>
              <w:t>SURES</w:t>
            </w:r>
          </w:p>
        </w:tc>
        <w:tc>
          <w:tcPr>
            <w:tcW w:w="2456" w:type="dxa"/>
            <w:tcBorders>
              <w:top w:val="nil"/>
              <w:left w:val="nil"/>
              <w:bottom w:val="nil"/>
              <w:right w:val="nil"/>
            </w:tcBorders>
            <w:shd w:val="clear" w:color="auto" w:fill="005577"/>
          </w:tcPr>
          <w:p w:rsidR="00E46BBC" w:rsidRPr="000C7648" w:rsidRDefault="00822AD3" w:rsidP="00F20B31">
            <w:pPr>
              <w:pStyle w:val="TableParagraph"/>
              <w:ind w:right="45"/>
              <w:rPr>
                <w:rFonts w:eastAsia="Calibri" w:hAnsi="Calibri" w:cs="Calibri"/>
                <w:b/>
                <w:color w:val="FFFFFF" w:themeColor="background1"/>
                <w:szCs w:val="16"/>
              </w:rPr>
            </w:pPr>
            <w:r w:rsidRPr="000C7648">
              <w:rPr>
                <w:b/>
                <w:color w:val="FFFFFF" w:themeColor="background1"/>
                <w:spacing w:val="-1"/>
                <w:w w:val="110"/>
              </w:rPr>
              <w:t>R</w:t>
            </w:r>
            <w:r w:rsidRPr="000C7648">
              <w:rPr>
                <w:b/>
                <w:color w:val="FFFFFF" w:themeColor="background1"/>
                <w:spacing w:val="-2"/>
                <w:w w:val="110"/>
              </w:rPr>
              <w:t xml:space="preserve">eported </w:t>
            </w:r>
            <w:r w:rsidRPr="000C7648">
              <w:rPr>
                <w:b/>
                <w:color w:val="FFFFFF" w:themeColor="background1"/>
                <w:w w:val="110"/>
              </w:rPr>
              <w:t>($</w:t>
            </w:r>
            <w:r w:rsidRPr="000C7648">
              <w:rPr>
                <w:b/>
                <w:color w:val="FFFFFF" w:themeColor="background1"/>
                <w:spacing w:val="-2"/>
                <w:w w:val="110"/>
              </w:rPr>
              <w:t xml:space="preserve"> </w:t>
            </w:r>
            <w:r w:rsidRPr="000C7648">
              <w:rPr>
                <w:b/>
                <w:color w:val="FFFFFF" w:themeColor="background1"/>
                <w:w w:val="110"/>
              </w:rPr>
              <w:t>million)</w:t>
            </w:r>
          </w:p>
        </w:tc>
      </w:tr>
      <w:tr w:rsidR="00E46BBC" w:rsidTr="000C7648">
        <w:trPr>
          <w:cantSplit/>
        </w:trPr>
        <w:tc>
          <w:tcPr>
            <w:tcW w:w="5481" w:type="dxa"/>
            <w:tcBorders>
              <w:top w:val="nil"/>
              <w:left w:val="nil"/>
              <w:bottom w:val="single" w:sz="2" w:space="0" w:color="005577"/>
              <w:right w:val="nil"/>
            </w:tcBorders>
          </w:tcPr>
          <w:p w:rsidR="00E46BBC" w:rsidRDefault="00822AD3" w:rsidP="00F20B31">
            <w:pPr>
              <w:pStyle w:val="TableParagraph"/>
              <w:ind w:right="45"/>
            </w:pPr>
            <w:r>
              <w:t>Austr</w:t>
            </w:r>
            <w:r>
              <w:rPr>
                <w:spacing w:val="-2"/>
              </w:rPr>
              <w:t>alia</w:t>
            </w:r>
            <w:r>
              <w:rPr>
                <w:spacing w:val="-10"/>
              </w:rPr>
              <w:t xml:space="preserve"> </w:t>
            </w:r>
            <w:r>
              <w:t>China</w:t>
            </w:r>
            <w:r>
              <w:rPr>
                <w:spacing w:val="-10"/>
              </w:rPr>
              <w:t xml:space="preserve"> </w:t>
            </w:r>
            <w:r>
              <w:t>Science</w:t>
            </w:r>
            <w:r>
              <w:rPr>
                <w:spacing w:val="-10"/>
              </w:rPr>
              <w:t xml:space="preserve"> </w:t>
            </w:r>
            <w:r>
              <w:t>and</w:t>
            </w:r>
            <w:r>
              <w:rPr>
                <w:spacing w:val="-10"/>
              </w:rPr>
              <w:t xml:space="preserve"> </w:t>
            </w:r>
            <w:r>
              <w:t>Research</w:t>
            </w:r>
            <w:r>
              <w:rPr>
                <w:spacing w:val="-10"/>
              </w:rPr>
              <w:t xml:space="preserve"> </w:t>
            </w:r>
            <w:r>
              <w:t>Fund</w:t>
            </w:r>
          </w:p>
        </w:tc>
        <w:tc>
          <w:tcPr>
            <w:tcW w:w="2456" w:type="dxa"/>
            <w:tcBorders>
              <w:top w:val="nil"/>
              <w:left w:val="nil"/>
              <w:bottom w:val="single" w:sz="2" w:space="0" w:color="005577"/>
              <w:right w:val="nil"/>
            </w:tcBorders>
          </w:tcPr>
          <w:p w:rsidR="00E46BBC" w:rsidRDefault="00822AD3" w:rsidP="00F20B31">
            <w:pPr>
              <w:pStyle w:val="TableParagraph"/>
              <w:ind w:right="45"/>
            </w:pPr>
            <w:r>
              <w:t>0.0</w:t>
            </w:r>
            <w:r>
              <w:rPr>
                <w:spacing w:val="-4"/>
              </w:rPr>
              <w:t>1</w:t>
            </w:r>
          </w:p>
        </w:tc>
      </w:tr>
      <w:tr w:rsidR="00E46BBC" w:rsidTr="000C7648">
        <w:trPr>
          <w:cantSplit/>
        </w:trPr>
        <w:tc>
          <w:tcPr>
            <w:tcW w:w="5481" w:type="dxa"/>
            <w:tcBorders>
              <w:top w:val="single" w:sz="2" w:space="0" w:color="005577"/>
              <w:left w:val="nil"/>
              <w:bottom w:val="single" w:sz="2" w:space="0" w:color="005577"/>
              <w:right w:val="nil"/>
            </w:tcBorders>
            <w:shd w:val="clear" w:color="auto" w:fill="CCDDE3"/>
          </w:tcPr>
          <w:p w:rsidR="00E46BBC" w:rsidRDefault="00822AD3" w:rsidP="00F20B31">
            <w:pPr>
              <w:pStyle w:val="TableParagraph"/>
              <w:ind w:right="45"/>
            </w:pPr>
            <w:r>
              <w:rPr>
                <w:spacing w:val="-2"/>
              </w:rPr>
              <w:t>In</w:t>
            </w:r>
            <w:r>
              <w:t>troduction</w:t>
            </w:r>
            <w:r>
              <w:rPr>
                <w:spacing w:val="-13"/>
              </w:rPr>
              <w:t xml:space="preserve"> </w:t>
            </w:r>
            <w:r>
              <w:t>of</w:t>
            </w:r>
            <w:r>
              <w:rPr>
                <w:spacing w:val="-12"/>
              </w:rPr>
              <w:t xml:space="preserve"> </w:t>
            </w:r>
            <w:r>
              <w:t>an</w:t>
            </w:r>
            <w:r>
              <w:rPr>
                <w:spacing w:val="-13"/>
              </w:rPr>
              <w:t xml:space="preserve"> </w:t>
            </w:r>
            <w:r>
              <w:t>Explor</w:t>
            </w:r>
            <w:r>
              <w:rPr>
                <w:spacing w:val="-2"/>
              </w:rPr>
              <w:t>a</w:t>
            </w:r>
            <w:r>
              <w:t>tion</w:t>
            </w:r>
            <w:r>
              <w:rPr>
                <w:spacing w:val="-12"/>
              </w:rPr>
              <w:t xml:space="preserve"> </w:t>
            </w:r>
            <w:r>
              <w:t>Development</w:t>
            </w:r>
            <w:r>
              <w:rPr>
                <w:spacing w:val="-13"/>
              </w:rPr>
              <w:t xml:space="preserve"> </w:t>
            </w:r>
            <w:r>
              <w:rPr>
                <w:spacing w:val="-2"/>
              </w:rPr>
              <w:t>Inc</w:t>
            </w:r>
            <w:r>
              <w:t>entive</w:t>
            </w:r>
          </w:p>
        </w:tc>
        <w:tc>
          <w:tcPr>
            <w:tcW w:w="2456" w:type="dxa"/>
            <w:tcBorders>
              <w:top w:val="single" w:sz="2" w:space="0" w:color="005577"/>
              <w:left w:val="nil"/>
              <w:bottom w:val="single" w:sz="2" w:space="0" w:color="005577"/>
              <w:right w:val="nil"/>
            </w:tcBorders>
            <w:shd w:val="clear" w:color="auto" w:fill="CCDDE3"/>
          </w:tcPr>
          <w:p w:rsidR="00E46BBC" w:rsidRDefault="00822AD3" w:rsidP="00F20B31">
            <w:pPr>
              <w:pStyle w:val="TableParagraph"/>
              <w:ind w:right="45"/>
            </w:pPr>
            <w:r>
              <w:t>0.0</w:t>
            </w:r>
            <w:r>
              <w:rPr>
                <w:spacing w:val="-4"/>
              </w:rPr>
              <w:t>7</w:t>
            </w:r>
          </w:p>
        </w:tc>
      </w:tr>
      <w:tr w:rsidR="00E46BBC" w:rsidTr="000C7648">
        <w:trPr>
          <w:cantSplit/>
        </w:trPr>
        <w:tc>
          <w:tcPr>
            <w:tcW w:w="5481" w:type="dxa"/>
            <w:tcBorders>
              <w:top w:val="single" w:sz="2" w:space="0" w:color="005577"/>
              <w:left w:val="nil"/>
              <w:bottom w:val="single" w:sz="2" w:space="0" w:color="005577"/>
              <w:right w:val="nil"/>
            </w:tcBorders>
          </w:tcPr>
          <w:p w:rsidR="00E46BBC" w:rsidRDefault="00822AD3" w:rsidP="00F20B31">
            <w:pPr>
              <w:pStyle w:val="TableParagraph"/>
              <w:ind w:right="45"/>
            </w:pPr>
            <w:r>
              <w:t>Establishment</w:t>
            </w:r>
            <w:r>
              <w:rPr>
                <w:spacing w:val="-12"/>
              </w:rPr>
              <w:t xml:space="preserve"> </w:t>
            </w:r>
            <w:r>
              <w:t>of</w:t>
            </w:r>
            <w:r>
              <w:rPr>
                <w:spacing w:val="-12"/>
              </w:rPr>
              <w:t xml:space="preserve"> </w:t>
            </w:r>
            <w:r>
              <w:t>the</w:t>
            </w:r>
            <w:r>
              <w:rPr>
                <w:spacing w:val="-12"/>
              </w:rPr>
              <w:t xml:space="preserve"> </w:t>
            </w:r>
            <w:r>
              <w:t>Manufacturing</w:t>
            </w:r>
            <w:r>
              <w:rPr>
                <w:spacing w:val="-11"/>
              </w:rPr>
              <w:t xml:space="preserve"> </w:t>
            </w:r>
            <w:r>
              <w:rPr>
                <w:spacing w:val="-3"/>
              </w:rPr>
              <w:t>Tr</w:t>
            </w:r>
            <w:r>
              <w:rPr>
                <w:spacing w:val="-2"/>
              </w:rPr>
              <w:t>ansition</w:t>
            </w:r>
            <w:r>
              <w:rPr>
                <w:spacing w:val="-12"/>
              </w:rPr>
              <w:t xml:space="preserve"> </w:t>
            </w:r>
            <w:r>
              <w:t>Gr</w:t>
            </w:r>
            <w:r>
              <w:rPr>
                <w:spacing w:val="-2"/>
              </w:rPr>
              <w:t>an</w:t>
            </w:r>
            <w:r>
              <w:t>ts</w:t>
            </w:r>
            <w:r>
              <w:rPr>
                <w:spacing w:val="-12"/>
              </w:rPr>
              <w:t xml:space="preserve"> </w:t>
            </w:r>
            <w:r>
              <w:rPr>
                <w:spacing w:val="-2"/>
              </w:rPr>
              <w:t>Programme</w:t>
            </w:r>
          </w:p>
        </w:tc>
        <w:tc>
          <w:tcPr>
            <w:tcW w:w="2456" w:type="dxa"/>
            <w:tcBorders>
              <w:top w:val="single" w:sz="2" w:space="0" w:color="005577"/>
              <w:left w:val="nil"/>
              <w:bottom w:val="single" w:sz="2" w:space="0" w:color="005577"/>
              <w:right w:val="nil"/>
            </w:tcBorders>
          </w:tcPr>
          <w:p w:rsidR="00E46BBC" w:rsidRDefault="00822AD3" w:rsidP="00F20B31">
            <w:pPr>
              <w:pStyle w:val="TableParagraph"/>
              <w:ind w:right="45"/>
            </w:pPr>
            <w:r>
              <w:t>0.0</w:t>
            </w:r>
            <w:r>
              <w:rPr>
                <w:spacing w:val="-4"/>
              </w:rPr>
              <w:t>1</w:t>
            </w:r>
          </w:p>
        </w:tc>
      </w:tr>
      <w:tr w:rsidR="00E46BBC" w:rsidTr="000C7648">
        <w:trPr>
          <w:cantSplit/>
        </w:trPr>
        <w:tc>
          <w:tcPr>
            <w:tcW w:w="5481" w:type="dxa"/>
            <w:tcBorders>
              <w:top w:val="single" w:sz="2" w:space="0" w:color="005577"/>
              <w:left w:val="nil"/>
              <w:bottom w:val="single" w:sz="2" w:space="0" w:color="005577"/>
              <w:right w:val="nil"/>
            </w:tcBorders>
            <w:shd w:val="clear" w:color="auto" w:fill="CCDDE3"/>
          </w:tcPr>
          <w:p w:rsidR="00E46BBC" w:rsidRDefault="00822AD3" w:rsidP="00F20B31">
            <w:pPr>
              <w:pStyle w:val="TableParagraph"/>
              <w:ind w:right="45"/>
            </w:pPr>
            <w:r>
              <w:t>National</w:t>
            </w:r>
            <w:r>
              <w:rPr>
                <w:spacing w:val="-10"/>
              </w:rPr>
              <w:t xml:space="preserve"> </w:t>
            </w:r>
            <w:r>
              <w:t>Construction</w:t>
            </w:r>
            <w:r>
              <w:rPr>
                <w:spacing w:val="-9"/>
              </w:rPr>
              <w:t xml:space="preserve"> </w:t>
            </w:r>
            <w:r>
              <w:t>Code</w:t>
            </w:r>
            <w:r>
              <w:rPr>
                <w:spacing w:val="-10"/>
              </w:rPr>
              <w:t xml:space="preserve"> </w:t>
            </w:r>
            <w:r>
              <w:t>-</w:t>
            </w:r>
            <w:r>
              <w:rPr>
                <w:spacing w:val="-9"/>
              </w:rPr>
              <w:t xml:space="preserve"> </w:t>
            </w:r>
            <w:r>
              <w:t>interconnection</w:t>
            </w:r>
            <w:r>
              <w:rPr>
                <w:spacing w:val="-9"/>
              </w:rPr>
              <w:t xml:space="preserve"> </w:t>
            </w:r>
            <w:r>
              <w:t>of</w:t>
            </w:r>
            <w:r>
              <w:rPr>
                <w:spacing w:val="-10"/>
              </w:rPr>
              <w:t xml:space="preserve"> </w:t>
            </w:r>
            <w:r>
              <w:t>smoke</w:t>
            </w:r>
            <w:r>
              <w:rPr>
                <w:spacing w:val="-9"/>
              </w:rPr>
              <w:t xml:space="preserve"> </w:t>
            </w:r>
            <w:r>
              <w:t>alarms</w:t>
            </w:r>
          </w:p>
        </w:tc>
        <w:tc>
          <w:tcPr>
            <w:tcW w:w="2456" w:type="dxa"/>
            <w:tcBorders>
              <w:top w:val="single" w:sz="2" w:space="0" w:color="005577"/>
              <w:left w:val="nil"/>
              <w:bottom w:val="single" w:sz="2" w:space="0" w:color="005577"/>
              <w:right w:val="nil"/>
            </w:tcBorders>
            <w:shd w:val="clear" w:color="auto" w:fill="CCDDE3"/>
          </w:tcPr>
          <w:p w:rsidR="00E46BBC" w:rsidRDefault="00822AD3" w:rsidP="00F20B31">
            <w:pPr>
              <w:pStyle w:val="TableParagraph"/>
              <w:ind w:right="45"/>
            </w:pPr>
            <w:r>
              <w:t>0.</w:t>
            </w:r>
            <w:r>
              <w:rPr>
                <w:spacing w:val="-2"/>
              </w:rPr>
              <w:t>2</w:t>
            </w:r>
            <w:r>
              <w:t>6</w:t>
            </w:r>
          </w:p>
        </w:tc>
      </w:tr>
      <w:tr w:rsidR="00E46BBC" w:rsidTr="000C7648">
        <w:trPr>
          <w:cantSplit/>
        </w:trPr>
        <w:tc>
          <w:tcPr>
            <w:tcW w:w="5481" w:type="dxa"/>
            <w:tcBorders>
              <w:top w:val="single" w:sz="2" w:space="0" w:color="005577"/>
              <w:left w:val="nil"/>
              <w:bottom w:val="single" w:sz="2" w:space="0" w:color="005577"/>
              <w:right w:val="nil"/>
            </w:tcBorders>
          </w:tcPr>
          <w:p w:rsidR="00E46BBC" w:rsidRDefault="00822AD3" w:rsidP="00F20B31">
            <w:pPr>
              <w:pStyle w:val="TableParagraph"/>
              <w:ind w:right="45"/>
            </w:pPr>
            <w:r>
              <w:t>Establishment</w:t>
            </w:r>
            <w:r>
              <w:rPr>
                <w:spacing w:val="-6"/>
              </w:rPr>
              <w:t xml:space="preserve"> </w:t>
            </w:r>
            <w:r>
              <w:t>of</w:t>
            </w:r>
            <w:r>
              <w:rPr>
                <w:spacing w:val="-6"/>
              </w:rPr>
              <w:t xml:space="preserve"> </w:t>
            </w:r>
            <w:r>
              <w:t>the</w:t>
            </w:r>
            <w:r>
              <w:rPr>
                <w:spacing w:val="-6"/>
              </w:rPr>
              <w:t xml:space="preserve"> </w:t>
            </w:r>
            <w:r>
              <w:rPr>
                <w:spacing w:val="-2"/>
              </w:rPr>
              <w:t>Growth</w:t>
            </w:r>
            <w:r>
              <w:rPr>
                <w:spacing w:val="-6"/>
              </w:rPr>
              <w:t xml:space="preserve"> </w:t>
            </w:r>
            <w:r>
              <w:t>Fund</w:t>
            </w:r>
          </w:p>
        </w:tc>
        <w:tc>
          <w:tcPr>
            <w:tcW w:w="2456" w:type="dxa"/>
            <w:tcBorders>
              <w:top w:val="single" w:sz="2" w:space="0" w:color="005577"/>
              <w:left w:val="nil"/>
              <w:bottom w:val="single" w:sz="2" w:space="0" w:color="005577"/>
              <w:right w:val="nil"/>
            </w:tcBorders>
          </w:tcPr>
          <w:p w:rsidR="00E46BBC" w:rsidRDefault="00822AD3" w:rsidP="00F20B31">
            <w:pPr>
              <w:pStyle w:val="TableParagraph"/>
              <w:ind w:right="45"/>
            </w:pPr>
            <w:r>
              <w:t>0.0</w:t>
            </w:r>
            <w:r>
              <w:rPr>
                <w:spacing w:val="-3"/>
              </w:rPr>
              <w:t>2</w:t>
            </w:r>
          </w:p>
        </w:tc>
      </w:tr>
      <w:tr w:rsidR="00E46BBC" w:rsidTr="000C7648">
        <w:trPr>
          <w:cantSplit/>
        </w:trPr>
        <w:tc>
          <w:tcPr>
            <w:tcW w:w="5481" w:type="dxa"/>
            <w:tcBorders>
              <w:top w:val="single" w:sz="2" w:space="0" w:color="005577"/>
              <w:left w:val="nil"/>
              <w:bottom w:val="single" w:sz="2" w:space="0" w:color="005577"/>
              <w:right w:val="nil"/>
            </w:tcBorders>
            <w:shd w:val="clear" w:color="auto" w:fill="CCDDE3"/>
          </w:tcPr>
          <w:p w:rsidR="00E46BBC" w:rsidRDefault="00822AD3" w:rsidP="00F20B31">
            <w:pPr>
              <w:pStyle w:val="TableParagraph"/>
              <w:ind w:right="45"/>
            </w:pPr>
            <w:r>
              <w:t>Establishment</w:t>
            </w:r>
            <w:r>
              <w:rPr>
                <w:spacing w:val="-9"/>
              </w:rPr>
              <w:t xml:space="preserve"> </w:t>
            </w:r>
            <w:r>
              <w:t>of</w:t>
            </w:r>
            <w:r>
              <w:rPr>
                <w:spacing w:val="-9"/>
              </w:rPr>
              <w:t xml:space="preserve"> </w:t>
            </w:r>
            <w:r>
              <w:t>the</w:t>
            </w:r>
            <w:r>
              <w:rPr>
                <w:spacing w:val="-9"/>
              </w:rPr>
              <w:t xml:space="preserve"> </w:t>
            </w:r>
            <w:r>
              <w:rPr>
                <w:spacing w:val="-5"/>
              </w:rPr>
              <w:t>Tr</w:t>
            </w:r>
            <w:r>
              <w:rPr>
                <w:spacing w:val="-4"/>
              </w:rPr>
              <w:t>ade</w:t>
            </w:r>
            <w:r>
              <w:rPr>
                <w:spacing w:val="-8"/>
              </w:rPr>
              <w:t xml:space="preserve"> </w:t>
            </w:r>
            <w:r>
              <w:t>Support</w:t>
            </w:r>
            <w:r>
              <w:rPr>
                <w:spacing w:val="-9"/>
              </w:rPr>
              <w:t xml:space="preserve"> </w:t>
            </w:r>
            <w:r>
              <w:t>Loans</w:t>
            </w:r>
          </w:p>
        </w:tc>
        <w:tc>
          <w:tcPr>
            <w:tcW w:w="2456" w:type="dxa"/>
            <w:tcBorders>
              <w:top w:val="single" w:sz="2" w:space="0" w:color="005577"/>
              <w:left w:val="nil"/>
              <w:bottom w:val="single" w:sz="2" w:space="0" w:color="005577"/>
              <w:right w:val="nil"/>
            </w:tcBorders>
            <w:shd w:val="clear" w:color="auto" w:fill="CCDDE3"/>
          </w:tcPr>
          <w:p w:rsidR="00E46BBC" w:rsidRDefault="00822AD3" w:rsidP="00F20B31">
            <w:pPr>
              <w:pStyle w:val="TableParagraph"/>
              <w:ind w:right="45"/>
            </w:pPr>
            <w:r>
              <w:t>0.27</w:t>
            </w:r>
          </w:p>
        </w:tc>
      </w:tr>
      <w:tr w:rsidR="00E46BBC" w:rsidTr="000C7648">
        <w:trPr>
          <w:cantSplit/>
        </w:trPr>
        <w:tc>
          <w:tcPr>
            <w:tcW w:w="5481" w:type="dxa"/>
            <w:tcBorders>
              <w:top w:val="single" w:sz="2" w:space="0" w:color="005577"/>
              <w:left w:val="nil"/>
              <w:bottom w:val="single" w:sz="2" w:space="0" w:color="005577"/>
              <w:right w:val="nil"/>
            </w:tcBorders>
          </w:tcPr>
          <w:p w:rsidR="00E46BBC" w:rsidRDefault="00822AD3" w:rsidP="00F20B31">
            <w:pPr>
              <w:pStyle w:val="TableParagraph"/>
              <w:ind w:right="45"/>
            </w:pPr>
            <w:r>
              <w:t>Establishment</w:t>
            </w:r>
            <w:r>
              <w:rPr>
                <w:spacing w:val="-10"/>
              </w:rPr>
              <w:t xml:space="preserve"> </w:t>
            </w:r>
            <w:r>
              <w:t>of</w:t>
            </w:r>
            <w:r>
              <w:rPr>
                <w:spacing w:val="-9"/>
              </w:rPr>
              <w:t xml:space="preserve"> </w:t>
            </w:r>
            <w:r>
              <w:t>the</w:t>
            </w:r>
            <w:r>
              <w:rPr>
                <w:spacing w:val="-9"/>
              </w:rPr>
              <w:t xml:space="preserve"> </w:t>
            </w:r>
            <w:r>
              <w:rPr>
                <w:spacing w:val="-4"/>
              </w:rPr>
              <w:t>Tr</w:t>
            </w:r>
            <w:r>
              <w:rPr>
                <w:spacing w:val="-3"/>
              </w:rPr>
              <w:t>aining</w:t>
            </w:r>
            <w:r>
              <w:rPr>
                <w:spacing w:val="-10"/>
              </w:rPr>
              <w:t xml:space="preserve"> </w:t>
            </w:r>
            <w:r>
              <w:t>for</w:t>
            </w:r>
            <w:r>
              <w:rPr>
                <w:spacing w:val="-9"/>
              </w:rPr>
              <w:t xml:space="preserve"> </w:t>
            </w:r>
            <w:r>
              <w:t>Employment</w:t>
            </w:r>
            <w:r>
              <w:rPr>
                <w:spacing w:val="-9"/>
              </w:rPr>
              <w:t xml:space="preserve"> </w:t>
            </w:r>
            <w:r>
              <w:t>Scholarships</w:t>
            </w:r>
            <w:r>
              <w:rPr>
                <w:spacing w:val="-10"/>
              </w:rPr>
              <w:t xml:space="preserve"> </w:t>
            </w:r>
            <w:r>
              <w:t>Pilot</w:t>
            </w:r>
          </w:p>
        </w:tc>
        <w:tc>
          <w:tcPr>
            <w:tcW w:w="2456" w:type="dxa"/>
            <w:tcBorders>
              <w:top w:val="single" w:sz="2" w:space="0" w:color="005577"/>
              <w:left w:val="nil"/>
              <w:bottom w:val="single" w:sz="2" w:space="0" w:color="005577"/>
              <w:right w:val="nil"/>
            </w:tcBorders>
          </w:tcPr>
          <w:p w:rsidR="00E46BBC" w:rsidRDefault="00822AD3" w:rsidP="00F20B31">
            <w:pPr>
              <w:pStyle w:val="TableParagraph"/>
              <w:ind w:right="45"/>
            </w:pPr>
            <w:r>
              <w:rPr>
                <w:w w:val="95"/>
              </w:rPr>
              <w:t>0</w:t>
            </w:r>
            <w:r>
              <w:rPr>
                <w:spacing w:val="-5"/>
                <w:w w:val="95"/>
              </w:rPr>
              <w:t>.1</w:t>
            </w:r>
            <w:r>
              <w:rPr>
                <w:w w:val="95"/>
              </w:rPr>
              <w:t>3</w:t>
            </w:r>
          </w:p>
        </w:tc>
      </w:tr>
      <w:tr w:rsidR="00E46BBC" w:rsidTr="000C7648">
        <w:trPr>
          <w:cantSplit/>
        </w:trPr>
        <w:tc>
          <w:tcPr>
            <w:tcW w:w="5481" w:type="dxa"/>
            <w:tcBorders>
              <w:top w:val="single" w:sz="2" w:space="0" w:color="005577"/>
              <w:left w:val="nil"/>
              <w:bottom w:val="single" w:sz="2" w:space="0" w:color="005577"/>
              <w:right w:val="nil"/>
            </w:tcBorders>
            <w:shd w:val="clear" w:color="auto" w:fill="CCDDE3"/>
          </w:tcPr>
          <w:p w:rsidR="00E46BBC" w:rsidRDefault="00822AD3" w:rsidP="00F20B31">
            <w:pPr>
              <w:pStyle w:val="TableParagraph"/>
              <w:ind w:right="45"/>
            </w:pPr>
            <w:r>
              <w:t>Establishment</w:t>
            </w:r>
            <w:r>
              <w:rPr>
                <w:spacing w:val="-5"/>
              </w:rPr>
              <w:t xml:space="preserve"> </w:t>
            </w:r>
            <w:r>
              <w:t>of</w:t>
            </w:r>
            <w:r>
              <w:rPr>
                <w:spacing w:val="-4"/>
              </w:rPr>
              <w:t xml:space="preserve"> </w:t>
            </w:r>
            <w:r>
              <w:t>the</w:t>
            </w:r>
            <w:r>
              <w:rPr>
                <w:spacing w:val="-4"/>
              </w:rPr>
              <w:t xml:space="preserve"> Youth </w:t>
            </w:r>
            <w:r>
              <w:t>Employment</w:t>
            </w:r>
            <w:r>
              <w:rPr>
                <w:spacing w:val="-4"/>
              </w:rPr>
              <w:t xml:space="preserve"> </w:t>
            </w:r>
            <w:r>
              <w:rPr>
                <w:spacing w:val="-3"/>
              </w:rPr>
              <w:t>P</w:t>
            </w:r>
            <w:r>
              <w:rPr>
                <w:spacing w:val="-4"/>
              </w:rPr>
              <w:t>a</w:t>
            </w:r>
            <w:r>
              <w:rPr>
                <w:spacing w:val="-3"/>
              </w:rPr>
              <w:t>thw</w:t>
            </w:r>
            <w:r>
              <w:rPr>
                <w:spacing w:val="-4"/>
              </w:rPr>
              <w:t>a</w:t>
            </w:r>
            <w:r>
              <w:rPr>
                <w:spacing w:val="-3"/>
              </w:rPr>
              <w:t>y</w:t>
            </w:r>
            <w:r>
              <w:rPr>
                <w:spacing w:val="-4"/>
              </w:rPr>
              <w:t xml:space="preserve">s </w:t>
            </w:r>
            <w:r>
              <w:t>Pilot</w:t>
            </w:r>
          </w:p>
        </w:tc>
        <w:tc>
          <w:tcPr>
            <w:tcW w:w="2456" w:type="dxa"/>
            <w:tcBorders>
              <w:top w:val="single" w:sz="2" w:space="0" w:color="005577"/>
              <w:left w:val="nil"/>
              <w:bottom w:val="single" w:sz="2" w:space="0" w:color="005577"/>
              <w:right w:val="nil"/>
            </w:tcBorders>
            <w:shd w:val="clear" w:color="auto" w:fill="CCDDE3"/>
          </w:tcPr>
          <w:p w:rsidR="00E46BBC" w:rsidRDefault="00822AD3" w:rsidP="00F20B31">
            <w:pPr>
              <w:pStyle w:val="TableParagraph"/>
              <w:ind w:right="45"/>
            </w:pPr>
            <w:r>
              <w:t>0.0</w:t>
            </w:r>
            <w:r>
              <w:rPr>
                <w:spacing w:val="-4"/>
              </w:rPr>
              <w:t>1</w:t>
            </w:r>
          </w:p>
        </w:tc>
      </w:tr>
    </w:tbl>
    <w:p w:rsidR="00E46BBC" w:rsidRDefault="00E46BBC" w:rsidP="00F20B31">
      <w:pPr>
        <w:ind w:right="45"/>
      </w:pPr>
    </w:p>
    <w:p w:rsidR="00700515" w:rsidRDefault="00700515">
      <w:pPr>
        <w:spacing w:before="0" w:line="240" w:lineRule="auto"/>
      </w:pPr>
      <w:r>
        <w:br w:type="page"/>
      </w:r>
    </w:p>
    <w:p w:rsidR="007E64D8" w:rsidRPr="00942E92" w:rsidRDefault="007E64D8" w:rsidP="00A50DA3">
      <w:pPr>
        <w:pStyle w:val="Heading2"/>
        <w:numPr>
          <w:ilvl w:val="0"/>
          <w:numId w:val="33"/>
        </w:numPr>
        <w:ind w:left="357" w:hanging="357"/>
        <w:rPr>
          <w:w w:val="110"/>
        </w:rPr>
      </w:pPr>
      <w:bookmarkStart w:id="176" w:name="_Toc414449059"/>
      <w:bookmarkStart w:id="177" w:name="_Toc414449116"/>
      <w:bookmarkStart w:id="178" w:name="_Toc414449284"/>
      <w:bookmarkStart w:id="179" w:name="_Toc414449460"/>
      <w:r w:rsidRPr="00700515">
        <w:lastRenderedPageBreak/>
        <w:t>Measures</w:t>
      </w:r>
      <w:r w:rsidRPr="007E64D8">
        <w:rPr>
          <w:w w:val="110"/>
        </w:rPr>
        <w:t xml:space="preserve"> Announced But Not Implemented in 2014</w:t>
      </w:r>
      <w:bookmarkEnd w:id="176"/>
      <w:bookmarkEnd w:id="177"/>
      <w:bookmarkEnd w:id="178"/>
      <w:bookmarkEnd w:id="17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contains three columns. It lists the Measures Announced but not implemented in 2014 followed by the cost/saving announced in millions of dollars followed by its current status."/>
      </w:tblPr>
      <w:tblGrid>
        <w:gridCol w:w="5920"/>
        <w:gridCol w:w="1559"/>
        <w:gridCol w:w="1763"/>
      </w:tblGrid>
      <w:tr w:rsidR="00700515" w:rsidRPr="00CB548D" w:rsidTr="000C7648">
        <w:trPr>
          <w:tblHeader/>
        </w:trPr>
        <w:tc>
          <w:tcPr>
            <w:tcW w:w="5920" w:type="dxa"/>
            <w:tcBorders>
              <w:bottom w:val="single" w:sz="4" w:space="0" w:color="005577"/>
            </w:tcBorders>
            <w:shd w:val="clear" w:color="auto" w:fill="005577"/>
            <w:vAlign w:val="center"/>
          </w:tcPr>
          <w:p w:rsidR="00700515" w:rsidRPr="00A8204B" w:rsidRDefault="00700515" w:rsidP="000C7648">
            <w:pPr>
              <w:rPr>
                <w:b/>
                <w:color w:val="FFFFFF" w:themeColor="background1"/>
              </w:rPr>
            </w:pPr>
            <w:r w:rsidRPr="00A8204B">
              <w:rPr>
                <w:b/>
                <w:color w:val="FFFFFF" w:themeColor="background1"/>
              </w:rPr>
              <w:t>Measures Announced but not Implemented in 2014</w:t>
            </w:r>
            <w:r w:rsidR="000C7648">
              <w:rPr>
                <w:rStyle w:val="FootnoteReference"/>
                <w:b/>
                <w:color w:val="FFFFFF" w:themeColor="background1"/>
              </w:rPr>
              <w:footnoteReference w:id="27"/>
            </w:r>
            <w:r w:rsidRPr="00A8204B">
              <w:rPr>
                <w:b/>
                <w:color w:val="FFFFFF" w:themeColor="background1"/>
              </w:rPr>
              <w:t>,</w:t>
            </w:r>
            <w:r w:rsidR="000C7648">
              <w:rPr>
                <w:rStyle w:val="FootnoteReference"/>
                <w:b/>
                <w:color w:val="FFFFFF" w:themeColor="background1"/>
              </w:rPr>
              <w:footnoteReference w:id="28"/>
            </w:r>
          </w:p>
        </w:tc>
        <w:tc>
          <w:tcPr>
            <w:tcW w:w="1559" w:type="dxa"/>
            <w:tcBorders>
              <w:bottom w:val="single" w:sz="4" w:space="0" w:color="005577"/>
            </w:tcBorders>
            <w:shd w:val="clear" w:color="auto" w:fill="005577"/>
            <w:vAlign w:val="center"/>
          </w:tcPr>
          <w:p w:rsidR="00700515" w:rsidRPr="00A8204B" w:rsidRDefault="00700515" w:rsidP="00A8204B">
            <w:pPr>
              <w:rPr>
                <w:b/>
                <w:color w:val="FFFFFF" w:themeColor="background1"/>
              </w:rPr>
            </w:pPr>
            <w:r w:rsidRPr="00A8204B">
              <w:rPr>
                <w:b/>
                <w:color w:val="FFFFFF" w:themeColor="background1"/>
              </w:rPr>
              <w:t>Cost / saving</w:t>
            </w:r>
            <w:r w:rsidR="00A8204B" w:rsidRPr="00A8204B">
              <w:rPr>
                <w:b/>
                <w:color w:val="FFFFFF" w:themeColor="background1"/>
              </w:rPr>
              <w:br/>
            </w:r>
            <w:r w:rsidRPr="00A8204B">
              <w:rPr>
                <w:b/>
                <w:color w:val="FFFFFF" w:themeColor="background1"/>
              </w:rPr>
              <w:t xml:space="preserve"> announced </w:t>
            </w:r>
            <w:r w:rsidR="00A8204B" w:rsidRPr="00A8204B">
              <w:rPr>
                <w:b/>
                <w:color w:val="FFFFFF" w:themeColor="background1"/>
              </w:rPr>
              <w:br/>
            </w:r>
            <w:r w:rsidRPr="00A8204B">
              <w:rPr>
                <w:b/>
                <w:color w:val="FFFFFF" w:themeColor="background1"/>
              </w:rPr>
              <w:t xml:space="preserve">$ million </w:t>
            </w:r>
          </w:p>
        </w:tc>
        <w:tc>
          <w:tcPr>
            <w:tcW w:w="1763" w:type="dxa"/>
            <w:tcBorders>
              <w:bottom w:val="single" w:sz="4" w:space="0" w:color="005577"/>
            </w:tcBorders>
            <w:shd w:val="clear" w:color="auto" w:fill="005577"/>
            <w:vAlign w:val="center"/>
          </w:tcPr>
          <w:p w:rsidR="00700515" w:rsidRPr="00A8204B" w:rsidRDefault="00700515" w:rsidP="00A8204B">
            <w:pPr>
              <w:rPr>
                <w:b/>
                <w:color w:val="FFFFFF" w:themeColor="background1"/>
              </w:rPr>
            </w:pPr>
            <w:r w:rsidRPr="00A8204B">
              <w:rPr>
                <w:b/>
                <w:color w:val="FFFFFF" w:themeColor="background1"/>
              </w:rPr>
              <w:t xml:space="preserve">Status </w:t>
            </w:r>
          </w:p>
        </w:tc>
      </w:tr>
      <w:tr w:rsidR="00700515" w:rsidRPr="00CB548D" w:rsidTr="000C7648">
        <w:tc>
          <w:tcPr>
            <w:tcW w:w="5920" w:type="dxa"/>
            <w:tcBorders>
              <w:top w:val="single" w:sz="4" w:space="0" w:color="005577"/>
              <w:bottom w:val="single" w:sz="4" w:space="0" w:color="005577"/>
            </w:tcBorders>
          </w:tcPr>
          <w:p w:rsidR="00A8204B" w:rsidRPr="00A8204B" w:rsidRDefault="00A8204B" w:rsidP="00A8204B">
            <w:pPr>
              <w:rPr>
                <w:b/>
              </w:rPr>
            </w:pPr>
            <w:r w:rsidRPr="00A8204B">
              <w:rPr>
                <w:b/>
              </w:rPr>
              <w:t xml:space="preserve">Reforming Australian Apprenticeships Support Services </w:t>
            </w:r>
          </w:p>
          <w:p w:rsidR="00700515" w:rsidRPr="00CB548D" w:rsidRDefault="00700515" w:rsidP="00A8204B">
            <w:r w:rsidRPr="00CB548D">
              <w:t xml:space="preserve">The Request for Tender process to appoint new network providers is currently underway. The network will commence operations on 1 July 2015. </w:t>
            </w:r>
          </w:p>
        </w:tc>
        <w:tc>
          <w:tcPr>
            <w:tcW w:w="1559" w:type="dxa"/>
            <w:tcBorders>
              <w:top w:val="single" w:sz="4" w:space="0" w:color="005577"/>
              <w:bottom w:val="single" w:sz="4" w:space="0" w:color="005577"/>
            </w:tcBorders>
          </w:tcPr>
          <w:p w:rsidR="00700515" w:rsidRPr="00CB548D" w:rsidRDefault="00700515" w:rsidP="00A8204B">
            <w:r w:rsidRPr="00CB548D">
              <w:t>-17.00</w:t>
            </w:r>
          </w:p>
        </w:tc>
        <w:tc>
          <w:tcPr>
            <w:tcW w:w="1763" w:type="dxa"/>
            <w:tcBorders>
              <w:top w:val="single" w:sz="4" w:space="0" w:color="005577"/>
              <w:bottom w:val="single" w:sz="4" w:space="0" w:color="005577"/>
            </w:tcBorders>
          </w:tcPr>
          <w:p w:rsidR="00700515" w:rsidRPr="00CB548D" w:rsidRDefault="00700515" w:rsidP="00700515">
            <w:r w:rsidRPr="00CB548D">
              <w:t xml:space="preserve">Partially implemented </w:t>
            </w:r>
          </w:p>
        </w:tc>
      </w:tr>
      <w:tr w:rsidR="00700515" w:rsidRPr="00CB548D" w:rsidTr="000C7648">
        <w:tc>
          <w:tcPr>
            <w:tcW w:w="5920" w:type="dxa"/>
            <w:tcBorders>
              <w:top w:val="single" w:sz="4" w:space="0" w:color="005577"/>
              <w:bottom w:val="single" w:sz="4" w:space="0" w:color="005577"/>
            </w:tcBorders>
            <w:shd w:val="clear" w:color="auto" w:fill="CCDDE3"/>
          </w:tcPr>
          <w:p w:rsidR="00A8204B" w:rsidRDefault="00A8204B" w:rsidP="00700515">
            <w:r w:rsidRPr="00A8204B">
              <w:rPr>
                <w:b/>
              </w:rPr>
              <w:t>Ethanol Production Grants – closure</w:t>
            </w:r>
            <w:r w:rsidR="000C7648">
              <w:rPr>
                <w:rStyle w:val="FootnoteReference"/>
                <w:b/>
              </w:rPr>
              <w:footnoteReference w:id="29"/>
            </w:r>
          </w:p>
          <w:p w:rsidR="00700515" w:rsidRPr="00CB548D" w:rsidRDefault="00700515" w:rsidP="00700515">
            <w:r w:rsidRPr="00CB548D">
              <w:t xml:space="preserve">The Ethanol Production Grants programme will terminate on 30 June 2015. </w:t>
            </w:r>
          </w:p>
        </w:tc>
        <w:tc>
          <w:tcPr>
            <w:tcW w:w="1559" w:type="dxa"/>
            <w:tcBorders>
              <w:top w:val="single" w:sz="4" w:space="0" w:color="005577"/>
              <w:bottom w:val="single" w:sz="4" w:space="0" w:color="005577"/>
            </w:tcBorders>
            <w:shd w:val="clear" w:color="auto" w:fill="CCDDE3"/>
          </w:tcPr>
          <w:p w:rsidR="00700515" w:rsidRPr="00CB548D" w:rsidRDefault="00700515" w:rsidP="00700515">
            <w:r w:rsidRPr="00CB548D">
              <w:t xml:space="preserve">0.00 </w:t>
            </w:r>
          </w:p>
        </w:tc>
        <w:tc>
          <w:tcPr>
            <w:tcW w:w="1763" w:type="dxa"/>
            <w:tcBorders>
              <w:top w:val="single" w:sz="4" w:space="0" w:color="005577"/>
              <w:bottom w:val="single" w:sz="4" w:space="0" w:color="005577"/>
            </w:tcBorders>
            <w:shd w:val="clear" w:color="auto" w:fill="CCDDE3"/>
          </w:tcPr>
          <w:p w:rsidR="00700515" w:rsidRPr="00CB548D" w:rsidRDefault="00700515" w:rsidP="00700515">
            <w:r w:rsidRPr="00CB548D">
              <w:t xml:space="preserve">Partially implemented </w:t>
            </w:r>
          </w:p>
        </w:tc>
      </w:tr>
      <w:tr w:rsidR="00700515" w:rsidRPr="00CB548D" w:rsidTr="000C7648">
        <w:tc>
          <w:tcPr>
            <w:tcW w:w="5920" w:type="dxa"/>
            <w:tcBorders>
              <w:top w:val="single" w:sz="4" w:space="0" w:color="005577"/>
              <w:bottom w:val="single" w:sz="4" w:space="0" w:color="005577"/>
            </w:tcBorders>
          </w:tcPr>
          <w:p w:rsidR="00A8204B" w:rsidRPr="00A8204B" w:rsidRDefault="00A8204B" w:rsidP="00700515">
            <w:pPr>
              <w:rPr>
                <w:b/>
              </w:rPr>
            </w:pPr>
            <w:r w:rsidRPr="00A8204B">
              <w:rPr>
                <w:b/>
              </w:rPr>
              <w:t>Moving towards repealing the Australian Renewable Energy Agency (ARENA)</w:t>
            </w:r>
          </w:p>
          <w:p w:rsidR="00700515" w:rsidRPr="00CB548D" w:rsidRDefault="00700515" w:rsidP="00700515">
            <w:r w:rsidRPr="00CB548D">
              <w:t xml:space="preserve">Australian Renewable Energy Agency (Repeal) Bill 2014 is currently before the Senate. </w:t>
            </w:r>
          </w:p>
        </w:tc>
        <w:tc>
          <w:tcPr>
            <w:tcW w:w="1559" w:type="dxa"/>
            <w:tcBorders>
              <w:top w:val="single" w:sz="4" w:space="0" w:color="005577"/>
              <w:bottom w:val="single" w:sz="4" w:space="0" w:color="005577"/>
            </w:tcBorders>
          </w:tcPr>
          <w:p w:rsidR="00700515" w:rsidRPr="00CB548D" w:rsidRDefault="00700515" w:rsidP="00700515">
            <w:r w:rsidRPr="00CB548D">
              <w:t xml:space="preserve">-1.80 </w:t>
            </w:r>
          </w:p>
        </w:tc>
        <w:tc>
          <w:tcPr>
            <w:tcW w:w="1763" w:type="dxa"/>
            <w:tcBorders>
              <w:top w:val="single" w:sz="4" w:space="0" w:color="005577"/>
              <w:bottom w:val="single" w:sz="4" w:space="0" w:color="005577"/>
            </w:tcBorders>
          </w:tcPr>
          <w:p w:rsidR="00700515" w:rsidRPr="00CB548D" w:rsidRDefault="00700515" w:rsidP="00700515">
            <w:r w:rsidRPr="00CB548D">
              <w:t xml:space="preserve">Before the Senate </w:t>
            </w:r>
          </w:p>
        </w:tc>
      </w:tr>
      <w:tr w:rsidR="00700515" w:rsidRPr="00CB548D" w:rsidTr="000C7648">
        <w:tc>
          <w:tcPr>
            <w:tcW w:w="5920" w:type="dxa"/>
            <w:tcBorders>
              <w:top w:val="single" w:sz="4" w:space="0" w:color="005577"/>
              <w:bottom w:val="single" w:sz="4" w:space="0" w:color="005577"/>
            </w:tcBorders>
            <w:shd w:val="clear" w:color="auto" w:fill="CCDDE3"/>
          </w:tcPr>
          <w:p w:rsidR="00A8204B" w:rsidRPr="00A8204B" w:rsidRDefault="00A8204B" w:rsidP="00700515">
            <w:pPr>
              <w:rPr>
                <w:b/>
              </w:rPr>
            </w:pPr>
            <w:r w:rsidRPr="00A8204B">
              <w:rPr>
                <w:b/>
              </w:rPr>
              <w:t xml:space="preserve">Introduction of the Australian Apprenticeships Management System </w:t>
            </w:r>
          </w:p>
          <w:p w:rsidR="00700515" w:rsidRPr="00CB548D" w:rsidRDefault="00700515" w:rsidP="00700515">
            <w:r w:rsidRPr="00CB548D">
              <w:t xml:space="preserve">The Australian Government will soon be calling for tenders to deploy modern online services to automate many of the current manual and paper based processes. </w:t>
            </w:r>
          </w:p>
        </w:tc>
        <w:tc>
          <w:tcPr>
            <w:tcW w:w="1559" w:type="dxa"/>
            <w:tcBorders>
              <w:top w:val="single" w:sz="4" w:space="0" w:color="005577"/>
              <w:bottom w:val="single" w:sz="4" w:space="0" w:color="005577"/>
            </w:tcBorders>
            <w:shd w:val="clear" w:color="auto" w:fill="CCDDE3"/>
          </w:tcPr>
          <w:p w:rsidR="00700515" w:rsidRPr="00CB548D" w:rsidRDefault="00700515" w:rsidP="00700515">
            <w:r w:rsidRPr="00CB548D">
              <w:t xml:space="preserve">-2.11 </w:t>
            </w:r>
          </w:p>
        </w:tc>
        <w:tc>
          <w:tcPr>
            <w:tcW w:w="1763" w:type="dxa"/>
            <w:tcBorders>
              <w:top w:val="single" w:sz="4" w:space="0" w:color="005577"/>
              <w:bottom w:val="single" w:sz="4" w:space="0" w:color="005577"/>
            </w:tcBorders>
            <w:shd w:val="clear" w:color="auto" w:fill="CCDDE3"/>
          </w:tcPr>
          <w:p w:rsidR="00700515" w:rsidRPr="00CB548D" w:rsidRDefault="00700515" w:rsidP="00700515">
            <w:r w:rsidRPr="00CB548D">
              <w:t xml:space="preserve">Partially implemented </w:t>
            </w:r>
          </w:p>
        </w:tc>
      </w:tr>
      <w:tr w:rsidR="00700515" w:rsidRPr="00CB548D" w:rsidTr="000C7648">
        <w:tc>
          <w:tcPr>
            <w:tcW w:w="5920" w:type="dxa"/>
            <w:tcBorders>
              <w:top w:val="single" w:sz="4" w:space="0" w:color="005577"/>
              <w:bottom w:val="single" w:sz="4" w:space="0" w:color="005577"/>
            </w:tcBorders>
          </w:tcPr>
          <w:p w:rsidR="00A8204B" w:rsidRPr="00A8204B" w:rsidRDefault="00A8204B" w:rsidP="00700515">
            <w:pPr>
              <w:rPr>
                <w:b/>
              </w:rPr>
            </w:pPr>
            <w:r w:rsidRPr="00A8204B">
              <w:rPr>
                <w:b/>
              </w:rPr>
              <w:t>Textile Clothing and Footwear Structural Ad</w:t>
            </w:r>
            <w:r w:rsidR="000C7648">
              <w:rPr>
                <w:b/>
              </w:rPr>
              <w:t>justment Programme – closure</w:t>
            </w:r>
            <w:r w:rsidR="000C7648">
              <w:rPr>
                <w:rStyle w:val="FootnoteReference"/>
                <w:b/>
              </w:rPr>
              <w:footnoteReference w:id="30"/>
            </w:r>
          </w:p>
          <w:p w:rsidR="00700515" w:rsidRPr="00CB548D" w:rsidRDefault="00700515" w:rsidP="00700515">
            <w:r w:rsidRPr="00CB548D">
              <w:t xml:space="preserve">The Textile Clothing and Footwear Structural Adjustment Programme is scheduled to terminate on 30 June 2015. </w:t>
            </w:r>
          </w:p>
        </w:tc>
        <w:tc>
          <w:tcPr>
            <w:tcW w:w="1559" w:type="dxa"/>
            <w:tcBorders>
              <w:top w:val="single" w:sz="4" w:space="0" w:color="005577"/>
              <w:bottom w:val="single" w:sz="4" w:space="0" w:color="005577"/>
            </w:tcBorders>
          </w:tcPr>
          <w:p w:rsidR="00700515" w:rsidRPr="00CB548D" w:rsidRDefault="00700515" w:rsidP="00700515">
            <w:r w:rsidRPr="00CB548D">
              <w:t xml:space="preserve">0.00 </w:t>
            </w:r>
          </w:p>
        </w:tc>
        <w:tc>
          <w:tcPr>
            <w:tcW w:w="1763" w:type="dxa"/>
            <w:tcBorders>
              <w:top w:val="single" w:sz="4" w:space="0" w:color="005577"/>
              <w:bottom w:val="single" w:sz="4" w:space="0" w:color="005577"/>
            </w:tcBorders>
          </w:tcPr>
          <w:p w:rsidR="00700515" w:rsidRPr="00CB548D" w:rsidRDefault="00700515" w:rsidP="00700515">
            <w:r w:rsidRPr="00CB548D">
              <w:t xml:space="preserve">Partially implemented </w:t>
            </w:r>
          </w:p>
        </w:tc>
      </w:tr>
      <w:tr w:rsidR="00700515" w:rsidRPr="00CB548D" w:rsidTr="000C7648">
        <w:tc>
          <w:tcPr>
            <w:tcW w:w="5920" w:type="dxa"/>
            <w:tcBorders>
              <w:top w:val="single" w:sz="4" w:space="0" w:color="005577"/>
              <w:bottom w:val="single" w:sz="4" w:space="0" w:color="005577"/>
            </w:tcBorders>
            <w:shd w:val="clear" w:color="auto" w:fill="CCDDE3"/>
          </w:tcPr>
          <w:p w:rsidR="00A8204B" w:rsidRPr="00A8204B" w:rsidRDefault="00A8204B" w:rsidP="00700515">
            <w:pPr>
              <w:rPr>
                <w:b/>
              </w:rPr>
            </w:pPr>
            <w:r w:rsidRPr="00A8204B">
              <w:rPr>
                <w:b/>
              </w:rPr>
              <w:t>Textile, Clothing and Footwear - Small Business Programme – closure</w:t>
            </w:r>
          </w:p>
          <w:p w:rsidR="00700515" w:rsidRPr="00CB548D" w:rsidRDefault="00700515" w:rsidP="00700515">
            <w:r w:rsidRPr="00CB548D">
              <w:t xml:space="preserve">The Government announced in the 2014–15 Budget that it will cease the Textile Clothing and Footwear - Small Business Programme one year earlier than expected. The programme is closed to new applicants. </w:t>
            </w:r>
          </w:p>
        </w:tc>
        <w:tc>
          <w:tcPr>
            <w:tcW w:w="1559" w:type="dxa"/>
            <w:tcBorders>
              <w:top w:val="single" w:sz="4" w:space="0" w:color="005577"/>
              <w:bottom w:val="single" w:sz="4" w:space="0" w:color="005577"/>
            </w:tcBorders>
            <w:shd w:val="clear" w:color="auto" w:fill="CCDDE3"/>
          </w:tcPr>
          <w:p w:rsidR="00700515" w:rsidRPr="00CB548D" w:rsidRDefault="00700515" w:rsidP="00700515">
            <w:r w:rsidRPr="00CB548D">
              <w:t xml:space="preserve">-0.20 </w:t>
            </w:r>
          </w:p>
        </w:tc>
        <w:tc>
          <w:tcPr>
            <w:tcW w:w="1763" w:type="dxa"/>
            <w:tcBorders>
              <w:top w:val="single" w:sz="4" w:space="0" w:color="005577"/>
              <w:bottom w:val="single" w:sz="4" w:space="0" w:color="005577"/>
            </w:tcBorders>
            <w:shd w:val="clear" w:color="auto" w:fill="CCDDE3"/>
          </w:tcPr>
          <w:p w:rsidR="00700515" w:rsidRPr="00CB548D" w:rsidRDefault="00700515" w:rsidP="00700515">
            <w:r w:rsidRPr="00CB548D">
              <w:t xml:space="preserve">Before the Senate </w:t>
            </w:r>
          </w:p>
        </w:tc>
      </w:tr>
      <w:tr w:rsidR="00700515" w:rsidRPr="00CB548D" w:rsidTr="000C7648">
        <w:tc>
          <w:tcPr>
            <w:tcW w:w="5920" w:type="dxa"/>
            <w:tcBorders>
              <w:top w:val="single" w:sz="4" w:space="0" w:color="005577"/>
              <w:bottom w:val="single" w:sz="4" w:space="0" w:color="005577"/>
            </w:tcBorders>
          </w:tcPr>
          <w:p w:rsidR="00A8204B" w:rsidRPr="00A8204B" w:rsidRDefault="00A8204B" w:rsidP="00700515">
            <w:pPr>
              <w:rPr>
                <w:b/>
              </w:rPr>
            </w:pPr>
            <w:r w:rsidRPr="00A8204B">
              <w:rPr>
                <w:b/>
              </w:rPr>
              <w:t xml:space="preserve">Closure of the Clothing and Household Textile Building Innovative Capability Scheme </w:t>
            </w:r>
          </w:p>
          <w:p w:rsidR="00700515" w:rsidRPr="00CB548D" w:rsidRDefault="00700515" w:rsidP="00700515">
            <w:r w:rsidRPr="00CB548D">
              <w:t xml:space="preserve">The necessary amending legislation is awaiting debate in the Senate. </w:t>
            </w:r>
          </w:p>
        </w:tc>
        <w:tc>
          <w:tcPr>
            <w:tcW w:w="1559" w:type="dxa"/>
            <w:tcBorders>
              <w:top w:val="single" w:sz="4" w:space="0" w:color="005577"/>
              <w:bottom w:val="single" w:sz="4" w:space="0" w:color="005577"/>
            </w:tcBorders>
          </w:tcPr>
          <w:p w:rsidR="00700515" w:rsidRPr="00CB548D" w:rsidRDefault="00700515" w:rsidP="00700515">
            <w:r w:rsidRPr="00CB548D">
              <w:t xml:space="preserve">-1.91 </w:t>
            </w:r>
          </w:p>
        </w:tc>
        <w:tc>
          <w:tcPr>
            <w:tcW w:w="1763" w:type="dxa"/>
            <w:tcBorders>
              <w:top w:val="single" w:sz="4" w:space="0" w:color="005577"/>
              <w:bottom w:val="single" w:sz="4" w:space="0" w:color="005577"/>
            </w:tcBorders>
          </w:tcPr>
          <w:p w:rsidR="00700515" w:rsidRPr="00CB548D" w:rsidRDefault="00700515" w:rsidP="00700515">
            <w:r w:rsidRPr="00CB548D">
              <w:t xml:space="preserve">Before the Senate </w:t>
            </w:r>
          </w:p>
        </w:tc>
      </w:tr>
      <w:tr w:rsidR="00700515" w:rsidTr="000C7648">
        <w:tc>
          <w:tcPr>
            <w:tcW w:w="5920" w:type="dxa"/>
            <w:tcBorders>
              <w:top w:val="single" w:sz="4" w:space="0" w:color="005577"/>
              <w:bottom w:val="single" w:sz="4" w:space="0" w:color="005577"/>
            </w:tcBorders>
            <w:shd w:val="clear" w:color="auto" w:fill="CCDDE3"/>
          </w:tcPr>
          <w:p w:rsidR="00A8204B" w:rsidRPr="00A8204B" w:rsidRDefault="00A8204B" w:rsidP="00700515">
            <w:pPr>
              <w:rPr>
                <w:b/>
              </w:rPr>
            </w:pPr>
            <w:r w:rsidRPr="00A8204B">
              <w:rPr>
                <w:b/>
              </w:rPr>
              <w:t xml:space="preserve">Strengthening Australia’s Anti-dumping System </w:t>
            </w:r>
          </w:p>
          <w:p w:rsidR="00700515" w:rsidRPr="00CB548D" w:rsidRDefault="00700515" w:rsidP="00700515">
            <w:r w:rsidRPr="00CB548D">
              <w:t xml:space="preserve">The Customs Amendment (Anti-dumping Measures) Bill (No. 1) 2015 and the Customs Tariff (Anti-Dumping) Amendment Bill 2015 is currently before the House of Representatives. </w:t>
            </w:r>
          </w:p>
        </w:tc>
        <w:tc>
          <w:tcPr>
            <w:tcW w:w="1559" w:type="dxa"/>
            <w:tcBorders>
              <w:top w:val="single" w:sz="4" w:space="0" w:color="005577"/>
              <w:bottom w:val="single" w:sz="4" w:space="0" w:color="005577"/>
            </w:tcBorders>
            <w:shd w:val="clear" w:color="auto" w:fill="CCDDE3"/>
          </w:tcPr>
          <w:p w:rsidR="00700515" w:rsidRPr="00CB548D" w:rsidRDefault="00700515" w:rsidP="00700515">
            <w:r w:rsidRPr="00CB548D">
              <w:t xml:space="preserve">-0.10 </w:t>
            </w:r>
          </w:p>
        </w:tc>
        <w:tc>
          <w:tcPr>
            <w:tcW w:w="1763" w:type="dxa"/>
            <w:tcBorders>
              <w:top w:val="single" w:sz="4" w:space="0" w:color="005577"/>
              <w:bottom w:val="single" w:sz="4" w:space="0" w:color="005577"/>
            </w:tcBorders>
            <w:shd w:val="clear" w:color="auto" w:fill="CCDDE3"/>
          </w:tcPr>
          <w:p w:rsidR="00700515" w:rsidRDefault="00700515" w:rsidP="00700515">
            <w:r w:rsidRPr="00CB548D">
              <w:t>Before the House of Representatives</w:t>
            </w:r>
          </w:p>
        </w:tc>
      </w:tr>
    </w:tbl>
    <w:p w:rsidR="00700515" w:rsidRDefault="00700515" w:rsidP="00F20B31">
      <w:pPr>
        <w:ind w:right="45"/>
      </w:pPr>
    </w:p>
    <w:p w:rsidR="00700515" w:rsidRDefault="00700515">
      <w:pPr>
        <w:spacing w:before="0" w:line="240" w:lineRule="auto"/>
      </w:pPr>
      <w:r>
        <w:br w:type="page"/>
      </w:r>
    </w:p>
    <w:p w:rsidR="00E46BBC" w:rsidRPr="00700515" w:rsidRDefault="00822AD3" w:rsidP="00A50DA3">
      <w:pPr>
        <w:pStyle w:val="Heading1"/>
        <w:rPr>
          <w:rFonts w:cs="Palatino Linotype"/>
        </w:rPr>
      </w:pPr>
      <w:bookmarkStart w:id="180" w:name="_Toc414449060"/>
      <w:bookmarkStart w:id="181" w:name="_Toc414449117"/>
      <w:bookmarkStart w:id="182" w:name="_Toc414449285"/>
      <w:bookmarkStart w:id="183" w:name="_Toc414449461"/>
      <w:r>
        <w:rPr>
          <w:spacing w:val="-3"/>
          <w:w w:val="105"/>
        </w:rPr>
        <w:lastRenderedPageBreak/>
        <w:t>A</w:t>
      </w:r>
      <w:r>
        <w:rPr>
          <w:w w:val="105"/>
        </w:rPr>
        <w:t>ppendix</w:t>
      </w:r>
      <w:r>
        <w:rPr>
          <w:spacing w:val="-70"/>
          <w:w w:val="105"/>
        </w:rPr>
        <w:t xml:space="preserve"> </w:t>
      </w:r>
      <w:r>
        <w:rPr>
          <w:w w:val="105"/>
        </w:rPr>
        <w:t>D:</w:t>
      </w:r>
      <w:r w:rsidR="00700515">
        <w:rPr>
          <w:w w:val="105"/>
        </w:rPr>
        <w:br/>
      </w:r>
      <w:r w:rsidRPr="00700515">
        <w:rPr>
          <w:spacing w:val="-2"/>
          <w:w w:val="105"/>
        </w:rPr>
        <w:t>L</w:t>
      </w:r>
      <w:r w:rsidRPr="00700515">
        <w:rPr>
          <w:w w:val="105"/>
        </w:rPr>
        <w:t>egislation</w:t>
      </w:r>
      <w:r w:rsidRPr="00700515">
        <w:rPr>
          <w:spacing w:val="100"/>
          <w:w w:val="105"/>
        </w:rPr>
        <w:t xml:space="preserve"> </w:t>
      </w:r>
      <w:r w:rsidRPr="00700515">
        <w:rPr>
          <w:w w:val="105"/>
        </w:rPr>
        <w:t>administered</w:t>
      </w:r>
      <w:bookmarkEnd w:id="180"/>
      <w:bookmarkEnd w:id="181"/>
      <w:bookmarkEnd w:id="182"/>
      <w:bookmarkEnd w:id="183"/>
    </w:p>
    <w:p w:rsidR="00E46BBC" w:rsidRPr="00700515" w:rsidRDefault="00822AD3" w:rsidP="00700515">
      <w:pPr>
        <w:rPr>
          <w:b/>
        </w:rPr>
      </w:pPr>
      <w:r w:rsidRPr="00700515">
        <w:rPr>
          <w:b/>
        </w:rPr>
        <w:t>LEGISLATION ADMINISTERED BY THE MINISTER FOR INDUSTRY IN 2014</w:t>
      </w:r>
    </w:p>
    <w:p w:rsidR="00E46BBC" w:rsidRPr="00F20B31" w:rsidRDefault="00822AD3" w:rsidP="00A50DA3">
      <w:pPr>
        <w:pStyle w:val="ListParagraph"/>
        <w:numPr>
          <w:ilvl w:val="0"/>
          <w:numId w:val="32"/>
        </w:numPr>
        <w:spacing w:line="360" w:lineRule="auto"/>
        <w:ind w:left="714" w:hanging="357"/>
        <w:contextualSpacing/>
      </w:pPr>
      <w:r w:rsidRPr="00F20B31">
        <w:t>ACIS Administration Act 1999</w:t>
      </w:r>
    </w:p>
    <w:p w:rsidR="00E46BBC" w:rsidRPr="00F20B31" w:rsidRDefault="00822AD3" w:rsidP="00A50DA3">
      <w:pPr>
        <w:pStyle w:val="ListParagraph"/>
        <w:numPr>
          <w:ilvl w:val="0"/>
          <w:numId w:val="32"/>
        </w:numPr>
        <w:spacing w:before="0" w:line="360" w:lineRule="auto"/>
        <w:contextualSpacing/>
      </w:pPr>
      <w:r w:rsidRPr="00F20B31">
        <w:t>ACIS (Unearned Credit Liability) Act 1999</w:t>
      </w:r>
    </w:p>
    <w:p w:rsidR="00E46BBC" w:rsidRPr="00F20B31" w:rsidRDefault="00822AD3" w:rsidP="00A50DA3">
      <w:pPr>
        <w:pStyle w:val="ListParagraph"/>
        <w:numPr>
          <w:ilvl w:val="0"/>
          <w:numId w:val="32"/>
        </w:numPr>
        <w:spacing w:before="0" w:line="360" w:lineRule="auto"/>
        <w:contextualSpacing/>
      </w:pPr>
      <w:r w:rsidRPr="00F20B31">
        <w:t>Advance Australia Logo Protection Act 1984</w:t>
      </w:r>
    </w:p>
    <w:p w:rsidR="00E46BBC" w:rsidRPr="00F20B31" w:rsidRDefault="00822AD3" w:rsidP="00A50DA3">
      <w:pPr>
        <w:pStyle w:val="ListParagraph"/>
        <w:numPr>
          <w:ilvl w:val="0"/>
          <w:numId w:val="32"/>
        </w:numPr>
        <w:spacing w:before="0" w:line="360" w:lineRule="auto"/>
        <w:contextualSpacing/>
      </w:pPr>
      <w:r w:rsidRPr="00F20B31">
        <w:t>Atomic Energy Act 1953</w:t>
      </w:r>
    </w:p>
    <w:p w:rsidR="00E46BBC" w:rsidRPr="00F20B31" w:rsidRDefault="00822AD3" w:rsidP="00A50DA3">
      <w:pPr>
        <w:pStyle w:val="ListParagraph"/>
        <w:numPr>
          <w:ilvl w:val="0"/>
          <w:numId w:val="32"/>
        </w:numPr>
        <w:spacing w:before="0" w:line="360" w:lineRule="auto"/>
        <w:contextualSpacing/>
      </w:pPr>
      <w:r w:rsidRPr="00F20B31">
        <w:t>Australian Astronomical Observatory Act 2010</w:t>
      </w:r>
    </w:p>
    <w:p w:rsidR="00E46BBC" w:rsidRPr="00F20B31" w:rsidRDefault="00822AD3" w:rsidP="00A50DA3">
      <w:pPr>
        <w:pStyle w:val="ListParagraph"/>
        <w:numPr>
          <w:ilvl w:val="0"/>
          <w:numId w:val="32"/>
        </w:numPr>
        <w:spacing w:before="0" w:line="360" w:lineRule="auto"/>
        <w:contextualSpacing/>
      </w:pPr>
      <w:r w:rsidRPr="00F20B31">
        <w:t>Australian Astronomical Observatory (Transitional Provisions) Act 2010</w:t>
      </w:r>
    </w:p>
    <w:p w:rsidR="00E46BBC" w:rsidRPr="00F20B31" w:rsidRDefault="00822AD3" w:rsidP="00A50DA3">
      <w:pPr>
        <w:pStyle w:val="ListParagraph"/>
        <w:numPr>
          <w:ilvl w:val="0"/>
          <w:numId w:val="32"/>
        </w:numPr>
        <w:spacing w:before="0" w:line="360" w:lineRule="auto"/>
        <w:contextualSpacing/>
      </w:pPr>
      <w:r w:rsidRPr="00F20B31">
        <w:t>Australian Energy Market Act 2004</w:t>
      </w:r>
    </w:p>
    <w:p w:rsidR="00E46BBC" w:rsidRPr="00F20B31" w:rsidRDefault="00822AD3" w:rsidP="00A50DA3">
      <w:pPr>
        <w:pStyle w:val="ListParagraph"/>
        <w:numPr>
          <w:ilvl w:val="0"/>
          <w:numId w:val="32"/>
        </w:numPr>
        <w:spacing w:before="0" w:line="360" w:lineRule="auto"/>
        <w:contextualSpacing/>
      </w:pPr>
      <w:r w:rsidRPr="00F20B31">
        <w:t>Australian Institute of Marine Science Act 1972</w:t>
      </w:r>
    </w:p>
    <w:p w:rsidR="00E46BBC" w:rsidRPr="00F20B31" w:rsidRDefault="00822AD3" w:rsidP="00A50DA3">
      <w:pPr>
        <w:pStyle w:val="ListParagraph"/>
        <w:numPr>
          <w:ilvl w:val="0"/>
          <w:numId w:val="32"/>
        </w:numPr>
        <w:spacing w:before="0" w:line="360" w:lineRule="auto"/>
        <w:contextualSpacing/>
      </w:pPr>
      <w:r w:rsidRPr="00F20B31">
        <w:t>Australian Jobs Act 2013</w:t>
      </w:r>
    </w:p>
    <w:p w:rsidR="00E46BBC" w:rsidRPr="00F20B31" w:rsidRDefault="00822AD3" w:rsidP="00A50DA3">
      <w:pPr>
        <w:pStyle w:val="ListParagraph"/>
        <w:numPr>
          <w:ilvl w:val="0"/>
          <w:numId w:val="32"/>
        </w:numPr>
        <w:spacing w:before="0" w:line="360" w:lineRule="auto"/>
        <w:contextualSpacing/>
      </w:pPr>
      <w:r w:rsidRPr="00F20B31">
        <w:t>Australian Nuclear Science and Technology Organisation Act 1987</w:t>
      </w:r>
    </w:p>
    <w:p w:rsidR="00E46BBC" w:rsidRPr="00F20B31" w:rsidRDefault="00822AD3" w:rsidP="00A50DA3">
      <w:pPr>
        <w:pStyle w:val="ListParagraph"/>
        <w:numPr>
          <w:ilvl w:val="0"/>
          <w:numId w:val="32"/>
        </w:numPr>
        <w:spacing w:before="0" w:line="360" w:lineRule="auto"/>
        <w:contextualSpacing/>
      </w:pPr>
      <w:r w:rsidRPr="00F20B31">
        <w:t>Australian Nuclear Science and Technology Organisation (Transitional Provisions) Act 1987</w:t>
      </w:r>
    </w:p>
    <w:p w:rsidR="00E46BBC" w:rsidRPr="00F20B31" w:rsidRDefault="00822AD3" w:rsidP="00A50DA3">
      <w:pPr>
        <w:pStyle w:val="ListParagraph"/>
        <w:numPr>
          <w:ilvl w:val="0"/>
          <w:numId w:val="32"/>
        </w:numPr>
        <w:spacing w:before="0" w:line="360" w:lineRule="auto"/>
        <w:contextualSpacing/>
      </w:pPr>
      <w:r w:rsidRPr="00F20B31">
        <w:t>Australian Renewable Energy Agency Act 2011</w:t>
      </w:r>
    </w:p>
    <w:p w:rsidR="00E46BBC" w:rsidRPr="00F20B31" w:rsidRDefault="00822AD3" w:rsidP="00A50DA3">
      <w:pPr>
        <w:pStyle w:val="ListParagraph"/>
        <w:numPr>
          <w:ilvl w:val="0"/>
          <w:numId w:val="32"/>
        </w:numPr>
        <w:spacing w:before="0" w:line="360" w:lineRule="auto"/>
        <w:contextualSpacing/>
      </w:pPr>
      <w:r w:rsidRPr="00F20B31">
        <w:t>Australian Renewable Energy Agency (Consequential Amendments and Transitional Provisions) Act 2011</w:t>
      </w:r>
    </w:p>
    <w:p w:rsidR="00E46BBC" w:rsidRPr="00F20B31" w:rsidRDefault="00822AD3" w:rsidP="00A50DA3">
      <w:pPr>
        <w:pStyle w:val="ListParagraph"/>
        <w:numPr>
          <w:ilvl w:val="0"/>
          <w:numId w:val="32"/>
        </w:numPr>
        <w:spacing w:before="0" w:line="360" w:lineRule="auto"/>
        <w:contextualSpacing/>
      </w:pPr>
      <w:r w:rsidRPr="00F20B31">
        <w:t>Australian Workforce and Productivity Agency Act 2008</w:t>
      </w:r>
    </w:p>
    <w:p w:rsidR="00E46BBC" w:rsidRPr="00F20B31" w:rsidRDefault="00822AD3" w:rsidP="00A50DA3">
      <w:pPr>
        <w:pStyle w:val="ListParagraph"/>
        <w:numPr>
          <w:ilvl w:val="0"/>
          <w:numId w:val="32"/>
        </w:numPr>
        <w:spacing w:before="0" w:line="360" w:lineRule="auto"/>
        <w:contextualSpacing/>
      </w:pPr>
      <w:r w:rsidRPr="00F20B31">
        <w:t>Automotive Transformation Scheme Act 2009</w:t>
      </w:r>
    </w:p>
    <w:p w:rsidR="00E46BBC" w:rsidRPr="00F20B31" w:rsidRDefault="00822AD3" w:rsidP="00A50DA3">
      <w:pPr>
        <w:pStyle w:val="ListParagraph"/>
        <w:numPr>
          <w:ilvl w:val="0"/>
          <w:numId w:val="32"/>
        </w:numPr>
        <w:spacing w:before="0" w:line="360" w:lineRule="auto"/>
        <w:contextualSpacing/>
      </w:pPr>
      <w:r w:rsidRPr="00F20B31">
        <w:t>Building Energy Efficiency Disclosure Act 2010</w:t>
      </w:r>
    </w:p>
    <w:p w:rsidR="00E46BBC" w:rsidRPr="00F20B31" w:rsidRDefault="00822AD3" w:rsidP="00A50DA3">
      <w:pPr>
        <w:pStyle w:val="ListParagraph"/>
        <w:numPr>
          <w:ilvl w:val="0"/>
          <w:numId w:val="32"/>
        </w:numPr>
        <w:spacing w:before="0" w:line="360" w:lineRule="auto"/>
        <w:contextualSpacing/>
      </w:pPr>
      <w:r w:rsidRPr="00F20B31">
        <w:t>Coal Industry Repeal Act 2001</w:t>
      </w:r>
    </w:p>
    <w:p w:rsidR="00E46BBC" w:rsidRPr="00F20B31" w:rsidRDefault="00822AD3" w:rsidP="00A50DA3">
      <w:pPr>
        <w:pStyle w:val="ListParagraph"/>
        <w:numPr>
          <w:ilvl w:val="0"/>
          <w:numId w:val="32"/>
        </w:numPr>
        <w:spacing w:before="0" w:line="360" w:lineRule="auto"/>
        <w:contextualSpacing/>
      </w:pPr>
      <w:r w:rsidRPr="00F20B31">
        <w:t>Coal Industry Repeal (Validation of Proclamation) Act 2002</w:t>
      </w:r>
    </w:p>
    <w:p w:rsidR="00E46BBC" w:rsidRPr="00F20B31" w:rsidRDefault="00822AD3" w:rsidP="00A50DA3">
      <w:pPr>
        <w:pStyle w:val="ListParagraph"/>
        <w:numPr>
          <w:ilvl w:val="0"/>
          <w:numId w:val="32"/>
        </w:numPr>
        <w:spacing w:before="0" w:line="360" w:lineRule="auto"/>
        <w:contextualSpacing/>
      </w:pPr>
      <w:r w:rsidRPr="00F20B31">
        <w:t>Coal Research Assistance Act 1977</w:t>
      </w:r>
    </w:p>
    <w:p w:rsidR="00E46BBC" w:rsidRPr="00F20B31" w:rsidRDefault="00822AD3" w:rsidP="00A50DA3">
      <w:pPr>
        <w:pStyle w:val="ListParagraph"/>
        <w:numPr>
          <w:ilvl w:val="0"/>
          <w:numId w:val="32"/>
        </w:numPr>
        <w:spacing w:before="0" w:line="360" w:lineRule="auto"/>
        <w:contextualSpacing/>
      </w:pPr>
      <w:r w:rsidRPr="00F20B31">
        <w:t>Competition and Consumer Act 2010, Part 5-3 of Schedule 2</w:t>
      </w:r>
    </w:p>
    <w:p w:rsidR="00E46BBC" w:rsidRPr="00F20B31" w:rsidRDefault="00822AD3" w:rsidP="00A50DA3">
      <w:pPr>
        <w:pStyle w:val="ListParagraph"/>
        <w:numPr>
          <w:ilvl w:val="0"/>
          <w:numId w:val="32"/>
        </w:numPr>
        <w:spacing w:before="0" w:line="360" w:lineRule="auto"/>
        <w:contextualSpacing/>
      </w:pPr>
      <w:r w:rsidRPr="00F20B31">
        <w:t>Commonwealth Radioactive Waste Management (Related Amendments) Act 2005</w:t>
      </w:r>
    </w:p>
    <w:p w:rsidR="00E46BBC" w:rsidRPr="00F20B31" w:rsidRDefault="00822AD3" w:rsidP="00A50DA3">
      <w:pPr>
        <w:pStyle w:val="ListParagraph"/>
        <w:numPr>
          <w:ilvl w:val="0"/>
          <w:numId w:val="32"/>
        </w:numPr>
        <w:spacing w:before="0" w:line="360" w:lineRule="auto"/>
        <w:contextualSpacing/>
      </w:pPr>
      <w:r w:rsidRPr="00F20B31">
        <w:t>Customs Act 1901, Parts XVB and XVC and section 9, insofar as that section relates to the administration of those Parts or the Customs Tariff (Anti-Dumping) Act 1975</w:t>
      </w:r>
    </w:p>
    <w:p w:rsidR="00E46BBC" w:rsidRPr="00F20B31" w:rsidRDefault="00822AD3" w:rsidP="00A50DA3">
      <w:pPr>
        <w:pStyle w:val="ListParagraph"/>
        <w:numPr>
          <w:ilvl w:val="0"/>
          <w:numId w:val="32"/>
        </w:numPr>
        <w:spacing w:before="0" w:line="360" w:lineRule="auto"/>
        <w:contextualSpacing/>
      </w:pPr>
      <w:r w:rsidRPr="00F20B31">
        <w:t>Customs Tariff (Anti-Dumping) Act 1975</w:t>
      </w:r>
    </w:p>
    <w:p w:rsidR="00E46BBC" w:rsidRPr="00F20B31" w:rsidRDefault="00822AD3" w:rsidP="00A50DA3">
      <w:pPr>
        <w:pStyle w:val="ListParagraph"/>
        <w:numPr>
          <w:ilvl w:val="0"/>
          <w:numId w:val="32"/>
        </w:numPr>
        <w:spacing w:before="0" w:line="360" w:lineRule="auto"/>
        <w:contextualSpacing/>
      </w:pPr>
      <w:r w:rsidRPr="00F20B31">
        <w:t>Designs Act 2003</w:t>
      </w:r>
    </w:p>
    <w:p w:rsidR="00E46BBC" w:rsidRPr="00F20B31" w:rsidRDefault="00822AD3" w:rsidP="00A50DA3">
      <w:pPr>
        <w:pStyle w:val="ListParagraph"/>
        <w:numPr>
          <w:ilvl w:val="0"/>
          <w:numId w:val="32"/>
        </w:numPr>
        <w:spacing w:before="0" w:line="360" w:lineRule="auto"/>
        <w:contextualSpacing/>
      </w:pPr>
      <w:r w:rsidRPr="00F20B31">
        <w:t>Energy Efficiency Opportunities Act 2006</w:t>
      </w:r>
    </w:p>
    <w:p w:rsidR="00E46BBC" w:rsidRPr="00F20B31" w:rsidRDefault="00822AD3" w:rsidP="00A50DA3">
      <w:pPr>
        <w:pStyle w:val="ListParagraph"/>
        <w:numPr>
          <w:ilvl w:val="0"/>
          <w:numId w:val="32"/>
        </w:numPr>
        <w:spacing w:before="0" w:line="360" w:lineRule="auto"/>
        <w:contextualSpacing/>
      </w:pPr>
      <w:r w:rsidRPr="00F20B31">
        <w:t>Greater Sunrise Unitisation Agreement Implementation Act 2004</w:t>
      </w:r>
    </w:p>
    <w:p w:rsidR="00E46BBC" w:rsidRPr="00F20B31" w:rsidRDefault="00822AD3" w:rsidP="00A50DA3">
      <w:pPr>
        <w:pStyle w:val="ListParagraph"/>
        <w:numPr>
          <w:ilvl w:val="0"/>
          <w:numId w:val="32"/>
        </w:numPr>
        <w:spacing w:before="0" w:line="360" w:lineRule="auto"/>
        <w:contextualSpacing/>
      </w:pPr>
      <w:r w:rsidRPr="00F20B31">
        <w:t>Greenhouse and Energy Minimum Standards Act 2012</w:t>
      </w:r>
    </w:p>
    <w:p w:rsidR="00E46BBC" w:rsidRPr="00F20B31" w:rsidRDefault="00822AD3" w:rsidP="00A50DA3">
      <w:pPr>
        <w:pStyle w:val="ListParagraph"/>
        <w:numPr>
          <w:ilvl w:val="0"/>
          <w:numId w:val="32"/>
        </w:numPr>
        <w:spacing w:before="0" w:line="360" w:lineRule="auto"/>
        <w:contextualSpacing/>
      </w:pPr>
      <w:r w:rsidRPr="00F20B31">
        <w:t>Greenhouse and Energy Minimum Standards (Registration Fees) Act 2012</w:t>
      </w:r>
    </w:p>
    <w:p w:rsidR="00E46BBC" w:rsidRPr="00F20B31" w:rsidRDefault="00822AD3" w:rsidP="00A50DA3">
      <w:pPr>
        <w:pStyle w:val="ListParagraph"/>
        <w:numPr>
          <w:ilvl w:val="0"/>
          <w:numId w:val="32"/>
        </w:numPr>
        <w:spacing w:before="0" w:line="360" w:lineRule="auto"/>
        <w:contextualSpacing/>
      </w:pPr>
      <w:r w:rsidRPr="00F20B31">
        <w:t>Liquid Fuel Emergency Act 1984</w:t>
      </w:r>
    </w:p>
    <w:p w:rsidR="00E46BBC" w:rsidRPr="00F20B31" w:rsidRDefault="00822AD3" w:rsidP="00A50DA3">
      <w:pPr>
        <w:pStyle w:val="ListParagraph"/>
        <w:numPr>
          <w:ilvl w:val="0"/>
          <w:numId w:val="32"/>
        </w:numPr>
        <w:spacing w:before="0" w:line="360" w:lineRule="auto"/>
        <w:contextualSpacing/>
      </w:pPr>
      <w:r w:rsidRPr="00F20B31">
        <w:t>Foreign Corporations (Application of Laws) Act 1989</w:t>
      </w:r>
    </w:p>
    <w:p w:rsidR="00E46BBC" w:rsidRPr="00F20B31" w:rsidRDefault="00822AD3" w:rsidP="00A50DA3">
      <w:pPr>
        <w:pStyle w:val="ListParagraph"/>
        <w:numPr>
          <w:ilvl w:val="0"/>
          <w:numId w:val="32"/>
        </w:numPr>
        <w:spacing w:before="0" w:line="360" w:lineRule="auto"/>
        <w:contextualSpacing/>
      </w:pPr>
      <w:r w:rsidRPr="00F20B31">
        <w:t>Immigration (Education) Act 1971</w:t>
      </w:r>
    </w:p>
    <w:p w:rsidR="00E46BBC" w:rsidRPr="00F20B31" w:rsidRDefault="00822AD3" w:rsidP="00A50DA3">
      <w:pPr>
        <w:pStyle w:val="ListParagraph"/>
        <w:numPr>
          <w:ilvl w:val="0"/>
          <w:numId w:val="32"/>
        </w:numPr>
        <w:spacing w:before="0" w:line="360" w:lineRule="auto"/>
        <w:contextualSpacing/>
      </w:pPr>
      <w:r w:rsidRPr="00F20B31">
        <w:t>Immigration (Education) Charge Act 1992</w:t>
      </w:r>
    </w:p>
    <w:p w:rsidR="00E46BBC" w:rsidRPr="00F20B31" w:rsidRDefault="00822AD3" w:rsidP="00A50DA3">
      <w:pPr>
        <w:pStyle w:val="ListParagraph"/>
        <w:numPr>
          <w:ilvl w:val="0"/>
          <w:numId w:val="32"/>
        </w:numPr>
        <w:spacing w:before="0" w:line="360" w:lineRule="auto"/>
        <w:contextualSpacing/>
      </w:pPr>
      <w:r w:rsidRPr="00F20B31">
        <w:t>Industry Research and Development Act 1986</w:t>
      </w:r>
    </w:p>
    <w:p w:rsidR="00E46BBC" w:rsidRPr="00F20B31" w:rsidRDefault="00822AD3" w:rsidP="00A50DA3">
      <w:pPr>
        <w:pStyle w:val="ListParagraph"/>
        <w:numPr>
          <w:ilvl w:val="0"/>
          <w:numId w:val="32"/>
        </w:numPr>
        <w:spacing w:before="0" w:line="360" w:lineRule="auto"/>
        <w:contextualSpacing/>
      </w:pPr>
      <w:r w:rsidRPr="00F20B31">
        <w:t>Mutual Recognition Act 1992</w:t>
      </w:r>
    </w:p>
    <w:p w:rsidR="00E46BBC" w:rsidRPr="00F20B31" w:rsidRDefault="00822AD3" w:rsidP="00A50DA3">
      <w:pPr>
        <w:pStyle w:val="ListParagraph"/>
        <w:numPr>
          <w:ilvl w:val="0"/>
          <w:numId w:val="32"/>
        </w:numPr>
        <w:spacing w:before="0" w:line="360" w:lineRule="auto"/>
        <w:contextualSpacing/>
      </w:pPr>
      <w:r w:rsidRPr="00F20B31">
        <w:t>National Measurement Act 1960</w:t>
      </w:r>
    </w:p>
    <w:p w:rsidR="00E46BBC" w:rsidRPr="00F20B31" w:rsidRDefault="00822AD3" w:rsidP="00A50DA3">
      <w:pPr>
        <w:pStyle w:val="ListParagraph"/>
        <w:numPr>
          <w:ilvl w:val="0"/>
          <w:numId w:val="32"/>
        </w:numPr>
        <w:spacing w:before="0" w:line="360" w:lineRule="auto"/>
        <w:contextualSpacing/>
      </w:pPr>
      <w:r w:rsidRPr="00F20B31">
        <w:t>National Vocational Education and Training Regulator Act 2011</w:t>
      </w:r>
    </w:p>
    <w:p w:rsidR="00E46BBC" w:rsidRPr="00F20B31" w:rsidRDefault="00822AD3" w:rsidP="00A50DA3">
      <w:pPr>
        <w:pStyle w:val="ListParagraph"/>
        <w:numPr>
          <w:ilvl w:val="0"/>
          <w:numId w:val="32"/>
        </w:numPr>
        <w:spacing w:before="0" w:line="360" w:lineRule="auto"/>
        <w:contextualSpacing/>
      </w:pPr>
      <w:r w:rsidRPr="00F20B31">
        <w:t>National Vocational Education and Training Regulator (Charges) Act 2012</w:t>
      </w:r>
    </w:p>
    <w:p w:rsidR="00E46BBC" w:rsidRPr="00F20B31" w:rsidRDefault="00822AD3" w:rsidP="00A50DA3">
      <w:pPr>
        <w:pStyle w:val="ListParagraph"/>
        <w:numPr>
          <w:ilvl w:val="0"/>
          <w:numId w:val="32"/>
        </w:numPr>
        <w:spacing w:before="0" w:line="360" w:lineRule="auto"/>
        <w:contextualSpacing/>
      </w:pPr>
      <w:r w:rsidRPr="00F20B31">
        <w:t>National Vocational Education and Training Regulator (Transitional Provisions) Act 2011</w:t>
      </w:r>
    </w:p>
    <w:p w:rsidR="00E46BBC" w:rsidRPr="00F20B31" w:rsidRDefault="00822AD3" w:rsidP="00A50DA3">
      <w:pPr>
        <w:pStyle w:val="ListParagraph"/>
        <w:numPr>
          <w:ilvl w:val="0"/>
          <w:numId w:val="32"/>
        </w:numPr>
        <w:spacing w:before="0" w:line="360" w:lineRule="auto"/>
        <w:contextualSpacing/>
      </w:pPr>
      <w:r w:rsidRPr="00F20B31">
        <w:t>Moomba-Sydney Pipeline System Sale Act 1994</w:t>
      </w:r>
    </w:p>
    <w:p w:rsidR="00E46BBC" w:rsidRPr="00F20B31" w:rsidRDefault="00822AD3" w:rsidP="00A50DA3">
      <w:pPr>
        <w:pStyle w:val="ListParagraph"/>
        <w:numPr>
          <w:ilvl w:val="0"/>
          <w:numId w:val="32"/>
        </w:numPr>
        <w:spacing w:before="0" w:line="360" w:lineRule="auto"/>
        <w:contextualSpacing/>
      </w:pPr>
      <w:r w:rsidRPr="00F20B31">
        <w:t>National Radioactive Waste Management Act 2012</w:t>
      </w:r>
    </w:p>
    <w:p w:rsidR="00E46BBC" w:rsidRPr="00F20B31" w:rsidRDefault="00822AD3" w:rsidP="00A50DA3">
      <w:pPr>
        <w:pStyle w:val="ListParagraph"/>
        <w:numPr>
          <w:ilvl w:val="0"/>
          <w:numId w:val="32"/>
        </w:numPr>
        <w:spacing w:before="0" w:line="360" w:lineRule="auto"/>
        <w:contextualSpacing/>
      </w:pPr>
      <w:r w:rsidRPr="00F20B31">
        <w:t>Offshore Minerals Act 1994</w:t>
      </w:r>
    </w:p>
    <w:p w:rsidR="00E46BBC" w:rsidRPr="00F20B31" w:rsidRDefault="00822AD3" w:rsidP="00A50DA3">
      <w:pPr>
        <w:pStyle w:val="ListParagraph"/>
        <w:numPr>
          <w:ilvl w:val="0"/>
          <w:numId w:val="32"/>
        </w:numPr>
        <w:spacing w:before="0" w:line="360" w:lineRule="auto"/>
        <w:contextualSpacing/>
      </w:pPr>
      <w:r w:rsidRPr="00F20B31">
        <w:lastRenderedPageBreak/>
        <w:t>Offshore Minerals (Exploration Licence Fees) Act 1981</w:t>
      </w:r>
    </w:p>
    <w:p w:rsidR="00E46BBC" w:rsidRPr="00F20B31" w:rsidRDefault="00822AD3" w:rsidP="00A50DA3">
      <w:pPr>
        <w:pStyle w:val="ListParagraph"/>
        <w:numPr>
          <w:ilvl w:val="0"/>
          <w:numId w:val="32"/>
        </w:numPr>
        <w:spacing w:before="0" w:line="360" w:lineRule="auto"/>
        <w:contextualSpacing/>
      </w:pPr>
      <w:r w:rsidRPr="00F20B31">
        <w:t>Offshore Minerals (Mining Licence Fees) Act 1981</w:t>
      </w:r>
    </w:p>
    <w:p w:rsidR="00E46BBC" w:rsidRPr="00F20B31" w:rsidRDefault="00822AD3" w:rsidP="00A50DA3">
      <w:pPr>
        <w:pStyle w:val="ListParagraph"/>
        <w:numPr>
          <w:ilvl w:val="0"/>
          <w:numId w:val="32"/>
        </w:numPr>
        <w:spacing w:before="0" w:line="360" w:lineRule="auto"/>
        <w:contextualSpacing/>
      </w:pPr>
      <w:r w:rsidRPr="00F20B31">
        <w:t>Offshore Minerals (Retention Licence Fees) Act 1994</w:t>
      </w:r>
    </w:p>
    <w:p w:rsidR="00E46BBC" w:rsidRPr="00F20B31" w:rsidRDefault="00822AD3" w:rsidP="00A50DA3">
      <w:pPr>
        <w:pStyle w:val="ListParagraph"/>
        <w:numPr>
          <w:ilvl w:val="0"/>
          <w:numId w:val="32"/>
        </w:numPr>
        <w:spacing w:before="0" w:line="360" w:lineRule="auto"/>
        <w:contextualSpacing/>
      </w:pPr>
      <w:r w:rsidRPr="00F20B31">
        <w:t>Offshore Minerals (Registration Fees) Act 1981</w:t>
      </w:r>
    </w:p>
    <w:p w:rsidR="00E46BBC" w:rsidRPr="00F20B31" w:rsidRDefault="00822AD3" w:rsidP="00A50DA3">
      <w:pPr>
        <w:pStyle w:val="ListParagraph"/>
        <w:numPr>
          <w:ilvl w:val="0"/>
          <w:numId w:val="32"/>
        </w:numPr>
        <w:spacing w:before="0" w:line="360" w:lineRule="auto"/>
        <w:contextualSpacing/>
      </w:pPr>
      <w:r w:rsidRPr="00F20B31">
        <w:t>Offshore Minerals (Royalty) Act 1981</w:t>
      </w:r>
    </w:p>
    <w:p w:rsidR="00E46BBC" w:rsidRPr="00F20B31" w:rsidRDefault="00822AD3" w:rsidP="00A50DA3">
      <w:pPr>
        <w:pStyle w:val="ListParagraph"/>
        <w:numPr>
          <w:ilvl w:val="0"/>
          <w:numId w:val="32"/>
        </w:numPr>
        <w:spacing w:before="0" w:line="360" w:lineRule="auto"/>
        <w:contextualSpacing/>
      </w:pPr>
      <w:r w:rsidRPr="00F20B31">
        <w:t>Offshore Minerals (Works Licence Fees) Act 1981</w:t>
      </w:r>
    </w:p>
    <w:p w:rsidR="00E46BBC" w:rsidRPr="00F20B31" w:rsidRDefault="00822AD3" w:rsidP="00A50DA3">
      <w:pPr>
        <w:pStyle w:val="ListParagraph"/>
        <w:numPr>
          <w:ilvl w:val="0"/>
          <w:numId w:val="32"/>
        </w:numPr>
        <w:spacing w:before="0" w:line="360" w:lineRule="auto"/>
        <w:contextualSpacing/>
      </w:pPr>
      <w:r w:rsidRPr="00F20B31">
        <w:t>Offshore Petroleum and Greenhouse Gas Storage Act 2006</w:t>
      </w:r>
    </w:p>
    <w:p w:rsidR="00E46BBC" w:rsidRPr="00F20B31" w:rsidRDefault="00822AD3" w:rsidP="00A50DA3">
      <w:pPr>
        <w:pStyle w:val="ListParagraph"/>
        <w:numPr>
          <w:ilvl w:val="0"/>
          <w:numId w:val="32"/>
        </w:numPr>
        <w:spacing w:before="0" w:line="360" w:lineRule="auto"/>
        <w:contextualSpacing/>
      </w:pPr>
      <w:r w:rsidRPr="00F20B31">
        <w:t>Offshore Petroleum and Greenhouse Gas Storage Amendment (Compliance Measures) Act 2013</w:t>
      </w:r>
    </w:p>
    <w:p w:rsidR="00E46BBC" w:rsidRPr="00F20B31" w:rsidRDefault="00822AD3" w:rsidP="00A50DA3">
      <w:pPr>
        <w:pStyle w:val="ListParagraph"/>
        <w:numPr>
          <w:ilvl w:val="0"/>
          <w:numId w:val="32"/>
        </w:numPr>
        <w:spacing w:before="0" w:line="360" w:lineRule="auto"/>
        <w:contextualSpacing/>
      </w:pPr>
      <w:r w:rsidRPr="00F20B31">
        <w:t>Offshore Petroleum and Greenhouse Gas Storage (Registration Fees) Act 2006</w:t>
      </w:r>
    </w:p>
    <w:p w:rsidR="00E46BBC" w:rsidRPr="00F20B31" w:rsidRDefault="00822AD3" w:rsidP="00A50DA3">
      <w:pPr>
        <w:pStyle w:val="ListParagraph"/>
        <w:numPr>
          <w:ilvl w:val="0"/>
          <w:numId w:val="32"/>
        </w:numPr>
        <w:spacing w:before="0" w:line="360" w:lineRule="auto"/>
        <w:contextualSpacing/>
      </w:pPr>
      <w:r w:rsidRPr="00F20B31">
        <w:t>Offshore Petroleum (Royalty) Act 2006</w:t>
      </w:r>
    </w:p>
    <w:p w:rsidR="00E46BBC" w:rsidRPr="00F20B31" w:rsidRDefault="00822AD3" w:rsidP="00A50DA3">
      <w:pPr>
        <w:pStyle w:val="ListParagraph"/>
        <w:numPr>
          <w:ilvl w:val="0"/>
          <w:numId w:val="32"/>
        </w:numPr>
        <w:spacing w:before="0" w:line="360" w:lineRule="auto"/>
        <w:contextualSpacing/>
      </w:pPr>
      <w:r w:rsidRPr="00F20B31">
        <w:t>Offshore Petroleum and Greenhouse Gas Storage (Regulatory Levies) Act 2003</w:t>
      </w:r>
    </w:p>
    <w:p w:rsidR="00E46BBC" w:rsidRPr="00F20B31" w:rsidRDefault="00822AD3" w:rsidP="00A50DA3">
      <w:pPr>
        <w:pStyle w:val="ListParagraph"/>
        <w:numPr>
          <w:ilvl w:val="0"/>
          <w:numId w:val="32"/>
        </w:numPr>
        <w:spacing w:before="0" w:line="360" w:lineRule="auto"/>
        <w:contextualSpacing/>
      </w:pPr>
      <w:r w:rsidRPr="00F20B31">
        <w:t>Olympic Insignia Protection Act 1987</w:t>
      </w:r>
    </w:p>
    <w:p w:rsidR="00E46BBC" w:rsidRPr="00F20B31" w:rsidRDefault="00822AD3" w:rsidP="00A50DA3">
      <w:pPr>
        <w:pStyle w:val="ListParagraph"/>
        <w:numPr>
          <w:ilvl w:val="0"/>
          <w:numId w:val="32"/>
        </w:numPr>
        <w:spacing w:before="0" w:line="360" w:lineRule="auto"/>
        <w:contextualSpacing/>
      </w:pPr>
      <w:r w:rsidRPr="00F20B31">
        <w:t>Patents Act 1990</w:t>
      </w:r>
    </w:p>
    <w:p w:rsidR="00E46BBC" w:rsidRPr="00F20B31" w:rsidRDefault="00822AD3" w:rsidP="00A50DA3">
      <w:pPr>
        <w:pStyle w:val="ListParagraph"/>
        <w:numPr>
          <w:ilvl w:val="0"/>
          <w:numId w:val="32"/>
        </w:numPr>
        <w:spacing w:before="0" w:line="360" w:lineRule="auto"/>
        <w:contextualSpacing/>
      </w:pPr>
      <w:r w:rsidRPr="00F20B31">
        <w:t>Petroleum Revenue Act 1985</w:t>
      </w:r>
    </w:p>
    <w:p w:rsidR="00E46BBC" w:rsidRPr="00F20B31" w:rsidRDefault="00822AD3" w:rsidP="00A50DA3">
      <w:pPr>
        <w:pStyle w:val="ListParagraph"/>
        <w:numPr>
          <w:ilvl w:val="0"/>
          <w:numId w:val="32"/>
        </w:numPr>
        <w:spacing w:before="0" w:line="360" w:lineRule="auto"/>
        <w:contextualSpacing/>
      </w:pPr>
      <w:r w:rsidRPr="00F20B31">
        <w:t>Petroleum (Timor Sea Treaty) Act 2003</w:t>
      </w:r>
    </w:p>
    <w:p w:rsidR="00E46BBC" w:rsidRPr="00F20B31" w:rsidRDefault="00822AD3" w:rsidP="00A50DA3">
      <w:pPr>
        <w:pStyle w:val="ListParagraph"/>
        <w:numPr>
          <w:ilvl w:val="0"/>
          <w:numId w:val="32"/>
        </w:numPr>
        <w:spacing w:before="0" w:line="360" w:lineRule="auto"/>
        <w:contextualSpacing/>
      </w:pPr>
      <w:r w:rsidRPr="00F20B31">
        <w:t>Plant Breeder’s Rights Act 1994</w:t>
      </w:r>
    </w:p>
    <w:p w:rsidR="00E46BBC" w:rsidRPr="00F20B31" w:rsidRDefault="00822AD3" w:rsidP="00A50DA3">
      <w:pPr>
        <w:pStyle w:val="ListParagraph"/>
        <w:numPr>
          <w:ilvl w:val="0"/>
          <w:numId w:val="32"/>
        </w:numPr>
        <w:spacing w:before="0" w:line="360" w:lineRule="auto"/>
        <w:contextualSpacing/>
      </w:pPr>
      <w:r w:rsidRPr="00F20B31">
        <w:t>Pooled Development Funds Act 1992</w:t>
      </w:r>
    </w:p>
    <w:p w:rsidR="00E46BBC" w:rsidRPr="00F20B31" w:rsidRDefault="00822AD3" w:rsidP="00A50DA3">
      <w:pPr>
        <w:pStyle w:val="ListParagraph"/>
        <w:numPr>
          <w:ilvl w:val="0"/>
          <w:numId w:val="32"/>
        </w:numPr>
        <w:spacing w:before="0" w:line="360" w:lineRule="auto"/>
        <w:contextualSpacing/>
      </w:pPr>
      <w:r w:rsidRPr="00F20B31">
        <w:t>Science and Industry Endowment Act 1926</w:t>
      </w:r>
    </w:p>
    <w:p w:rsidR="00E46BBC" w:rsidRPr="00F20B31" w:rsidRDefault="00822AD3" w:rsidP="00A50DA3">
      <w:pPr>
        <w:pStyle w:val="ListParagraph"/>
        <w:numPr>
          <w:ilvl w:val="0"/>
          <w:numId w:val="32"/>
        </w:numPr>
        <w:spacing w:before="0" w:line="360" w:lineRule="auto"/>
        <w:contextualSpacing/>
      </w:pPr>
      <w:r w:rsidRPr="00F20B31">
        <w:t>Science and Industry Research Act 1949</w:t>
      </w:r>
    </w:p>
    <w:p w:rsidR="00E46BBC" w:rsidRPr="00F20B31" w:rsidRDefault="00822AD3" w:rsidP="00A50DA3">
      <w:pPr>
        <w:pStyle w:val="ListParagraph"/>
        <w:numPr>
          <w:ilvl w:val="0"/>
          <w:numId w:val="32"/>
        </w:numPr>
        <w:spacing w:before="0" w:line="360" w:lineRule="auto"/>
        <w:contextualSpacing/>
      </w:pPr>
      <w:r w:rsidRPr="00F20B31">
        <w:t>Skilling Australia’s Workforce Act 2005</w:t>
      </w:r>
    </w:p>
    <w:p w:rsidR="00E46BBC" w:rsidRPr="00F20B31" w:rsidRDefault="00822AD3" w:rsidP="00A50DA3">
      <w:pPr>
        <w:pStyle w:val="ListParagraph"/>
        <w:numPr>
          <w:ilvl w:val="0"/>
          <w:numId w:val="32"/>
        </w:numPr>
        <w:spacing w:before="0" w:line="360" w:lineRule="auto"/>
        <w:contextualSpacing/>
      </w:pPr>
      <w:r w:rsidRPr="00F20B31">
        <w:t>Skilling Australia’s Workforce (Repeal and Transitional Provisions) Act 2005</w:t>
      </w:r>
    </w:p>
    <w:p w:rsidR="00E46BBC" w:rsidRPr="00F20B31" w:rsidRDefault="00822AD3" w:rsidP="00A50DA3">
      <w:pPr>
        <w:pStyle w:val="ListParagraph"/>
        <w:numPr>
          <w:ilvl w:val="0"/>
          <w:numId w:val="32"/>
        </w:numPr>
        <w:spacing w:before="0" w:line="360" w:lineRule="auto"/>
        <w:contextualSpacing/>
      </w:pPr>
      <w:r w:rsidRPr="00F20B31">
        <w:t>Snowy Hydro Corporatisation Act 1997</w:t>
      </w:r>
    </w:p>
    <w:p w:rsidR="00E46BBC" w:rsidRPr="00F20B31" w:rsidRDefault="00822AD3" w:rsidP="00A50DA3">
      <w:pPr>
        <w:pStyle w:val="ListParagraph"/>
        <w:numPr>
          <w:ilvl w:val="0"/>
          <w:numId w:val="32"/>
        </w:numPr>
        <w:spacing w:before="0" w:line="360" w:lineRule="auto"/>
        <w:contextualSpacing/>
      </w:pPr>
      <w:r w:rsidRPr="00F20B31">
        <w:t>Snowy Hydro Corporatisation (Consequential Amendments) Act 1997</w:t>
      </w:r>
    </w:p>
    <w:p w:rsidR="00E46BBC" w:rsidRPr="00F20B31" w:rsidRDefault="00822AD3" w:rsidP="00A50DA3">
      <w:pPr>
        <w:pStyle w:val="ListParagraph"/>
        <w:numPr>
          <w:ilvl w:val="0"/>
          <w:numId w:val="32"/>
        </w:numPr>
        <w:spacing w:before="0" w:line="360" w:lineRule="auto"/>
        <w:contextualSpacing/>
      </w:pPr>
      <w:r w:rsidRPr="00F20B31">
        <w:t>Snowy Mountains Engineering Corporation Act 1970</w:t>
      </w:r>
    </w:p>
    <w:p w:rsidR="00E46BBC" w:rsidRPr="00F20B31" w:rsidRDefault="00822AD3" w:rsidP="00A50DA3">
      <w:pPr>
        <w:pStyle w:val="ListParagraph"/>
        <w:numPr>
          <w:ilvl w:val="0"/>
          <w:numId w:val="32"/>
        </w:numPr>
        <w:spacing w:before="0" w:line="360" w:lineRule="auto"/>
        <w:contextualSpacing/>
      </w:pPr>
      <w:r w:rsidRPr="00F20B31">
        <w:t>Snowy Mountains Engineering Corporation (Conversion into Public Company) Act 1989</w:t>
      </w:r>
    </w:p>
    <w:p w:rsidR="00E46BBC" w:rsidRPr="00F20B31" w:rsidRDefault="00822AD3" w:rsidP="00A50DA3">
      <w:pPr>
        <w:pStyle w:val="ListParagraph"/>
        <w:numPr>
          <w:ilvl w:val="0"/>
          <w:numId w:val="32"/>
        </w:numPr>
        <w:spacing w:before="0" w:line="360" w:lineRule="auto"/>
        <w:contextualSpacing/>
      </w:pPr>
      <w:r w:rsidRPr="00F20B31">
        <w:t>Snowy Mountains Engineering Corporation Limited Sale Act 1993</w:t>
      </w:r>
    </w:p>
    <w:p w:rsidR="00E46BBC" w:rsidRPr="00F20B31" w:rsidRDefault="00822AD3" w:rsidP="00A50DA3">
      <w:pPr>
        <w:pStyle w:val="ListParagraph"/>
        <w:numPr>
          <w:ilvl w:val="0"/>
          <w:numId w:val="32"/>
        </w:numPr>
        <w:spacing w:before="0" w:line="360" w:lineRule="auto"/>
        <w:contextualSpacing/>
      </w:pPr>
      <w:r w:rsidRPr="00F20B31">
        <w:t>Space Activities Act 1998</w:t>
      </w:r>
    </w:p>
    <w:p w:rsidR="00E46BBC" w:rsidRPr="00F20B31" w:rsidRDefault="00822AD3" w:rsidP="00A50DA3">
      <w:pPr>
        <w:pStyle w:val="ListParagraph"/>
        <w:numPr>
          <w:ilvl w:val="0"/>
          <w:numId w:val="32"/>
        </w:numPr>
        <w:spacing w:before="0" w:line="360" w:lineRule="auto"/>
        <w:contextualSpacing/>
      </w:pPr>
      <w:r w:rsidRPr="00F20B31">
        <w:t>Steel Transformation Plan Act 2011</w:t>
      </w:r>
    </w:p>
    <w:p w:rsidR="00E46BBC" w:rsidRPr="00F20B31" w:rsidRDefault="00822AD3" w:rsidP="00A50DA3">
      <w:pPr>
        <w:pStyle w:val="ListParagraph"/>
        <w:numPr>
          <w:ilvl w:val="0"/>
          <w:numId w:val="32"/>
        </w:numPr>
        <w:spacing w:before="0" w:line="360" w:lineRule="auto"/>
        <w:contextualSpacing/>
      </w:pPr>
      <w:r w:rsidRPr="00F20B31">
        <w:t>Textile, Clothing and Footwear Investment and Innovation Programmes Act 1999</w:t>
      </w:r>
    </w:p>
    <w:p w:rsidR="00E46BBC" w:rsidRPr="00F20B31" w:rsidRDefault="00822AD3" w:rsidP="00A50DA3">
      <w:pPr>
        <w:pStyle w:val="ListParagraph"/>
        <w:numPr>
          <w:ilvl w:val="0"/>
          <w:numId w:val="32"/>
        </w:numPr>
        <w:spacing w:before="0" w:line="360" w:lineRule="auto"/>
        <w:contextualSpacing/>
      </w:pPr>
      <w:r w:rsidRPr="00F20B31">
        <w:t>Trade Marks Act 1995</w:t>
      </w:r>
    </w:p>
    <w:p w:rsidR="00E46BBC" w:rsidRPr="00F20B31" w:rsidRDefault="00822AD3" w:rsidP="00A50DA3">
      <w:pPr>
        <w:pStyle w:val="ListParagraph"/>
        <w:numPr>
          <w:ilvl w:val="0"/>
          <w:numId w:val="32"/>
        </w:numPr>
        <w:spacing w:before="0" w:line="360" w:lineRule="auto"/>
        <w:contextualSpacing/>
      </w:pPr>
      <w:r w:rsidRPr="00F20B31">
        <w:t>Tradespersons’ Rights Regulation Act 1946</w:t>
      </w:r>
    </w:p>
    <w:p w:rsidR="00E46BBC" w:rsidRPr="00F20B31" w:rsidRDefault="00822AD3" w:rsidP="00A50DA3">
      <w:pPr>
        <w:pStyle w:val="ListParagraph"/>
        <w:numPr>
          <w:ilvl w:val="0"/>
          <w:numId w:val="32"/>
        </w:numPr>
        <w:spacing w:before="0" w:line="360" w:lineRule="auto"/>
        <w:contextualSpacing/>
      </w:pPr>
      <w:r w:rsidRPr="00F20B31">
        <w:t>Tradex Scheme Act 1999</w:t>
      </w:r>
    </w:p>
    <w:p w:rsidR="00E46BBC" w:rsidRPr="00F20B31" w:rsidRDefault="00822AD3" w:rsidP="00A50DA3">
      <w:pPr>
        <w:pStyle w:val="ListParagraph"/>
        <w:numPr>
          <w:ilvl w:val="0"/>
          <w:numId w:val="32"/>
        </w:numPr>
        <w:spacing w:before="0" w:line="360" w:lineRule="auto"/>
        <w:contextualSpacing/>
      </w:pPr>
      <w:r w:rsidRPr="00F20B31">
        <w:t>Tradex Duty Imposition (Customs) Act 1999</w:t>
      </w:r>
    </w:p>
    <w:p w:rsidR="00E46BBC" w:rsidRPr="00F20B31" w:rsidRDefault="00822AD3" w:rsidP="00A50DA3">
      <w:pPr>
        <w:pStyle w:val="ListParagraph"/>
        <w:numPr>
          <w:ilvl w:val="0"/>
          <w:numId w:val="32"/>
        </w:numPr>
        <w:spacing w:before="0" w:line="360" w:lineRule="auto"/>
        <w:contextualSpacing/>
      </w:pPr>
      <w:r w:rsidRPr="00F20B31">
        <w:t>Tradex Duty Imposition (Excise) Act 1999</w:t>
      </w:r>
    </w:p>
    <w:p w:rsidR="00E46BBC" w:rsidRPr="00F20B31" w:rsidRDefault="00822AD3" w:rsidP="00A50DA3">
      <w:pPr>
        <w:pStyle w:val="ListParagraph"/>
        <w:numPr>
          <w:ilvl w:val="0"/>
          <w:numId w:val="32"/>
        </w:numPr>
        <w:spacing w:before="0" w:line="360" w:lineRule="auto"/>
        <w:contextualSpacing/>
      </w:pPr>
      <w:r w:rsidRPr="00F20B31">
        <w:t>Tradex Duty Imposition (General) Act 1999</w:t>
      </w:r>
    </w:p>
    <w:p w:rsidR="00E46BBC" w:rsidRPr="00F20B31" w:rsidRDefault="00822AD3" w:rsidP="00A50DA3">
      <w:pPr>
        <w:pStyle w:val="ListParagraph"/>
        <w:numPr>
          <w:ilvl w:val="0"/>
          <w:numId w:val="32"/>
        </w:numPr>
        <w:spacing w:before="0" w:line="360" w:lineRule="auto"/>
        <w:contextualSpacing/>
      </w:pPr>
      <w:r w:rsidRPr="00F20B31">
        <w:t>Trans-Tasman Mutual Recognition Act 1997</w:t>
      </w:r>
    </w:p>
    <w:p w:rsidR="00E46BBC" w:rsidRPr="00F20B31" w:rsidRDefault="00822AD3" w:rsidP="00A50DA3">
      <w:pPr>
        <w:pStyle w:val="ListParagraph"/>
        <w:numPr>
          <w:ilvl w:val="0"/>
          <w:numId w:val="32"/>
        </w:numPr>
        <w:spacing w:before="0" w:line="360" w:lineRule="auto"/>
        <w:contextualSpacing/>
      </w:pPr>
      <w:r w:rsidRPr="00F20B31">
        <w:t>Venture Capital Act 2002</w:t>
      </w:r>
    </w:p>
    <w:p w:rsidR="00E46BBC" w:rsidRPr="00F20B31" w:rsidRDefault="00822AD3" w:rsidP="00A50DA3">
      <w:pPr>
        <w:pStyle w:val="ListParagraph"/>
        <w:numPr>
          <w:ilvl w:val="0"/>
          <w:numId w:val="32"/>
        </w:numPr>
        <w:spacing w:before="0" w:line="360" w:lineRule="auto"/>
        <w:contextualSpacing/>
      </w:pPr>
      <w:r w:rsidRPr="00F20B31">
        <w:t>Uranium Royalty (Northern Territory) Act 2009</w:t>
      </w:r>
    </w:p>
    <w:sectPr w:rsidR="00E46BBC" w:rsidRPr="00F20B31" w:rsidSect="000C7648">
      <w:footerReference w:type="even" r:id="rId22"/>
      <w:footerReference w:type="default" r:id="rId23"/>
      <w:pgSz w:w="11910" w:h="16840" w:code="9"/>
      <w:pgMar w:top="1134" w:right="1440" w:bottom="1134" w:left="1440" w:header="0" w:footer="478" w:gutter="0"/>
      <w:cols w:space="720"/>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123" w:rsidRDefault="00896123" w:rsidP="00DD6581">
      <w:r>
        <w:separator/>
      </w:r>
    </w:p>
  </w:endnote>
  <w:endnote w:type="continuationSeparator" w:id="0">
    <w:p w:rsidR="00896123" w:rsidRDefault="00896123" w:rsidP="00DD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Archer Medium">
    <w:altName w:val="Archer Mediu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23" w:rsidRPr="00700515" w:rsidRDefault="00896123" w:rsidP="000C7648">
    <w:pPr>
      <w:pStyle w:val="Footer"/>
      <w:jc w:val="right"/>
    </w:pPr>
    <w:r>
      <w:rPr>
        <w:sz w:val="14"/>
        <w:szCs w:val="14"/>
      </w:rPr>
      <w:t xml:space="preserve">Industry and Science Portfolio </w:t>
    </w:r>
    <w:r>
      <w:rPr>
        <w:rStyle w:val="A4"/>
      </w:rPr>
      <w:t>Annual Deregulation Report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23" w:rsidRPr="00700515" w:rsidRDefault="00896123" w:rsidP="000C7648">
    <w:pPr>
      <w:pStyle w:val="Footer"/>
      <w:jc w:val="right"/>
    </w:pPr>
    <w:r>
      <w:rPr>
        <w:sz w:val="14"/>
        <w:szCs w:val="14"/>
      </w:rPr>
      <w:t xml:space="preserve">Industry and Science Portfolio </w:t>
    </w:r>
    <w:r>
      <w:rPr>
        <w:rStyle w:val="A4"/>
      </w:rPr>
      <w:t>Annual Deregulation Report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123" w:rsidRDefault="00896123" w:rsidP="00DD6581">
      <w:r>
        <w:separator/>
      </w:r>
    </w:p>
  </w:footnote>
  <w:footnote w:type="continuationSeparator" w:id="0">
    <w:p w:rsidR="00896123" w:rsidRDefault="00896123" w:rsidP="00DD6581">
      <w:r>
        <w:continuationSeparator/>
      </w:r>
    </w:p>
  </w:footnote>
  <w:footnote w:id="1">
    <w:p w:rsidR="00896123" w:rsidRPr="00F20B31" w:rsidRDefault="00896123" w:rsidP="00F20B31">
      <w:pPr>
        <w:rPr>
          <w:lang w:val="en-AU"/>
        </w:rPr>
      </w:pPr>
      <w:r>
        <w:rPr>
          <w:rStyle w:val="FootnoteReference"/>
        </w:rPr>
        <w:footnoteRef/>
      </w:r>
      <w:r>
        <w:t xml:space="preserve"> </w:t>
      </w:r>
      <w:hyperlink r:id="rId1" w:history="1">
        <w:r w:rsidRPr="00763BED">
          <w:rPr>
            <w:rStyle w:val="Hyperlink"/>
          </w:rPr>
          <w:t>http://www.industry.gov.au/industry/IndustryInitiatives/PortfolioRegulationReform/Pages/default.aspx</w:t>
        </w:r>
      </w:hyperlink>
    </w:p>
  </w:footnote>
  <w:footnote w:id="2">
    <w:p w:rsidR="00896123" w:rsidRPr="00F20B31" w:rsidRDefault="00896123" w:rsidP="00F20B31">
      <w:pPr>
        <w:ind w:right="45"/>
        <w:rPr>
          <w:szCs w:val="13"/>
        </w:rPr>
      </w:pPr>
      <w:r>
        <w:rPr>
          <w:rStyle w:val="FootnoteReference"/>
        </w:rPr>
        <w:footnoteRef/>
      </w:r>
      <w:r>
        <w:t xml:space="preserve"> </w:t>
      </w:r>
      <w:r>
        <w:rPr>
          <w:spacing w:val="-2"/>
          <w:w w:val="95"/>
        </w:rPr>
        <w:t>T</w:t>
      </w:r>
      <w:r>
        <w:rPr>
          <w:spacing w:val="-1"/>
          <w:w w:val="95"/>
        </w:rPr>
        <w:t>his</w:t>
      </w:r>
      <w:r>
        <w:rPr>
          <w:spacing w:val="2"/>
          <w:w w:val="95"/>
        </w:rPr>
        <w:t xml:space="preserve"> </w:t>
      </w:r>
      <w:r>
        <w:rPr>
          <w:w w:val="95"/>
        </w:rPr>
        <w:t>includes</w:t>
      </w:r>
      <w:r>
        <w:rPr>
          <w:spacing w:val="1"/>
          <w:w w:val="95"/>
        </w:rPr>
        <w:t xml:space="preserve"> </w:t>
      </w:r>
      <w:r>
        <w:rPr>
          <w:w w:val="95"/>
        </w:rPr>
        <w:t>the</w:t>
      </w:r>
      <w:r>
        <w:rPr>
          <w:spacing w:val="2"/>
          <w:w w:val="95"/>
        </w:rPr>
        <w:t xml:space="preserve"> </w:t>
      </w:r>
      <w:r>
        <w:rPr>
          <w:spacing w:val="-1"/>
          <w:w w:val="95"/>
        </w:rPr>
        <w:t>transfer</w:t>
      </w:r>
      <w:r>
        <w:rPr>
          <w:spacing w:val="2"/>
          <w:w w:val="95"/>
        </w:rPr>
        <w:t xml:space="preserve"> </w:t>
      </w:r>
      <w:r>
        <w:rPr>
          <w:w w:val="95"/>
        </w:rPr>
        <w:t>of</w:t>
      </w:r>
      <w:r>
        <w:rPr>
          <w:spacing w:val="1"/>
          <w:w w:val="95"/>
        </w:rPr>
        <w:t xml:space="preserve"> </w:t>
      </w:r>
      <w:r>
        <w:rPr>
          <w:w w:val="95"/>
        </w:rPr>
        <w:t>the</w:t>
      </w:r>
      <w:r>
        <w:rPr>
          <w:spacing w:val="2"/>
          <w:w w:val="95"/>
        </w:rPr>
        <w:t xml:space="preserve"> </w:t>
      </w:r>
      <w:r>
        <w:rPr>
          <w:spacing w:val="-1"/>
          <w:w w:val="95"/>
        </w:rPr>
        <w:t>Australian</w:t>
      </w:r>
      <w:r>
        <w:rPr>
          <w:spacing w:val="1"/>
          <w:w w:val="95"/>
        </w:rPr>
        <w:t xml:space="preserve"> </w:t>
      </w:r>
      <w:r>
        <w:rPr>
          <w:w w:val="95"/>
        </w:rPr>
        <w:t>Skills</w:t>
      </w:r>
      <w:r>
        <w:rPr>
          <w:spacing w:val="2"/>
          <w:w w:val="95"/>
        </w:rPr>
        <w:t xml:space="preserve"> </w:t>
      </w:r>
      <w:r>
        <w:rPr>
          <w:spacing w:val="-1"/>
          <w:w w:val="95"/>
        </w:rPr>
        <w:t>Quality</w:t>
      </w:r>
      <w:r>
        <w:rPr>
          <w:spacing w:val="2"/>
          <w:w w:val="95"/>
        </w:rPr>
        <w:t xml:space="preserve"> </w:t>
      </w:r>
      <w:r>
        <w:rPr>
          <w:spacing w:val="-1"/>
          <w:w w:val="95"/>
        </w:rPr>
        <w:t>Authority</w:t>
      </w:r>
      <w:r>
        <w:rPr>
          <w:spacing w:val="1"/>
          <w:w w:val="95"/>
        </w:rPr>
        <w:t xml:space="preserve"> </w:t>
      </w:r>
      <w:r>
        <w:rPr>
          <w:spacing w:val="-1"/>
          <w:w w:val="95"/>
        </w:rPr>
        <w:t>(ASQA</w:t>
      </w:r>
      <w:r>
        <w:rPr>
          <w:spacing w:val="-2"/>
          <w:w w:val="95"/>
        </w:rPr>
        <w:t>).</w:t>
      </w:r>
    </w:p>
  </w:footnote>
  <w:footnote w:id="3">
    <w:p w:rsidR="00896123" w:rsidRPr="000B6193" w:rsidRDefault="00896123" w:rsidP="00FF2998">
      <w:pPr>
        <w:rPr>
          <w:lang w:val="en-AU"/>
        </w:rPr>
      </w:pPr>
      <w:r>
        <w:rPr>
          <w:rStyle w:val="FootnoteReference"/>
        </w:rPr>
        <w:footnoteRef/>
      </w:r>
      <w:r>
        <w:t xml:space="preserve"> This is an indication of the sectors primarily impacted from reforms and captures all reforms with an impact over $1 million. All </w:t>
      </w:r>
      <w:r w:rsidR="00723AD7">
        <w:t>parts of</w:t>
      </w:r>
      <w:r>
        <w:t xml:space="preserve"> the economy refer </w:t>
      </w:r>
      <w:r w:rsidRPr="00FF2998">
        <w:t>to</w:t>
      </w:r>
      <w:r>
        <w:t xml:space="preserve"> measures impacting on all areas of the economy including building and construction, manufacturing, resources and energy and education and training. Measures that primarily impact on a particular area are covered by the other four categories.</w:t>
      </w:r>
    </w:p>
  </w:footnote>
  <w:footnote w:id="4">
    <w:p w:rsidR="00896123" w:rsidRPr="00FF2998" w:rsidRDefault="00896123" w:rsidP="00FF2998">
      <w:r w:rsidRPr="00FF2998">
        <w:rPr>
          <w:vertAlign w:val="superscript"/>
        </w:rPr>
        <w:footnoteRef/>
      </w:r>
      <w:r w:rsidRPr="00FF2998">
        <w:t xml:space="preserve"> The removal of purchase costs does not count towards the Government’s red tape reduction target but results in savings for industry.</w:t>
      </w:r>
    </w:p>
  </w:footnote>
  <w:footnote w:id="5">
    <w:p w:rsidR="00896123" w:rsidRPr="000B6193" w:rsidRDefault="00896123" w:rsidP="00FF2998">
      <w:pPr>
        <w:rPr>
          <w:lang w:val="en-AU"/>
        </w:rPr>
      </w:pPr>
      <w:r w:rsidRPr="00FF2998">
        <w:rPr>
          <w:vertAlign w:val="superscript"/>
        </w:rPr>
        <w:footnoteRef/>
      </w:r>
      <w:r w:rsidRPr="00FF2998">
        <w:t xml:space="preserve"> Savings are on an average annual impact basis.</w:t>
      </w:r>
    </w:p>
  </w:footnote>
  <w:footnote w:id="6">
    <w:p w:rsidR="00896123" w:rsidRPr="00FF2998" w:rsidRDefault="00896123" w:rsidP="00FF2998">
      <w:r w:rsidRPr="00FF2998">
        <w:rPr>
          <w:vertAlign w:val="superscript"/>
        </w:rPr>
        <w:footnoteRef/>
      </w:r>
      <w:r w:rsidRPr="00FF2998">
        <w:t xml:space="preserve"> http://www.appea.com.au/wp-content/uploads/2014/11/PwC-Report-Oil-and-Gas-Industry-Sept-2014-FINAL.pdf</w:t>
      </w:r>
    </w:p>
  </w:footnote>
  <w:footnote w:id="7">
    <w:p w:rsidR="00896123" w:rsidRPr="00FF2998" w:rsidRDefault="00896123" w:rsidP="00FF2998">
      <w:pPr>
        <w:rPr>
          <w:lang w:val="en-AU"/>
        </w:rPr>
      </w:pPr>
      <w:r w:rsidRPr="00FF2998">
        <w:rPr>
          <w:vertAlign w:val="superscript"/>
        </w:rPr>
        <w:footnoteRef/>
      </w:r>
      <w:r w:rsidRPr="00FF2998">
        <w:t xml:space="preserve"> http://industry.gov.au/industry/Office-of-the-Chief-Economist/Publications/Documents/req/REQ-2014-09.pdf</w:t>
      </w:r>
    </w:p>
  </w:footnote>
  <w:footnote w:id="8">
    <w:p w:rsidR="00896123" w:rsidRPr="00FF2998" w:rsidRDefault="00896123" w:rsidP="00FF2998">
      <w:r w:rsidRPr="00FF2998">
        <w:rPr>
          <w:vertAlign w:val="superscript"/>
        </w:rPr>
        <w:footnoteRef/>
      </w:r>
      <w:r w:rsidRPr="00FF2998">
        <w:t xml:space="preserve"> Prior to the machinery-of-government changes in December 2014.</w:t>
      </w:r>
    </w:p>
  </w:footnote>
  <w:footnote w:id="9">
    <w:p w:rsidR="00896123" w:rsidRPr="00FF2998" w:rsidRDefault="00896123" w:rsidP="00FF2998">
      <w:r w:rsidRPr="00FF2998">
        <w:rPr>
          <w:vertAlign w:val="superscript"/>
        </w:rPr>
        <w:footnoteRef/>
      </w:r>
      <w:r w:rsidRPr="00FF2998">
        <w:t xml:space="preserve"> https://www.cuttingredtape.gov.au/sites/default/files/documents/regulator_performance_framework.pdf</w:t>
      </w:r>
    </w:p>
  </w:footnote>
  <w:footnote w:id="10">
    <w:p w:rsidR="00896123" w:rsidRPr="00A942E6" w:rsidRDefault="00896123" w:rsidP="00A942E6">
      <w:r w:rsidRPr="00A942E6">
        <w:rPr>
          <w:vertAlign w:val="superscript"/>
        </w:rPr>
        <w:footnoteRef/>
      </w:r>
      <w:r w:rsidRPr="00A942E6">
        <w:t xml:space="preserve"> B2B facilitates the direct exchange of transactions between customers’ IT systems and IP Australia’s http://www.ipaustralia.gov.au/about-us/doing-business-with-us/b2b/</w:t>
      </w:r>
    </w:p>
  </w:footnote>
  <w:footnote w:id="11">
    <w:p w:rsidR="00896123" w:rsidRPr="00A942E6" w:rsidRDefault="00896123" w:rsidP="00A942E6">
      <w:r w:rsidRPr="00A942E6">
        <w:rPr>
          <w:vertAlign w:val="superscript"/>
        </w:rPr>
        <w:footnoteRef/>
      </w:r>
      <w:r w:rsidRPr="00A942E6">
        <w:t xml:space="preserve"> http://www.industry.gov.au/industry/IndustryInitiatives/PortfolioRegulationReform/Pages/default.aspx</w:t>
      </w:r>
    </w:p>
  </w:footnote>
  <w:footnote w:id="12">
    <w:p w:rsidR="00896123" w:rsidRPr="00A942E6" w:rsidRDefault="00896123" w:rsidP="00A942E6">
      <w:r w:rsidRPr="00A942E6">
        <w:rPr>
          <w:vertAlign w:val="superscript"/>
        </w:rPr>
        <w:footnoteRef/>
      </w:r>
      <w:r w:rsidRPr="00A942E6">
        <w:t xml:space="preserve"> RIS published in 2012, supplemented with regulatory costings in 2014.</w:t>
      </w:r>
    </w:p>
  </w:footnote>
  <w:footnote w:id="13">
    <w:p w:rsidR="00896123" w:rsidRPr="00A942E6" w:rsidRDefault="00896123" w:rsidP="00A942E6">
      <w:r w:rsidRPr="00A942E6">
        <w:rPr>
          <w:vertAlign w:val="superscript"/>
        </w:rPr>
        <w:footnoteRef/>
      </w:r>
      <w:r w:rsidRPr="00A942E6">
        <w:t xml:space="preserve"> Quasi-regulation is non-legislative regulation and includes regulations such as industry codes of practice, grant programmes and standards.</w:t>
      </w:r>
    </w:p>
  </w:footnote>
  <w:footnote w:id="14">
    <w:p w:rsidR="00896123" w:rsidRPr="00A942E6" w:rsidRDefault="00896123" w:rsidP="00A942E6">
      <w:r w:rsidRPr="00A942E6">
        <w:rPr>
          <w:vertAlign w:val="superscript"/>
        </w:rPr>
        <w:footnoteRef/>
      </w:r>
      <w:r w:rsidRPr="00A942E6">
        <w:t xml:space="preserve"> This has been re-costed to reflect the revised RBM Framework.</w:t>
      </w:r>
    </w:p>
  </w:footnote>
  <w:footnote w:id="15">
    <w:p w:rsidR="00896123" w:rsidRPr="00A942E6" w:rsidRDefault="00896123" w:rsidP="00A942E6">
      <w:r w:rsidRPr="00A942E6">
        <w:rPr>
          <w:vertAlign w:val="superscript"/>
        </w:rPr>
        <w:footnoteRef/>
      </w:r>
      <w:r w:rsidRPr="00A942E6">
        <w:t xml:space="preserve"> See footnote 14.</w:t>
      </w:r>
    </w:p>
  </w:footnote>
  <w:footnote w:id="16">
    <w:p w:rsidR="00896123" w:rsidRPr="00A942E6" w:rsidRDefault="00896123" w:rsidP="00A942E6">
      <w:r w:rsidRPr="00A942E6">
        <w:rPr>
          <w:vertAlign w:val="superscript"/>
        </w:rPr>
        <w:footnoteRef/>
      </w:r>
      <w:r w:rsidRPr="00A942E6">
        <w:t xml:space="preserve"> Apportioned figures are the Commonwealth Government’s share of the saving or cost generated through a reform involving a number of jurisdictions.</w:t>
      </w:r>
    </w:p>
  </w:footnote>
  <w:footnote w:id="17">
    <w:p w:rsidR="00896123" w:rsidRPr="00A942E6" w:rsidRDefault="00896123" w:rsidP="00A942E6">
      <w:r w:rsidRPr="00A942E6">
        <w:rPr>
          <w:vertAlign w:val="superscript"/>
        </w:rPr>
        <w:footnoteRef/>
      </w:r>
      <w:r w:rsidRPr="00A942E6">
        <w:t xml:space="preserve"> See footnote 14.</w:t>
      </w:r>
    </w:p>
  </w:footnote>
  <w:footnote w:id="18">
    <w:p w:rsidR="00896123" w:rsidRPr="00A942E6" w:rsidRDefault="00896123" w:rsidP="00A942E6">
      <w:r w:rsidRPr="00A942E6">
        <w:rPr>
          <w:vertAlign w:val="superscript"/>
        </w:rPr>
        <w:footnoteRef/>
      </w:r>
      <w:r w:rsidRPr="00A942E6">
        <w:t xml:space="preserve"> See footnote 14.</w:t>
      </w:r>
    </w:p>
  </w:footnote>
  <w:footnote w:id="19">
    <w:p w:rsidR="00896123" w:rsidRPr="00A942E6" w:rsidRDefault="00896123" w:rsidP="00A942E6">
      <w:r w:rsidRPr="00A942E6">
        <w:rPr>
          <w:vertAlign w:val="superscript"/>
        </w:rPr>
        <w:footnoteRef/>
      </w:r>
      <w:r w:rsidRPr="00A942E6">
        <w:t xml:space="preserve"> Apportioned figures are the Commonwealth Government’s share of the saving or cost generated through a reform involving a number of jurisdictions. These figures are different to what was published in the 2014 Spring Repeal Day overview as the apportionment methodology was applied subsequent to this release</w:t>
      </w:r>
    </w:p>
  </w:footnote>
  <w:footnote w:id="20">
    <w:p w:rsidR="00896123" w:rsidRPr="00A942E6" w:rsidRDefault="00896123" w:rsidP="00A942E6">
      <w:r w:rsidRPr="00A942E6">
        <w:rPr>
          <w:vertAlign w:val="superscript"/>
        </w:rPr>
        <w:footnoteRef/>
      </w:r>
      <w:r w:rsidRPr="00A942E6">
        <w:t xml:space="preserve"> See footnote 14.</w:t>
      </w:r>
    </w:p>
  </w:footnote>
  <w:footnote w:id="21">
    <w:p w:rsidR="00896123" w:rsidRPr="00A942E6" w:rsidRDefault="00896123" w:rsidP="00A942E6">
      <w:r w:rsidRPr="00A942E6">
        <w:rPr>
          <w:vertAlign w:val="superscript"/>
        </w:rPr>
        <w:footnoteRef/>
      </w:r>
      <w:r w:rsidRPr="00A942E6">
        <w:t xml:space="preserve"> See footnote 14.</w:t>
      </w:r>
    </w:p>
  </w:footnote>
  <w:footnote w:id="22">
    <w:p w:rsidR="00896123" w:rsidRPr="00A942E6" w:rsidRDefault="00896123" w:rsidP="00A942E6">
      <w:pPr>
        <w:rPr>
          <w:lang w:val="en-AU"/>
        </w:rPr>
      </w:pPr>
      <w:r w:rsidRPr="00A942E6">
        <w:rPr>
          <w:vertAlign w:val="superscript"/>
        </w:rPr>
        <w:footnoteRef/>
      </w:r>
      <w:r w:rsidRPr="00A942E6">
        <w:t xml:space="preserve"> See footnote 14.</w:t>
      </w:r>
    </w:p>
  </w:footnote>
  <w:footnote w:id="23">
    <w:p w:rsidR="00896123" w:rsidRPr="00A942E6" w:rsidRDefault="00896123" w:rsidP="00A942E6">
      <w:r w:rsidRPr="00A942E6">
        <w:rPr>
          <w:vertAlign w:val="superscript"/>
        </w:rPr>
        <w:footnoteRef/>
      </w:r>
      <w:r w:rsidRPr="00A942E6">
        <w:t xml:space="preserve"> Apportioned figures are the Commonwealth Government’s share of the saving or cost generated through a reform involving a number of jurisdictions.</w:t>
      </w:r>
    </w:p>
  </w:footnote>
  <w:footnote w:id="24">
    <w:p w:rsidR="00896123" w:rsidRPr="00A942E6" w:rsidRDefault="00896123" w:rsidP="00A942E6">
      <w:r w:rsidRPr="00A942E6">
        <w:rPr>
          <w:vertAlign w:val="superscript"/>
        </w:rPr>
        <w:footnoteRef/>
      </w:r>
      <w:r w:rsidRPr="00A942E6">
        <w:t xml:space="preserve"> Some of these programmes have closed and others are in the process of closing, including some through legislative changes.</w:t>
      </w:r>
    </w:p>
  </w:footnote>
  <w:footnote w:id="25">
    <w:p w:rsidR="00896123" w:rsidRPr="00A942E6" w:rsidRDefault="00896123" w:rsidP="00A942E6">
      <w:r w:rsidRPr="00A942E6">
        <w:rPr>
          <w:vertAlign w:val="superscript"/>
        </w:rPr>
        <w:footnoteRef/>
      </w:r>
      <w:r w:rsidRPr="00A942E6">
        <w:t xml:space="preserve"> This is a rounded figure. There is a small saving of approximately $2 000.</w:t>
      </w:r>
    </w:p>
  </w:footnote>
  <w:footnote w:id="26">
    <w:p w:rsidR="00896123" w:rsidRPr="000C7648" w:rsidRDefault="00896123" w:rsidP="000C7648">
      <w:r w:rsidRPr="000C7648">
        <w:rPr>
          <w:vertAlign w:val="superscript"/>
        </w:rPr>
        <w:footnoteRef/>
      </w:r>
      <w:r w:rsidRPr="000C7648">
        <w:t xml:space="preserve"> See footnote 13.</w:t>
      </w:r>
    </w:p>
  </w:footnote>
  <w:footnote w:id="27">
    <w:p w:rsidR="00896123" w:rsidRPr="000C7648" w:rsidRDefault="00896123" w:rsidP="000C7648">
      <w:r w:rsidRPr="000C7648">
        <w:rPr>
          <w:vertAlign w:val="superscript"/>
        </w:rPr>
        <w:footnoteRef/>
      </w:r>
      <w:r w:rsidRPr="000C7648">
        <w:t xml:space="preserve"> Since 31 December 2014 some measures have been implemented and therefore are not listed in this table.</w:t>
      </w:r>
    </w:p>
  </w:footnote>
  <w:footnote w:id="28">
    <w:p w:rsidR="00896123" w:rsidRPr="000C7648" w:rsidRDefault="00896123" w:rsidP="000C7648">
      <w:r w:rsidRPr="000C7648">
        <w:rPr>
          <w:vertAlign w:val="superscript"/>
        </w:rPr>
        <w:footnoteRef/>
      </w:r>
      <w:r w:rsidRPr="000C7648">
        <w:t xml:space="preserve"> This table does not include the closure of the Automotive Transformation Scheme (ATS). The Government has announced it will not close ATS.</w:t>
      </w:r>
    </w:p>
  </w:footnote>
  <w:footnote w:id="29">
    <w:p w:rsidR="00896123" w:rsidRPr="000C7648" w:rsidRDefault="00896123" w:rsidP="000C7648">
      <w:r w:rsidRPr="000C7648">
        <w:rPr>
          <w:vertAlign w:val="superscript"/>
        </w:rPr>
        <w:footnoteRef/>
      </w:r>
      <w:r w:rsidRPr="000C7648">
        <w:t xml:space="preserve"> This is a rounded figure. There is a small saving of approximately $3 000.</w:t>
      </w:r>
    </w:p>
  </w:footnote>
  <w:footnote w:id="30">
    <w:p w:rsidR="00896123" w:rsidRPr="000C7648" w:rsidRDefault="00896123" w:rsidP="000C7648">
      <w:r w:rsidRPr="000C7648">
        <w:rPr>
          <w:vertAlign w:val="superscript"/>
        </w:rPr>
        <w:footnoteRef/>
      </w:r>
      <w:r w:rsidRPr="000C7648">
        <w:t xml:space="preserve"> This is a rounded figure. There is a small saving of approximately $4 000.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3345"/>
    <w:multiLevelType w:val="hybridMultilevel"/>
    <w:tmpl w:val="3E361FFC"/>
    <w:lvl w:ilvl="0" w:tplc="0C090001">
      <w:start w:val="1"/>
      <w:numFmt w:val="bullet"/>
      <w:lvlText w:val=""/>
      <w:lvlJc w:val="left"/>
      <w:pPr>
        <w:ind w:left="549" w:hanging="360"/>
      </w:pPr>
      <w:rPr>
        <w:rFonts w:ascii="Symbol" w:hAnsi="Symbol" w:hint="default"/>
      </w:rPr>
    </w:lvl>
    <w:lvl w:ilvl="1" w:tplc="0C090003" w:tentative="1">
      <w:start w:val="1"/>
      <w:numFmt w:val="bullet"/>
      <w:lvlText w:val="o"/>
      <w:lvlJc w:val="left"/>
      <w:pPr>
        <w:ind w:left="1269" w:hanging="360"/>
      </w:pPr>
      <w:rPr>
        <w:rFonts w:ascii="Courier New" w:hAnsi="Courier New" w:cs="Courier New" w:hint="default"/>
      </w:rPr>
    </w:lvl>
    <w:lvl w:ilvl="2" w:tplc="0C090005" w:tentative="1">
      <w:start w:val="1"/>
      <w:numFmt w:val="bullet"/>
      <w:lvlText w:val=""/>
      <w:lvlJc w:val="left"/>
      <w:pPr>
        <w:ind w:left="1989" w:hanging="360"/>
      </w:pPr>
      <w:rPr>
        <w:rFonts w:ascii="Wingdings" w:hAnsi="Wingdings" w:hint="default"/>
      </w:rPr>
    </w:lvl>
    <w:lvl w:ilvl="3" w:tplc="0C090001" w:tentative="1">
      <w:start w:val="1"/>
      <w:numFmt w:val="bullet"/>
      <w:lvlText w:val=""/>
      <w:lvlJc w:val="left"/>
      <w:pPr>
        <w:ind w:left="2709" w:hanging="360"/>
      </w:pPr>
      <w:rPr>
        <w:rFonts w:ascii="Symbol" w:hAnsi="Symbol" w:hint="default"/>
      </w:rPr>
    </w:lvl>
    <w:lvl w:ilvl="4" w:tplc="0C090003" w:tentative="1">
      <w:start w:val="1"/>
      <w:numFmt w:val="bullet"/>
      <w:lvlText w:val="o"/>
      <w:lvlJc w:val="left"/>
      <w:pPr>
        <w:ind w:left="3429" w:hanging="360"/>
      </w:pPr>
      <w:rPr>
        <w:rFonts w:ascii="Courier New" w:hAnsi="Courier New" w:cs="Courier New" w:hint="default"/>
      </w:rPr>
    </w:lvl>
    <w:lvl w:ilvl="5" w:tplc="0C090005" w:tentative="1">
      <w:start w:val="1"/>
      <w:numFmt w:val="bullet"/>
      <w:lvlText w:val=""/>
      <w:lvlJc w:val="left"/>
      <w:pPr>
        <w:ind w:left="4149" w:hanging="360"/>
      </w:pPr>
      <w:rPr>
        <w:rFonts w:ascii="Wingdings" w:hAnsi="Wingdings" w:hint="default"/>
      </w:rPr>
    </w:lvl>
    <w:lvl w:ilvl="6" w:tplc="0C090001" w:tentative="1">
      <w:start w:val="1"/>
      <w:numFmt w:val="bullet"/>
      <w:lvlText w:val=""/>
      <w:lvlJc w:val="left"/>
      <w:pPr>
        <w:ind w:left="4869" w:hanging="360"/>
      </w:pPr>
      <w:rPr>
        <w:rFonts w:ascii="Symbol" w:hAnsi="Symbol" w:hint="default"/>
      </w:rPr>
    </w:lvl>
    <w:lvl w:ilvl="7" w:tplc="0C090003" w:tentative="1">
      <w:start w:val="1"/>
      <w:numFmt w:val="bullet"/>
      <w:lvlText w:val="o"/>
      <w:lvlJc w:val="left"/>
      <w:pPr>
        <w:ind w:left="5589" w:hanging="360"/>
      </w:pPr>
      <w:rPr>
        <w:rFonts w:ascii="Courier New" w:hAnsi="Courier New" w:cs="Courier New" w:hint="default"/>
      </w:rPr>
    </w:lvl>
    <w:lvl w:ilvl="8" w:tplc="0C090005" w:tentative="1">
      <w:start w:val="1"/>
      <w:numFmt w:val="bullet"/>
      <w:lvlText w:val=""/>
      <w:lvlJc w:val="left"/>
      <w:pPr>
        <w:ind w:left="6309" w:hanging="360"/>
      </w:pPr>
      <w:rPr>
        <w:rFonts w:ascii="Wingdings" w:hAnsi="Wingdings" w:hint="default"/>
      </w:rPr>
    </w:lvl>
  </w:abstractNum>
  <w:abstractNum w:abstractNumId="1" w15:restartNumberingAfterBreak="0">
    <w:nsid w:val="0C9E3B06"/>
    <w:multiLevelType w:val="hybridMultilevel"/>
    <w:tmpl w:val="507AC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937902"/>
    <w:multiLevelType w:val="hybridMultilevel"/>
    <w:tmpl w:val="26EC8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737B8"/>
    <w:multiLevelType w:val="hybridMultilevel"/>
    <w:tmpl w:val="9AE27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887E3C"/>
    <w:multiLevelType w:val="hybridMultilevel"/>
    <w:tmpl w:val="25905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F92F81"/>
    <w:multiLevelType w:val="hybridMultilevel"/>
    <w:tmpl w:val="6BA03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133CFC"/>
    <w:multiLevelType w:val="hybridMultilevel"/>
    <w:tmpl w:val="85EE9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14122C"/>
    <w:multiLevelType w:val="hybridMultilevel"/>
    <w:tmpl w:val="B510A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66474A"/>
    <w:multiLevelType w:val="hybridMultilevel"/>
    <w:tmpl w:val="25D6E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754924"/>
    <w:multiLevelType w:val="hybridMultilevel"/>
    <w:tmpl w:val="72E07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287833"/>
    <w:multiLevelType w:val="hybridMultilevel"/>
    <w:tmpl w:val="23108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78616B"/>
    <w:multiLevelType w:val="hybridMultilevel"/>
    <w:tmpl w:val="00865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683689"/>
    <w:multiLevelType w:val="hybridMultilevel"/>
    <w:tmpl w:val="1BC6BD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C57378"/>
    <w:multiLevelType w:val="hybridMultilevel"/>
    <w:tmpl w:val="2C284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486BDB"/>
    <w:multiLevelType w:val="hybridMultilevel"/>
    <w:tmpl w:val="0AF00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754DCF"/>
    <w:multiLevelType w:val="hybridMultilevel"/>
    <w:tmpl w:val="92461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DA47AA"/>
    <w:multiLevelType w:val="hybridMultilevel"/>
    <w:tmpl w:val="1840C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810DD0"/>
    <w:multiLevelType w:val="hybridMultilevel"/>
    <w:tmpl w:val="22F47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276AC4"/>
    <w:multiLevelType w:val="hybridMultilevel"/>
    <w:tmpl w:val="46AEE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CE473A"/>
    <w:multiLevelType w:val="hybridMultilevel"/>
    <w:tmpl w:val="923C6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E26B4B"/>
    <w:multiLevelType w:val="hybridMultilevel"/>
    <w:tmpl w:val="FA8EC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1431F8"/>
    <w:multiLevelType w:val="hybridMultilevel"/>
    <w:tmpl w:val="5D90E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7661DD"/>
    <w:multiLevelType w:val="hybridMultilevel"/>
    <w:tmpl w:val="4E6AB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137537"/>
    <w:multiLevelType w:val="hybridMultilevel"/>
    <w:tmpl w:val="0ADA8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5A3331"/>
    <w:multiLevelType w:val="hybridMultilevel"/>
    <w:tmpl w:val="5148C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4A777D"/>
    <w:multiLevelType w:val="hybridMultilevel"/>
    <w:tmpl w:val="B414E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B4253A"/>
    <w:multiLevelType w:val="hybridMultilevel"/>
    <w:tmpl w:val="9A309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F45A08"/>
    <w:multiLevelType w:val="hybridMultilevel"/>
    <w:tmpl w:val="6602E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770C4E"/>
    <w:multiLevelType w:val="hybridMultilevel"/>
    <w:tmpl w:val="94BA2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9C2392"/>
    <w:multiLevelType w:val="hybridMultilevel"/>
    <w:tmpl w:val="C38C7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B5082E"/>
    <w:multiLevelType w:val="hybridMultilevel"/>
    <w:tmpl w:val="E85CC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552F11"/>
    <w:multiLevelType w:val="hybridMultilevel"/>
    <w:tmpl w:val="95FED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696ADE"/>
    <w:multiLevelType w:val="hybridMultilevel"/>
    <w:tmpl w:val="34C4BCC8"/>
    <w:lvl w:ilvl="0" w:tplc="0C090001">
      <w:start w:val="1"/>
      <w:numFmt w:val="bullet"/>
      <w:lvlText w:val=""/>
      <w:lvlJc w:val="left"/>
      <w:pPr>
        <w:ind w:left="549" w:hanging="360"/>
      </w:pPr>
      <w:rPr>
        <w:rFonts w:ascii="Symbol" w:hAnsi="Symbol" w:hint="default"/>
      </w:rPr>
    </w:lvl>
    <w:lvl w:ilvl="1" w:tplc="0C090003" w:tentative="1">
      <w:start w:val="1"/>
      <w:numFmt w:val="bullet"/>
      <w:lvlText w:val="o"/>
      <w:lvlJc w:val="left"/>
      <w:pPr>
        <w:ind w:left="1269" w:hanging="360"/>
      </w:pPr>
      <w:rPr>
        <w:rFonts w:ascii="Courier New" w:hAnsi="Courier New" w:cs="Courier New" w:hint="default"/>
      </w:rPr>
    </w:lvl>
    <w:lvl w:ilvl="2" w:tplc="0C090005" w:tentative="1">
      <w:start w:val="1"/>
      <w:numFmt w:val="bullet"/>
      <w:lvlText w:val=""/>
      <w:lvlJc w:val="left"/>
      <w:pPr>
        <w:ind w:left="1989" w:hanging="360"/>
      </w:pPr>
      <w:rPr>
        <w:rFonts w:ascii="Wingdings" w:hAnsi="Wingdings" w:hint="default"/>
      </w:rPr>
    </w:lvl>
    <w:lvl w:ilvl="3" w:tplc="0C090001" w:tentative="1">
      <w:start w:val="1"/>
      <w:numFmt w:val="bullet"/>
      <w:lvlText w:val=""/>
      <w:lvlJc w:val="left"/>
      <w:pPr>
        <w:ind w:left="2709" w:hanging="360"/>
      </w:pPr>
      <w:rPr>
        <w:rFonts w:ascii="Symbol" w:hAnsi="Symbol" w:hint="default"/>
      </w:rPr>
    </w:lvl>
    <w:lvl w:ilvl="4" w:tplc="0C090003" w:tentative="1">
      <w:start w:val="1"/>
      <w:numFmt w:val="bullet"/>
      <w:lvlText w:val="o"/>
      <w:lvlJc w:val="left"/>
      <w:pPr>
        <w:ind w:left="3429" w:hanging="360"/>
      </w:pPr>
      <w:rPr>
        <w:rFonts w:ascii="Courier New" w:hAnsi="Courier New" w:cs="Courier New" w:hint="default"/>
      </w:rPr>
    </w:lvl>
    <w:lvl w:ilvl="5" w:tplc="0C090005" w:tentative="1">
      <w:start w:val="1"/>
      <w:numFmt w:val="bullet"/>
      <w:lvlText w:val=""/>
      <w:lvlJc w:val="left"/>
      <w:pPr>
        <w:ind w:left="4149" w:hanging="360"/>
      </w:pPr>
      <w:rPr>
        <w:rFonts w:ascii="Wingdings" w:hAnsi="Wingdings" w:hint="default"/>
      </w:rPr>
    </w:lvl>
    <w:lvl w:ilvl="6" w:tplc="0C090001" w:tentative="1">
      <w:start w:val="1"/>
      <w:numFmt w:val="bullet"/>
      <w:lvlText w:val=""/>
      <w:lvlJc w:val="left"/>
      <w:pPr>
        <w:ind w:left="4869" w:hanging="360"/>
      </w:pPr>
      <w:rPr>
        <w:rFonts w:ascii="Symbol" w:hAnsi="Symbol" w:hint="default"/>
      </w:rPr>
    </w:lvl>
    <w:lvl w:ilvl="7" w:tplc="0C090003" w:tentative="1">
      <w:start w:val="1"/>
      <w:numFmt w:val="bullet"/>
      <w:lvlText w:val="o"/>
      <w:lvlJc w:val="left"/>
      <w:pPr>
        <w:ind w:left="5589" w:hanging="360"/>
      </w:pPr>
      <w:rPr>
        <w:rFonts w:ascii="Courier New" w:hAnsi="Courier New" w:cs="Courier New" w:hint="default"/>
      </w:rPr>
    </w:lvl>
    <w:lvl w:ilvl="8" w:tplc="0C090005" w:tentative="1">
      <w:start w:val="1"/>
      <w:numFmt w:val="bullet"/>
      <w:lvlText w:val=""/>
      <w:lvlJc w:val="left"/>
      <w:pPr>
        <w:ind w:left="6309" w:hanging="360"/>
      </w:pPr>
      <w:rPr>
        <w:rFonts w:ascii="Wingdings" w:hAnsi="Wingdings" w:hint="default"/>
      </w:rPr>
    </w:lvl>
  </w:abstractNum>
  <w:num w:numId="1">
    <w:abstractNumId w:val="27"/>
  </w:num>
  <w:num w:numId="2">
    <w:abstractNumId w:val="3"/>
  </w:num>
  <w:num w:numId="3">
    <w:abstractNumId w:val="10"/>
  </w:num>
  <w:num w:numId="4">
    <w:abstractNumId w:val="6"/>
  </w:num>
  <w:num w:numId="5">
    <w:abstractNumId w:val="13"/>
  </w:num>
  <w:num w:numId="6">
    <w:abstractNumId w:val="22"/>
  </w:num>
  <w:num w:numId="7">
    <w:abstractNumId w:val="24"/>
  </w:num>
  <w:num w:numId="8">
    <w:abstractNumId w:val="18"/>
  </w:num>
  <w:num w:numId="9">
    <w:abstractNumId w:val="31"/>
  </w:num>
  <w:num w:numId="10">
    <w:abstractNumId w:val="19"/>
  </w:num>
  <w:num w:numId="11">
    <w:abstractNumId w:val="32"/>
  </w:num>
  <w:num w:numId="12">
    <w:abstractNumId w:val="0"/>
  </w:num>
  <w:num w:numId="13">
    <w:abstractNumId w:val="2"/>
  </w:num>
  <w:num w:numId="14">
    <w:abstractNumId w:val="21"/>
  </w:num>
  <w:num w:numId="15">
    <w:abstractNumId w:val="29"/>
  </w:num>
  <w:num w:numId="16">
    <w:abstractNumId w:val="1"/>
  </w:num>
  <w:num w:numId="17">
    <w:abstractNumId w:val="30"/>
  </w:num>
  <w:num w:numId="18">
    <w:abstractNumId w:val="16"/>
  </w:num>
  <w:num w:numId="19">
    <w:abstractNumId w:val="28"/>
  </w:num>
  <w:num w:numId="20">
    <w:abstractNumId w:val="17"/>
  </w:num>
  <w:num w:numId="21">
    <w:abstractNumId w:val="15"/>
  </w:num>
  <w:num w:numId="22">
    <w:abstractNumId w:val="5"/>
  </w:num>
  <w:num w:numId="23">
    <w:abstractNumId w:val="25"/>
  </w:num>
  <w:num w:numId="24">
    <w:abstractNumId w:val="20"/>
  </w:num>
  <w:num w:numId="25">
    <w:abstractNumId w:val="8"/>
  </w:num>
  <w:num w:numId="26">
    <w:abstractNumId w:val="7"/>
  </w:num>
  <w:num w:numId="27">
    <w:abstractNumId w:val="9"/>
  </w:num>
  <w:num w:numId="28">
    <w:abstractNumId w:val="26"/>
  </w:num>
  <w:num w:numId="29">
    <w:abstractNumId w:val="14"/>
  </w:num>
  <w:num w:numId="30">
    <w:abstractNumId w:val="4"/>
  </w:num>
  <w:num w:numId="31">
    <w:abstractNumId w:val="11"/>
  </w:num>
  <w:num w:numId="32">
    <w:abstractNumId w:val="23"/>
  </w:num>
  <w:num w:numId="33">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BC"/>
    <w:rsid w:val="0002719A"/>
    <w:rsid w:val="00036090"/>
    <w:rsid w:val="000908D2"/>
    <w:rsid w:val="000B6193"/>
    <w:rsid w:val="000C1CD3"/>
    <w:rsid w:val="000C7648"/>
    <w:rsid w:val="000E0416"/>
    <w:rsid w:val="001049BC"/>
    <w:rsid w:val="001420B4"/>
    <w:rsid w:val="001F44C9"/>
    <w:rsid w:val="002144B7"/>
    <w:rsid w:val="002159E3"/>
    <w:rsid w:val="002815F1"/>
    <w:rsid w:val="002C7A80"/>
    <w:rsid w:val="00346761"/>
    <w:rsid w:val="003A2EEE"/>
    <w:rsid w:val="00407DF9"/>
    <w:rsid w:val="00442305"/>
    <w:rsid w:val="004D2133"/>
    <w:rsid w:val="004F1169"/>
    <w:rsid w:val="0050731D"/>
    <w:rsid w:val="00511FB3"/>
    <w:rsid w:val="00543D2A"/>
    <w:rsid w:val="00565FA9"/>
    <w:rsid w:val="005C270E"/>
    <w:rsid w:val="00606EB6"/>
    <w:rsid w:val="0061209E"/>
    <w:rsid w:val="00633EF7"/>
    <w:rsid w:val="006649BB"/>
    <w:rsid w:val="00697861"/>
    <w:rsid w:val="006E6C33"/>
    <w:rsid w:val="006F4249"/>
    <w:rsid w:val="00700515"/>
    <w:rsid w:val="00723AD7"/>
    <w:rsid w:val="007514A4"/>
    <w:rsid w:val="00790E6A"/>
    <w:rsid w:val="007E64D8"/>
    <w:rsid w:val="00822AD3"/>
    <w:rsid w:val="00883BDF"/>
    <w:rsid w:val="00896123"/>
    <w:rsid w:val="008D2843"/>
    <w:rsid w:val="008E7E7A"/>
    <w:rsid w:val="008F5B20"/>
    <w:rsid w:val="00915F01"/>
    <w:rsid w:val="009210E5"/>
    <w:rsid w:val="00942E92"/>
    <w:rsid w:val="00944E7C"/>
    <w:rsid w:val="00955682"/>
    <w:rsid w:val="009840D5"/>
    <w:rsid w:val="009D0424"/>
    <w:rsid w:val="00A50DA3"/>
    <w:rsid w:val="00A544FD"/>
    <w:rsid w:val="00A56F8F"/>
    <w:rsid w:val="00A8204B"/>
    <w:rsid w:val="00A942E6"/>
    <w:rsid w:val="00AE7C9A"/>
    <w:rsid w:val="00B258F6"/>
    <w:rsid w:val="00B350E2"/>
    <w:rsid w:val="00B61A71"/>
    <w:rsid w:val="00B861F6"/>
    <w:rsid w:val="00B95430"/>
    <w:rsid w:val="00B9572F"/>
    <w:rsid w:val="00BB2270"/>
    <w:rsid w:val="00BB6F22"/>
    <w:rsid w:val="00BD0948"/>
    <w:rsid w:val="00BD2239"/>
    <w:rsid w:val="00C4607E"/>
    <w:rsid w:val="00C81B8A"/>
    <w:rsid w:val="00CB6C38"/>
    <w:rsid w:val="00CF017F"/>
    <w:rsid w:val="00D1222A"/>
    <w:rsid w:val="00D55475"/>
    <w:rsid w:val="00D55FBF"/>
    <w:rsid w:val="00D847ED"/>
    <w:rsid w:val="00D92181"/>
    <w:rsid w:val="00D934B8"/>
    <w:rsid w:val="00D96EF1"/>
    <w:rsid w:val="00DD6581"/>
    <w:rsid w:val="00E1069B"/>
    <w:rsid w:val="00E154EE"/>
    <w:rsid w:val="00E46BBC"/>
    <w:rsid w:val="00EC08B2"/>
    <w:rsid w:val="00ED12CF"/>
    <w:rsid w:val="00F17D98"/>
    <w:rsid w:val="00F20B31"/>
    <w:rsid w:val="00F3711F"/>
    <w:rsid w:val="00FB0274"/>
    <w:rsid w:val="00FB7566"/>
    <w:rsid w:val="00FC3FAD"/>
    <w:rsid w:val="00FF29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2998"/>
    <w:pPr>
      <w:spacing w:before="120" w:after="120" w:line="276" w:lineRule="auto"/>
    </w:pPr>
    <w:rPr>
      <w:rFonts w:ascii="Tahoma" w:eastAsia="Tahoma" w:hAnsi="Tahoma" w:cs="Tahoma"/>
      <w:color w:val="231F20"/>
      <w:sz w:val="17"/>
      <w:szCs w:val="17"/>
    </w:rPr>
  </w:style>
  <w:style w:type="paragraph" w:styleId="Heading1">
    <w:name w:val="heading 1"/>
    <w:basedOn w:val="Normal"/>
    <w:uiPriority w:val="1"/>
    <w:qFormat/>
    <w:rsid w:val="00A50DA3"/>
    <w:pPr>
      <w:spacing w:before="0"/>
      <w:ind w:right="442"/>
      <w:outlineLvl w:val="0"/>
    </w:pPr>
    <w:rPr>
      <w:rFonts w:eastAsia="Century Gothic" w:hAnsi="Century Gothic"/>
      <w:color w:val="196784"/>
      <w:spacing w:val="-11"/>
      <w:w w:val="115"/>
      <w:sz w:val="40"/>
      <w:szCs w:val="46"/>
    </w:rPr>
  </w:style>
  <w:style w:type="paragraph" w:styleId="Heading2">
    <w:name w:val="heading 2"/>
    <w:basedOn w:val="Normal"/>
    <w:uiPriority w:val="1"/>
    <w:qFormat/>
    <w:rsid w:val="00A50DA3"/>
    <w:pPr>
      <w:spacing w:before="360" w:line="240" w:lineRule="auto"/>
      <w:outlineLvl w:val="1"/>
    </w:pPr>
    <w:rPr>
      <w:rFonts w:ascii="Palatino Linotype" w:eastAsia="Palatino Linotype" w:hAnsi="Palatino Linotype"/>
      <w:i/>
      <w:color w:val="196784"/>
      <w:sz w:val="36"/>
      <w:szCs w:val="44"/>
    </w:rPr>
  </w:style>
  <w:style w:type="paragraph" w:styleId="Heading3">
    <w:name w:val="heading 3"/>
    <w:basedOn w:val="Normal"/>
    <w:uiPriority w:val="1"/>
    <w:qFormat/>
    <w:rsid w:val="00A50DA3"/>
    <w:pPr>
      <w:outlineLvl w:val="2"/>
    </w:pPr>
    <w:rPr>
      <w:rFonts w:ascii="Palatino Linotype" w:eastAsia="Palatino Linotype" w:hAnsi="Palatino Linotype"/>
      <w:i/>
      <w:sz w:val="28"/>
      <w:szCs w:val="36"/>
    </w:rPr>
  </w:style>
  <w:style w:type="paragraph" w:styleId="Heading4">
    <w:name w:val="heading 4"/>
    <w:basedOn w:val="Normal"/>
    <w:uiPriority w:val="1"/>
    <w:qFormat/>
    <w:rsid w:val="00FF2998"/>
    <w:pPr>
      <w:spacing w:before="200"/>
      <w:outlineLvl w:val="3"/>
    </w:pPr>
    <w:rPr>
      <w:rFonts w:ascii="Century Gothic" w:eastAsia="Century Gothic" w:hAnsi="Century Gothic"/>
      <w:b/>
      <w:sz w:val="24"/>
      <w:szCs w:val="24"/>
    </w:rPr>
  </w:style>
  <w:style w:type="paragraph" w:styleId="Heading5">
    <w:name w:val="heading 5"/>
    <w:basedOn w:val="Normal"/>
    <w:uiPriority w:val="1"/>
    <w:qFormat/>
    <w:pPr>
      <w:outlineLvl w:val="4"/>
    </w:pPr>
    <w:rPr>
      <w:rFonts w:ascii="Calibri" w:eastAsia="Calibri" w:hAnsi="Calibri"/>
      <w:sz w:val="20"/>
      <w:szCs w:val="20"/>
    </w:rPr>
  </w:style>
  <w:style w:type="paragraph" w:styleId="Heading6">
    <w:name w:val="heading 6"/>
    <w:basedOn w:val="Normal"/>
    <w:uiPriority w:val="1"/>
    <w:qFormat/>
    <w:pPr>
      <w:spacing w:before="127"/>
      <w:ind w:left="871" w:hanging="284"/>
      <w:outlineLvl w:val="5"/>
    </w:pPr>
    <w:rPr>
      <w:sz w:val="18"/>
      <w:szCs w:val="18"/>
    </w:rPr>
  </w:style>
  <w:style w:type="paragraph" w:styleId="Heading7">
    <w:name w:val="heading 7"/>
    <w:basedOn w:val="Normal"/>
    <w:uiPriority w:val="1"/>
    <w:qFormat/>
    <w:pPr>
      <w:spacing w:before="67"/>
      <w:ind w:left="1154" w:hanging="283"/>
      <w:outlineLvl w:val="6"/>
    </w:pPr>
    <w:rPr>
      <w:rFonts w:ascii="Century Gothic" w:eastAsia="Century Gothic" w:hAnsi="Century Gothic"/>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A50DA3"/>
    <w:pPr>
      <w:spacing w:before="242"/>
    </w:pPr>
    <w:rPr>
      <w:rFonts w:ascii="Calibri" w:eastAsia="Calibri" w:hAnsi="Calibri"/>
      <w:b/>
      <w:bCs/>
      <w:color w:val="196784"/>
      <w:sz w:val="24"/>
      <w:szCs w:val="20"/>
    </w:rPr>
  </w:style>
  <w:style w:type="paragraph" w:styleId="TOC2">
    <w:name w:val="toc 2"/>
    <w:basedOn w:val="Normal"/>
    <w:uiPriority w:val="39"/>
    <w:qFormat/>
    <w:pPr>
      <w:spacing w:before="78"/>
      <w:ind w:left="484" w:hanging="180"/>
    </w:pPr>
    <w:rPr>
      <w:sz w:val="20"/>
      <w:szCs w:val="20"/>
    </w:rPr>
  </w:style>
  <w:style w:type="paragraph" w:styleId="TOC3">
    <w:name w:val="toc 3"/>
    <w:basedOn w:val="Normal"/>
    <w:uiPriority w:val="39"/>
    <w:qFormat/>
    <w:pPr>
      <w:spacing w:before="78"/>
      <w:ind w:left="644" w:hanging="180"/>
    </w:pPr>
    <w:rPr>
      <w:sz w:val="20"/>
      <w:szCs w:val="20"/>
    </w:rPr>
  </w:style>
  <w:style w:type="paragraph" w:styleId="BodyText">
    <w:name w:val="Body Text"/>
    <w:basedOn w:val="Normal"/>
    <w:uiPriority w:val="1"/>
    <w:qFormat/>
    <w:pPr>
      <w:spacing w:before="113"/>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144B7"/>
    <w:rPr>
      <w:sz w:val="16"/>
      <w:szCs w:val="16"/>
    </w:rPr>
  </w:style>
  <w:style w:type="character" w:customStyle="1" w:styleId="BalloonTextChar">
    <w:name w:val="Balloon Text Char"/>
    <w:basedOn w:val="DefaultParagraphFont"/>
    <w:link w:val="BalloonText"/>
    <w:uiPriority w:val="99"/>
    <w:semiHidden/>
    <w:rsid w:val="002144B7"/>
    <w:rPr>
      <w:rFonts w:ascii="Tahoma" w:hAnsi="Tahoma" w:cs="Tahoma"/>
      <w:sz w:val="16"/>
      <w:szCs w:val="16"/>
    </w:rPr>
  </w:style>
  <w:style w:type="paragraph" w:styleId="Header">
    <w:name w:val="header"/>
    <w:basedOn w:val="Normal"/>
    <w:link w:val="HeaderChar"/>
    <w:uiPriority w:val="99"/>
    <w:unhideWhenUsed/>
    <w:rsid w:val="001049BC"/>
    <w:pPr>
      <w:tabs>
        <w:tab w:val="center" w:pos="4513"/>
        <w:tab w:val="right" w:pos="9026"/>
      </w:tabs>
    </w:pPr>
  </w:style>
  <w:style w:type="character" w:customStyle="1" w:styleId="HeaderChar">
    <w:name w:val="Header Char"/>
    <w:basedOn w:val="DefaultParagraphFont"/>
    <w:link w:val="Header"/>
    <w:uiPriority w:val="99"/>
    <w:rsid w:val="001049BC"/>
  </w:style>
  <w:style w:type="paragraph" w:styleId="Footer">
    <w:name w:val="footer"/>
    <w:basedOn w:val="Normal"/>
    <w:link w:val="FooterChar"/>
    <w:uiPriority w:val="99"/>
    <w:unhideWhenUsed/>
    <w:rsid w:val="001049BC"/>
    <w:pPr>
      <w:tabs>
        <w:tab w:val="center" w:pos="4513"/>
        <w:tab w:val="right" w:pos="9026"/>
      </w:tabs>
    </w:pPr>
  </w:style>
  <w:style w:type="character" w:customStyle="1" w:styleId="FooterChar">
    <w:name w:val="Footer Char"/>
    <w:basedOn w:val="DefaultParagraphFont"/>
    <w:link w:val="Footer"/>
    <w:uiPriority w:val="99"/>
    <w:rsid w:val="001049BC"/>
  </w:style>
  <w:style w:type="character" w:styleId="Hyperlink">
    <w:name w:val="Hyperlink"/>
    <w:basedOn w:val="DefaultParagraphFont"/>
    <w:uiPriority w:val="99"/>
    <w:unhideWhenUsed/>
    <w:rsid w:val="00543D2A"/>
    <w:rPr>
      <w:color w:val="0000FF" w:themeColor="hyperlink"/>
      <w:u w:val="single"/>
    </w:rPr>
  </w:style>
  <w:style w:type="paragraph" w:styleId="FootnoteText">
    <w:name w:val="footnote text"/>
    <w:basedOn w:val="Normal"/>
    <w:link w:val="FootnoteTextChar"/>
    <w:uiPriority w:val="99"/>
    <w:semiHidden/>
    <w:unhideWhenUsed/>
    <w:rsid w:val="000C1CD3"/>
    <w:rPr>
      <w:sz w:val="20"/>
      <w:szCs w:val="20"/>
    </w:rPr>
  </w:style>
  <w:style w:type="character" w:customStyle="1" w:styleId="FootnoteTextChar">
    <w:name w:val="Footnote Text Char"/>
    <w:basedOn w:val="DefaultParagraphFont"/>
    <w:link w:val="FootnoteText"/>
    <w:uiPriority w:val="99"/>
    <w:semiHidden/>
    <w:rsid w:val="000C1CD3"/>
    <w:rPr>
      <w:sz w:val="20"/>
      <w:szCs w:val="20"/>
    </w:rPr>
  </w:style>
  <w:style w:type="character" w:styleId="FootnoteReference">
    <w:name w:val="footnote reference"/>
    <w:basedOn w:val="DefaultParagraphFont"/>
    <w:uiPriority w:val="99"/>
    <w:semiHidden/>
    <w:unhideWhenUsed/>
    <w:rsid w:val="000C1CD3"/>
    <w:rPr>
      <w:vertAlign w:val="superscript"/>
    </w:rPr>
  </w:style>
  <w:style w:type="character" w:styleId="CommentReference">
    <w:name w:val="annotation reference"/>
    <w:basedOn w:val="DefaultParagraphFont"/>
    <w:uiPriority w:val="99"/>
    <w:semiHidden/>
    <w:unhideWhenUsed/>
    <w:rsid w:val="00CB6C38"/>
    <w:rPr>
      <w:sz w:val="16"/>
      <w:szCs w:val="16"/>
    </w:rPr>
  </w:style>
  <w:style w:type="paragraph" w:styleId="CommentText">
    <w:name w:val="annotation text"/>
    <w:basedOn w:val="Normal"/>
    <w:link w:val="CommentTextChar"/>
    <w:uiPriority w:val="99"/>
    <w:semiHidden/>
    <w:unhideWhenUsed/>
    <w:rsid w:val="00CB6C38"/>
    <w:rPr>
      <w:sz w:val="20"/>
      <w:szCs w:val="20"/>
    </w:rPr>
  </w:style>
  <w:style w:type="character" w:customStyle="1" w:styleId="CommentTextChar">
    <w:name w:val="Comment Text Char"/>
    <w:basedOn w:val="DefaultParagraphFont"/>
    <w:link w:val="CommentText"/>
    <w:uiPriority w:val="99"/>
    <w:semiHidden/>
    <w:rsid w:val="00CB6C38"/>
    <w:rPr>
      <w:sz w:val="20"/>
      <w:szCs w:val="20"/>
    </w:rPr>
  </w:style>
  <w:style w:type="paragraph" w:styleId="CommentSubject">
    <w:name w:val="annotation subject"/>
    <w:basedOn w:val="CommentText"/>
    <w:next w:val="CommentText"/>
    <w:link w:val="CommentSubjectChar"/>
    <w:uiPriority w:val="99"/>
    <w:semiHidden/>
    <w:unhideWhenUsed/>
    <w:rsid w:val="00CB6C38"/>
    <w:rPr>
      <w:b/>
      <w:bCs/>
    </w:rPr>
  </w:style>
  <w:style w:type="character" w:customStyle="1" w:styleId="CommentSubjectChar">
    <w:name w:val="Comment Subject Char"/>
    <w:basedOn w:val="CommentTextChar"/>
    <w:link w:val="CommentSubject"/>
    <w:uiPriority w:val="99"/>
    <w:semiHidden/>
    <w:rsid w:val="00CB6C38"/>
    <w:rPr>
      <w:b/>
      <w:bCs/>
      <w:sz w:val="20"/>
      <w:szCs w:val="20"/>
    </w:rPr>
  </w:style>
  <w:style w:type="paragraph" w:customStyle="1" w:styleId="Pa10">
    <w:name w:val="Pa10"/>
    <w:basedOn w:val="Normal"/>
    <w:next w:val="Normal"/>
    <w:uiPriority w:val="99"/>
    <w:rsid w:val="00700515"/>
    <w:pPr>
      <w:widowControl/>
      <w:autoSpaceDE w:val="0"/>
      <w:autoSpaceDN w:val="0"/>
      <w:adjustRightInd w:val="0"/>
      <w:spacing w:before="0" w:line="176" w:lineRule="atLeast"/>
    </w:pPr>
    <w:rPr>
      <w:rFonts w:ascii="Gotham Narrow Medium" w:eastAsiaTheme="minorHAnsi" w:hAnsi="Gotham Narrow Medium" w:cstheme="minorBidi"/>
      <w:color w:val="auto"/>
      <w:sz w:val="24"/>
      <w:szCs w:val="24"/>
      <w:lang w:val="en-AU"/>
    </w:rPr>
  </w:style>
  <w:style w:type="paragraph" w:customStyle="1" w:styleId="Pa15">
    <w:name w:val="Pa15"/>
    <w:basedOn w:val="Normal"/>
    <w:next w:val="Normal"/>
    <w:uiPriority w:val="99"/>
    <w:rsid w:val="00700515"/>
    <w:pPr>
      <w:widowControl/>
      <w:autoSpaceDE w:val="0"/>
      <w:autoSpaceDN w:val="0"/>
      <w:adjustRightInd w:val="0"/>
      <w:spacing w:before="0" w:line="161" w:lineRule="atLeast"/>
    </w:pPr>
    <w:rPr>
      <w:rFonts w:ascii="Gotham Narrow Medium" w:eastAsiaTheme="minorHAnsi" w:hAnsi="Gotham Narrow Medium" w:cstheme="minorBidi"/>
      <w:color w:val="auto"/>
      <w:sz w:val="24"/>
      <w:szCs w:val="24"/>
      <w:lang w:val="en-AU"/>
    </w:rPr>
  </w:style>
  <w:style w:type="character" w:customStyle="1" w:styleId="A12">
    <w:name w:val="A12"/>
    <w:uiPriority w:val="99"/>
    <w:rsid w:val="00700515"/>
    <w:rPr>
      <w:rFonts w:cs="Gotham Narrow Medium"/>
      <w:color w:val="000000"/>
      <w:sz w:val="9"/>
      <w:szCs w:val="9"/>
    </w:rPr>
  </w:style>
  <w:style w:type="character" w:customStyle="1" w:styleId="A8">
    <w:name w:val="A8"/>
    <w:uiPriority w:val="99"/>
    <w:rsid w:val="00700515"/>
    <w:rPr>
      <w:rFonts w:cs="Gotham Narrow Medium"/>
      <w:color w:val="000000"/>
      <w:sz w:val="10"/>
      <w:szCs w:val="10"/>
    </w:rPr>
  </w:style>
  <w:style w:type="table" w:styleId="TableGrid">
    <w:name w:val="Table Grid"/>
    <w:basedOn w:val="TableNormal"/>
    <w:uiPriority w:val="59"/>
    <w:rsid w:val="00700515"/>
    <w:pPr>
      <w:widowControl/>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2998"/>
    <w:rPr>
      <w:rFonts w:ascii="Tahoma" w:eastAsia="Tahoma" w:hAnsi="Tahoma" w:cs="Tahoma"/>
      <w:color w:val="231F20"/>
      <w:sz w:val="17"/>
      <w:szCs w:val="17"/>
    </w:rPr>
  </w:style>
  <w:style w:type="character" w:customStyle="1" w:styleId="A4">
    <w:name w:val="A4"/>
    <w:uiPriority w:val="99"/>
    <w:rsid w:val="000C7648"/>
    <w:rPr>
      <w:rFonts w:ascii="Archer Medium" w:hAnsi="Archer Medium" w:cs="Archer Medium"/>
      <w:i/>
      <w:iCs/>
      <w:color w:val="000000"/>
      <w:sz w:val="16"/>
      <w:szCs w:val="16"/>
    </w:rPr>
  </w:style>
  <w:style w:type="paragraph" w:styleId="TOC4">
    <w:name w:val="toc 4"/>
    <w:basedOn w:val="Normal"/>
    <w:next w:val="Normal"/>
    <w:autoRedefine/>
    <w:uiPriority w:val="39"/>
    <w:unhideWhenUsed/>
    <w:rsid w:val="00A50DA3"/>
    <w:pPr>
      <w:spacing w:after="100"/>
      <w:ind w:left="5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98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regulation@industry.gov.au" TargetMode="External"/><Relationship Id="rId18" Type="http://schemas.openxmlformats.org/officeDocument/2006/relationships/hyperlink" Target="http://www.industry.gov.au/streamlining" TargetMode="External"/><Relationship Id="rId3" Type="http://schemas.openxmlformats.org/officeDocument/2006/relationships/customXml" Target="../customXml/item3.xml"/><Relationship Id="rId21" Type="http://schemas.openxmlformats.org/officeDocument/2006/relationships/hyperlink" Target="http://www.industry.gov.au/industry/IndustryInitiatives/PortfolioRegulationReform/Pages/default.aspx" TargetMode="External"/><Relationship Id="rId7" Type="http://schemas.openxmlformats.org/officeDocument/2006/relationships/settings" Target="settings.xml"/><Relationship Id="rId12" Type="http://schemas.openxmlformats.org/officeDocument/2006/relationships/hyperlink" Target="http://www.industry.gov.au/industry/IndustryInitiatives/PortfolioRegulationReform/Pages/default.aspx"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ndustry.gov.au/industry/IndustryInitiatives/PortfolioRegulationReform/Documents/Guide-Regulation-Reform.pdf" TargetMode="External"/><Relationship Id="rId20" Type="http://schemas.openxmlformats.org/officeDocument/2006/relationships/hyperlink" Target="http://services.abcb.gov.au/NCCOn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ndustry.gov.au/industry/IndustryInitiatives/PortfolioRegulationReform/Documents/Guide-Regulation-Reform.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uttingredtape.gov.au/sites/default/files/documents/regulator_performance_framewor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dustry.gov.au/industry/IndustryInitiatives/PortfolioRegulationReform/Pages/default.aspx"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ndustry.gov.au/industry/IndustryInitiatives/PortfolioRegulationReform/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F62A7FEBB38EF94E93375DF6870F28F8" ma:contentTypeVersion="77" ma:contentTypeDescription="Core Publishing Document, inherited from OOTB document." ma:contentTypeScope="" ma:versionID="30f2d5a0f8176520604a4306d7c23fe1">
  <xsd:schema xmlns:xsd="http://www.w3.org/2001/XMLSchema" xmlns:xs="http://www.w3.org/2001/XMLSchema" xmlns:p="http://schemas.microsoft.com/office/2006/metadata/properties" xmlns:ns1="http://schemas.microsoft.com/sharepoint/v3" xmlns:ns2="b7ec3e40-8246-4305-8d4c-91fac2012213" xmlns:ns3="c0b4bd0a-f6ac-422c-a0b2-ddc3a705a698" targetNamespace="http://schemas.microsoft.com/office/2006/metadata/properties" ma:root="true" ma:fieldsID="67bbe229ac946e6dc8207ab5c4a01734" ns1:_="" ns2:_="" ns3:_="">
    <xsd:import namespace="http://schemas.microsoft.com/sharepoint/v3"/>
    <xsd:import namespace="b7ec3e40-8246-4305-8d4c-91fac2012213"/>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c3e40-8246-4305-8d4c-91fac2012213"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rePublishingDocumentCategory xmlns="c0b4bd0a-f6ac-422c-a0b2-ddc3a705a698" xsi:nil="true"/>
    <KeywordsLookupField xmlns="c0b4bd0a-f6ac-422c-a0b2-ddc3a705a698"/>
    <IncludeInRSSFeeds xmlns="b7ec3e40-8246-4305-8d4c-91fac2012213">false</IncludeInRSSFeeds>
    <IncludeInContentRollups xmlns="b7ec3e40-8246-4305-8d4c-91fac2012213">false</IncludeInContentRollups>
    <CorePublishingDocumentContact xmlns="b7ec3e40-8246-4305-8d4c-91fac2012213">
      <UserInfo>
        <DisplayName>online</DisplayName>
        <AccountId>189</AccountId>
        <AccountType/>
      </UserInfo>
    </CorePublishingDocumentContact>
    <SubjectLookupField xmlns="c0b4bd0a-f6ac-422c-a0b2-ddc3a705a698"/>
    <CorePublishingFileReference xmlns="b7ec3e40-8246-4305-8d4c-91fac2012213">N/A</CorePublishingFileReference>
    <CorePublishingDocumentChangeDescription xmlns="b7ec3e40-8246-4305-8d4c-91fac2012213" xsi:nil="true"/>
    <PublishingExpirationDate xmlns="http://schemas.microsoft.com/sharepoint/v3" xsi:nil="true"/>
    <PublishingStartDate xmlns="http://schemas.microsoft.com/sharepoint/v3" xsi:nil="true"/>
    <IPSCategory xmlns="b7ec3e40-8246-4305-8d4c-91fac2012213" xsi:nil="true"/>
    <IncludeInNotificationsAndUpdates xmlns="b7ec3e40-8246-4305-8d4c-91fac2012213">true</IncludeInNotificationsAndUpdates>
    <CorePublishingComments xmlns="b7ec3e40-8246-4305-8d4c-91fac2012213" xsi:nil="true"/>
    <DocumentRollupCategory xmlns="c0b4bd0a-f6ac-422c-a0b2-ddc3a705a698"/>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6A3CE-1D54-4F2E-A996-B25B9EC68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ec3e40-8246-4305-8d4c-91fac2012213"/>
    <ds:schemaRef ds:uri="c0b4bd0a-f6ac-422c-a0b2-ddc3a705a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AD446-C00E-4EB0-AEDB-9DA0E03B6C2D}">
  <ds:schemaRefs>
    <ds:schemaRef ds:uri="http://schemas.microsoft.com/sharepoint/v3/contenttype/forms"/>
  </ds:schemaRefs>
</ds:datastoreItem>
</file>

<file path=customXml/itemProps3.xml><?xml version="1.0" encoding="utf-8"?>
<ds:datastoreItem xmlns:ds="http://schemas.openxmlformats.org/officeDocument/2006/customXml" ds:itemID="{82452535-6A55-47B0-A1F2-C55B6EE3A113}">
  <ds:schemaRefs>
    <ds:schemaRef ds:uri="http://purl.org/dc/terms/"/>
    <ds:schemaRef ds:uri="http://schemas.microsoft.com/office/2006/documentManagement/types"/>
    <ds:schemaRef ds:uri="http://purl.org/dc/elements/1.1/"/>
    <ds:schemaRef ds:uri="http://schemas.microsoft.com/office/2006/metadata/properties"/>
    <ds:schemaRef ds:uri="b7ec3e40-8246-4305-8d4c-91fac2012213"/>
    <ds:schemaRef ds:uri="http://schemas.openxmlformats.org/package/2006/metadata/core-properties"/>
    <ds:schemaRef ds:uri="http://schemas.microsoft.com/sharepoint/v3"/>
    <ds:schemaRef ds:uri="http://schemas.microsoft.com/office/infopath/2007/PartnerControls"/>
    <ds:schemaRef ds:uri="c0b4bd0a-f6ac-422c-a0b2-ddc3a705a698"/>
    <ds:schemaRef ds:uri="http://www.w3.org/XML/1998/namespace"/>
    <ds:schemaRef ds:uri="http://purl.org/dc/dcmitype/"/>
  </ds:schemaRefs>
</ds:datastoreItem>
</file>

<file path=customXml/itemProps4.xml><?xml version="1.0" encoding="utf-8"?>
<ds:datastoreItem xmlns:ds="http://schemas.openxmlformats.org/officeDocument/2006/customXml" ds:itemID="{45CC978F-CAF1-4554-B9FF-69897AAF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10077</Words>
  <Characters>57440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Industry and Science Portfolio - Annual Deregulation Report 2014</vt:lpstr>
    </vt:vector>
  </TitlesOfParts>
  <LinksUpToDate>false</LinksUpToDate>
  <CharactersWithSpaces>67383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and Science Portfolio - Annual Deregulation Report 2014</dc:title>
  <dc:creator/>
  <cp:lastModifiedBy/>
  <cp:revision>1</cp:revision>
  <dcterms:created xsi:type="dcterms:W3CDTF">2019-01-25T02:57:00Z</dcterms:created>
  <dcterms:modified xsi:type="dcterms:W3CDTF">2019-01-25T02:57:00Z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0x01010097F86F0C24D64525B252BB20BD9D45A700F62A7FEBB38EF94E93375DF6870F28F8</vt:lpwstr>
  </property>
</Properties>
</file>