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01D5F" w14:textId="77777777" w:rsidR="00975726" w:rsidRPr="00BE150C" w:rsidRDefault="00811D43" w:rsidP="00970B54">
      <w:pPr>
        <w:pStyle w:val="Title"/>
        <w:rPr>
          <w:sz w:val="48"/>
          <w:szCs w:val="48"/>
        </w:rPr>
      </w:pPr>
      <w:bookmarkStart w:id="0" w:name="_GoBack"/>
      <w:bookmarkEnd w:id="0"/>
      <w:r w:rsidRPr="00BE150C">
        <w:rPr>
          <w:noProof/>
          <w:lang w:eastAsia="en-AU"/>
        </w:rPr>
        <w:drawing>
          <wp:anchor distT="0" distB="0" distL="114300" distR="114300" simplePos="0" relativeHeight="251658241" behindDoc="0" locked="0" layoutInCell="1" allowOverlap="1" wp14:anchorId="6241DC62" wp14:editId="13B08421">
            <wp:simplePos x="0" y="0"/>
            <wp:positionH relativeFrom="column">
              <wp:posOffset>-417830</wp:posOffset>
            </wp:positionH>
            <wp:positionV relativeFrom="paragraph">
              <wp:posOffset>-382270</wp:posOffset>
            </wp:positionV>
            <wp:extent cx="2448560" cy="727710"/>
            <wp:effectExtent l="0" t="0" r="0" b="8890"/>
            <wp:wrapTopAndBottom/>
            <wp:docPr id="4" name="Picture 4" descr="Australian Government | Department of Industry, Innovation and Science logo&#10;" title="Australian Government | Department of Industry, Innovation an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48560" cy="727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5D3D" w:rsidRPr="00BE150C">
        <w:rPr>
          <w:noProof/>
          <w:lang w:eastAsia="en-AU"/>
        </w:rPr>
        <w:drawing>
          <wp:anchor distT="0" distB="0" distL="114300" distR="114300" simplePos="0" relativeHeight="251658240" behindDoc="1" locked="0" layoutInCell="1" allowOverlap="1" wp14:anchorId="75C9A85F" wp14:editId="544D422A">
            <wp:simplePos x="0" y="0"/>
            <wp:positionH relativeFrom="column">
              <wp:posOffset>-784860</wp:posOffset>
            </wp:positionH>
            <wp:positionV relativeFrom="paragraph">
              <wp:posOffset>-665480</wp:posOffset>
            </wp:positionV>
            <wp:extent cx="7272000" cy="10286287"/>
            <wp:effectExtent l="0" t="0" r="0" b="1270"/>
            <wp:wrapNone/>
            <wp:docPr id="1" name="Picture 1" descr="Background graphic - decorative element only" title="Backgroun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_Word_update_slide_master_nologo.jpg"/>
                    <pic:cNvPicPr/>
                  </pic:nvPicPr>
                  <pic:blipFill>
                    <a:blip r:embed="rId12">
                      <a:extLst>
                        <a:ext uri="{28A0092B-C50C-407E-A947-70E740481C1C}">
                          <a14:useLocalDpi xmlns:a14="http://schemas.microsoft.com/office/drawing/2010/main" val="0"/>
                        </a:ext>
                      </a:extLst>
                    </a:blip>
                    <a:stretch>
                      <a:fillRect/>
                    </a:stretch>
                  </pic:blipFill>
                  <pic:spPr>
                    <a:xfrm>
                      <a:off x="0" y="0"/>
                      <a:ext cx="7272000" cy="10286287"/>
                    </a:xfrm>
                    <a:prstGeom prst="rect">
                      <a:avLst/>
                    </a:prstGeom>
                  </pic:spPr>
                </pic:pic>
              </a:graphicData>
            </a:graphic>
            <wp14:sizeRelH relativeFrom="page">
              <wp14:pctWidth>0</wp14:pctWidth>
            </wp14:sizeRelH>
            <wp14:sizeRelV relativeFrom="page">
              <wp14:pctHeight>0</wp14:pctHeight>
            </wp14:sizeRelV>
          </wp:anchor>
        </w:drawing>
      </w:r>
      <w:r w:rsidR="006B57F5" w:rsidRPr="00BE150C">
        <w:t>Regulator Performance Framework</w:t>
      </w:r>
    </w:p>
    <w:p w14:paraId="35339264" w14:textId="77777777" w:rsidR="006B57F5" w:rsidRPr="00BE150C" w:rsidRDefault="006B57F5" w:rsidP="00970B54">
      <w:pPr>
        <w:pStyle w:val="Subtitle"/>
        <w:ind w:right="662"/>
      </w:pPr>
      <w:r w:rsidRPr="00BE150C">
        <w:t>Self-Assessment Report</w:t>
      </w:r>
    </w:p>
    <w:p w14:paraId="1683C7BE" w14:textId="77777777" w:rsidR="002300AC" w:rsidRPr="00BE150C" w:rsidRDefault="006B57F5" w:rsidP="00970B54">
      <w:pPr>
        <w:rPr>
          <w:sz w:val="32"/>
          <w:szCs w:val="32"/>
        </w:rPr>
      </w:pPr>
      <w:r w:rsidRPr="00BE150C">
        <w:rPr>
          <w:sz w:val="32"/>
          <w:szCs w:val="32"/>
        </w:rPr>
        <w:t>Submitted by:</w:t>
      </w:r>
      <w:r w:rsidR="006820A5" w:rsidRPr="00BE150C">
        <w:rPr>
          <w:sz w:val="32"/>
          <w:szCs w:val="32"/>
        </w:rPr>
        <w:t xml:space="preserve"> </w:t>
      </w:r>
      <w:r w:rsidR="00601A2F" w:rsidRPr="00BE150C">
        <w:rPr>
          <w:sz w:val="32"/>
          <w:szCs w:val="32"/>
        </w:rPr>
        <w:t>Australian Industry Participation Authority</w:t>
      </w:r>
    </w:p>
    <w:p w14:paraId="58928D74" w14:textId="6A9CEC08" w:rsidR="00163B54" w:rsidRPr="00BE150C" w:rsidRDefault="00375A2F" w:rsidP="00970B54">
      <w:pPr>
        <w:rPr>
          <w:sz w:val="32"/>
          <w:szCs w:val="32"/>
        </w:rPr>
      </w:pPr>
      <w:r w:rsidRPr="00BE150C">
        <w:rPr>
          <w:sz w:val="32"/>
          <w:szCs w:val="32"/>
        </w:rPr>
        <w:t>2016-</w:t>
      </w:r>
      <w:r w:rsidR="00254D7A" w:rsidRPr="00BE150C">
        <w:rPr>
          <w:sz w:val="32"/>
          <w:szCs w:val="32"/>
        </w:rPr>
        <w:t>2017</w:t>
      </w:r>
    </w:p>
    <w:p w14:paraId="09497548" w14:textId="77777777" w:rsidR="006B57F5" w:rsidRPr="00BE150C" w:rsidRDefault="006B57F5" w:rsidP="00970B54">
      <w:pPr>
        <w:ind w:right="662"/>
      </w:pPr>
    </w:p>
    <w:p w14:paraId="62251256" w14:textId="77777777" w:rsidR="006B57F5" w:rsidRPr="00BE150C" w:rsidRDefault="001D4A9A" w:rsidP="00970B54">
      <w:pPr>
        <w:tabs>
          <w:tab w:val="left" w:pos="1986"/>
        </w:tabs>
        <w:ind w:right="662"/>
      </w:pPr>
      <w:r w:rsidRPr="00BE150C">
        <w:tab/>
      </w:r>
    </w:p>
    <w:p w14:paraId="433D5C83" w14:textId="77777777" w:rsidR="00602C92" w:rsidRPr="00BE150C" w:rsidRDefault="00EE1ED7" w:rsidP="00970B54">
      <w:pPr>
        <w:ind w:right="662"/>
        <w:rPr>
          <w:rStyle w:val="Hyperlink"/>
        </w:rPr>
      </w:pPr>
      <w:hyperlink r:id="rId13" w:history="1">
        <w:r w:rsidR="00601A2F" w:rsidRPr="00BE150C">
          <w:rPr>
            <w:rStyle w:val="Hyperlink"/>
          </w:rPr>
          <w:t>www.industry.gov.au/aip</w:t>
        </w:r>
      </w:hyperlink>
    </w:p>
    <w:p w14:paraId="2412DD51" w14:textId="77777777" w:rsidR="001A2DC6" w:rsidRPr="00BE150C" w:rsidRDefault="001A2DC6" w:rsidP="00970B54">
      <w:pPr>
        <w:ind w:left="993" w:right="804"/>
        <w:rPr>
          <w:rStyle w:val="Hyperlink"/>
        </w:rPr>
      </w:pPr>
    </w:p>
    <w:p w14:paraId="02C12A19" w14:textId="77777777" w:rsidR="001A2DC6" w:rsidRPr="00BE150C" w:rsidRDefault="001A2DC6" w:rsidP="00970B54">
      <w:pPr>
        <w:rPr>
          <w:rStyle w:val="Hyperlink"/>
        </w:rPr>
        <w:sectPr w:rsidR="001A2DC6" w:rsidRPr="00BE150C" w:rsidSect="0088639D">
          <w:footerReference w:type="even" r:id="rId14"/>
          <w:pgSz w:w="11906" w:h="16838"/>
          <w:pgMar w:top="1440" w:right="1440" w:bottom="1440" w:left="1440" w:header="708" w:footer="708" w:gutter="0"/>
          <w:cols w:space="708"/>
          <w:docGrid w:linePitch="360"/>
        </w:sectPr>
      </w:pPr>
    </w:p>
    <w:p w14:paraId="4778A100" w14:textId="77777777" w:rsidR="00CB2680" w:rsidRPr="00BE150C" w:rsidRDefault="00CB2680" w:rsidP="00970B54">
      <w:pPr>
        <w:pStyle w:val="Heading1"/>
        <w:numPr>
          <w:ilvl w:val="0"/>
          <w:numId w:val="0"/>
        </w:numPr>
        <w:rPr>
          <w:rStyle w:val="Tabletitle"/>
          <w:b/>
        </w:rPr>
      </w:pPr>
      <w:bookmarkStart w:id="1" w:name="_Toc326942572"/>
      <w:bookmarkStart w:id="2" w:name="_Toc481139968"/>
      <w:r w:rsidRPr="00BE150C">
        <w:rPr>
          <w:rStyle w:val="Tabletitle"/>
          <w:b/>
        </w:rPr>
        <w:lastRenderedPageBreak/>
        <w:t>Contents</w:t>
      </w:r>
      <w:bookmarkEnd w:id="1"/>
      <w:bookmarkEnd w:id="2"/>
    </w:p>
    <w:p w14:paraId="79C56560" w14:textId="77777777" w:rsidR="00D30D2F" w:rsidRPr="00BE150C" w:rsidRDefault="00B37916" w:rsidP="00970B54">
      <w:pPr>
        <w:pStyle w:val="TOC1"/>
        <w:tabs>
          <w:tab w:val="right" w:leader="dot" w:pos="8896"/>
        </w:tabs>
        <w:rPr>
          <w:rFonts w:eastAsiaTheme="minorEastAsia"/>
          <w:noProof/>
          <w:sz w:val="22"/>
          <w:lang w:eastAsia="en-AU"/>
        </w:rPr>
      </w:pPr>
      <w:r w:rsidRPr="00BE150C">
        <w:fldChar w:fldCharType="begin"/>
      </w:r>
      <w:r w:rsidRPr="00BE150C">
        <w:instrText xml:space="preserve"> TOC \o "1-4" </w:instrText>
      </w:r>
      <w:r w:rsidRPr="00BE150C">
        <w:fldChar w:fldCharType="separate"/>
      </w:r>
      <w:r w:rsidR="00D30D2F" w:rsidRPr="00BE150C">
        <w:rPr>
          <w:noProof/>
        </w:rPr>
        <w:t>Contents</w:t>
      </w:r>
      <w:r w:rsidR="00D30D2F" w:rsidRPr="00BE150C">
        <w:rPr>
          <w:noProof/>
        </w:rPr>
        <w:tab/>
      </w:r>
      <w:r w:rsidR="00D30D2F" w:rsidRPr="00BE150C">
        <w:rPr>
          <w:noProof/>
        </w:rPr>
        <w:fldChar w:fldCharType="begin"/>
      </w:r>
      <w:r w:rsidR="00D30D2F" w:rsidRPr="00BE150C">
        <w:rPr>
          <w:noProof/>
        </w:rPr>
        <w:instrText xml:space="preserve"> PAGEREF _Toc481139968 \h </w:instrText>
      </w:r>
      <w:r w:rsidR="00D30D2F" w:rsidRPr="00BE150C">
        <w:rPr>
          <w:noProof/>
        </w:rPr>
      </w:r>
      <w:r w:rsidR="00D30D2F" w:rsidRPr="00BE150C">
        <w:rPr>
          <w:noProof/>
        </w:rPr>
        <w:fldChar w:fldCharType="separate"/>
      </w:r>
      <w:r w:rsidR="000D1FEA" w:rsidRPr="00BE150C">
        <w:rPr>
          <w:noProof/>
        </w:rPr>
        <w:t>2</w:t>
      </w:r>
      <w:r w:rsidR="00D30D2F" w:rsidRPr="00BE150C">
        <w:rPr>
          <w:noProof/>
        </w:rPr>
        <w:fldChar w:fldCharType="end"/>
      </w:r>
    </w:p>
    <w:p w14:paraId="24CF05B1" w14:textId="77777777" w:rsidR="00D30D2F" w:rsidRPr="00BE150C" w:rsidRDefault="00D30D2F" w:rsidP="00970B54">
      <w:pPr>
        <w:pStyle w:val="TOC1"/>
        <w:tabs>
          <w:tab w:val="left" w:pos="400"/>
          <w:tab w:val="right" w:leader="dot" w:pos="8896"/>
        </w:tabs>
        <w:rPr>
          <w:rFonts w:eastAsiaTheme="minorEastAsia"/>
          <w:noProof/>
          <w:sz w:val="22"/>
          <w:lang w:eastAsia="en-AU"/>
        </w:rPr>
      </w:pPr>
      <w:r w:rsidRPr="00BE150C">
        <w:rPr>
          <w:noProof/>
        </w:rPr>
        <w:t>1</w:t>
      </w:r>
      <w:r w:rsidRPr="00BE150C">
        <w:rPr>
          <w:rFonts w:eastAsiaTheme="minorEastAsia"/>
          <w:noProof/>
          <w:sz w:val="22"/>
          <w:lang w:eastAsia="en-AU"/>
        </w:rPr>
        <w:tab/>
      </w:r>
      <w:r w:rsidRPr="00BE150C">
        <w:rPr>
          <w:noProof/>
        </w:rPr>
        <w:t>Certification by the Accountable Authority</w:t>
      </w:r>
      <w:r w:rsidRPr="00BE150C">
        <w:rPr>
          <w:noProof/>
        </w:rPr>
        <w:tab/>
      </w:r>
      <w:r w:rsidRPr="00BE150C">
        <w:rPr>
          <w:noProof/>
        </w:rPr>
        <w:fldChar w:fldCharType="begin"/>
      </w:r>
      <w:r w:rsidRPr="00BE150C">
        <w:rPr>
          <w:noProof/>
        </w:rPr>
        <w:instrText xml:space="preserve"> PAGEREF _Toc481139969 \h </w:instrText>
      </w:r>
      <w:r w:rsidRPr="00BE150C">
        <w:rPr>
          <w:noProof/>
        </w:rPr>
      </w:r>
      <w:r w:rsidRPr="00BE150C">
        <w:rPr>
          <w:noProof/>
        </w:rPr>
        <w:fldChar w:fldCharType="separate"/>
      </w:r>
      <w:r w:rsidR="000D1FEA" w:rsidRPr="00BE150C">
        <w:rPr>
          <w:noProof/>
        </w:rPr>
        <w:t>3</w:t>
      </w:r>
      <w:r w:rsidRPr="00BE150C">
        <w:rPr>
          <w:noProof/>
        </w:rPr>
        <w:fldChar w:fldCharType="end"/>
      </w:r>
    </w:p>
    <w:p w14:paraId="351A2DD8" w14:textId="77777777" w:rsidR="00D30D2F" w:rsidRPr="00BE150C" w:rsidRDefault="00D30D2F" w:rsidP="00970B54">
      <w:pPr>
        <w:pStyle w:val="TOC1"/>
        <w:tabs>
          <w:tab w:val="left" w:pos="400"/>
          <w:tab w:val="right" w:leader="dot" w:pos="8896"/>
        </w:tabs>
        <w:rPr>
          <w:rFonts w:eastAsiaTheme="minorEastAsia"/>
          <w:noProof/>
          <w:sz w:val="22"/>
          <w:lang w:eastAsia="en-AU"/>
        </w:rPr>
      </w:pPr>
      <w:r w:rsidRPr="00BE150C">
        <w:rPr>
          <w:noProof/>
        </w:rPr>
        <w:t>2</w:t>
      </w:r>
      <w:r w:rsidRPr="00BE150C">
        <w:rPr>
          <w:rFonts w:eastAsiaTheme="minorEastAsia"/>
          <w:noProof/>
          <w:sz w:val="22"/>
          <w:lang w:eastAsia="en-AU"/>
        </w:rPr>
        <w:tab/>
      </w:r>
      <w:r w:rsidRPr="00BE150C">
        <w:rPr>
          <w:noProof/>
        </w:rPr>
        <w:t>One page snapshot</w:t>
      </w:r>
      <w:r w:rsidRPr="00BE150C">
        <w:rPr>
          <w:noProof/>
        </w:rPr>
        <w:tab/>
      </w:r>
      <w:r w:rsidRPr="00BE150C">
        <w:rPr>
          <w:noProof/>
        </w:rPr>
        <w:fldChar w:fldCharType="begin"/>
      </w:r>
      <w:r w:rsidRPr="00BE150C">
        <w:rPr>
          <w:noProof/>
        </w:rPr>
        <w:instrText xml:space="preserve"> PAGEREF _Toc481139970 \h </w:instrText>
      </w:r>
      <w:r w:rsidRPr="00BE150C">
        <w:rPr>
          <w:noProof/>
        </w:rPr>
      </w:r>
      <w:r w:rsidRPr="00BE150C">
        <w:rPr>
          <w:noProof/>
        </w:rPr>
        <w:fldChar w:fldCharType="separate"/>
      </w:r>
      <w:r w:rsidR="000D1FEA" w:rsidRPr="00BE150C">
        <w:rPr>
          <w:noProof/>
        </w:rPr>
        <w:t>4</w:t>
      </w:r>
      <w:r w:rsidRPr="00BE150C">
        <w:rPr>
          <w:noProof/>
        </w:rPr>
        <w:fldChar w:fldCharType="end"/>
      </w:r>
    </w:p>
    <w:p w14:paraId="485D8971" w14:textId="77777777" w:rsidR="00D30D2F" w:rsidRPr="00BE150C" w:rsidRDefault="00D30D2F" w:rsidP="00970B54">
      <w:pPr>
        <w:pStyle w:val="TOC1"/>
        <w:tabs>
          <w:tab w:val="left" w:pos="400"/>
          <w:tab w:val="right" w:leader="dot" w:pos="8896"/>
        </w:tabs>
        <w:rPr>
          <w:rFonts w:eastAsiaTheme="minorEastAsia"/>
          <w:noProof/>
          <w:sz w:val="22"/>
          <w:lang w:eastAsia="en-AU"/>
        </w:rPr>
      </w:pPr>
      <w:r w:rsidRPr="00BE150C">
        <w:rPr>
          <w:noProof/>
        </w:rPr>
        <w:t>3</w:t>
      </w:r>
      <w:r w:rsidRPr="00BE150C">
        <w:rPr>
          <w:rFonts w:eastAsiaTheme="minorEastAsia"/>
          <w:noProof/>
          <w:sz w:val="22"/>
          <w:lang w:eastAsia="en-AU"/>
        </w:rPr>
        <w:tab/>
      </w:r>
      <w:r w:rsidRPr="00BE150C">
        <w:rPr>
          <w:noProof/>
        </w:rPr>
        <w:t>Introduction</w:t>
      </w:r>
      <w:r w:rsidRPr="00BE150C">
        <w:rPr>
          <w:noProof/>
        </w:rPr>
        <w:tab/>
      </w:r>
      <w:r w:rsidRPr="00BE150C">
        <w:rPr>
          <w:noProof/>
        </w:rPr>
        <w:fldChar w:fldCharType="begin"/>
      </w:r>
      <w:r w:rsidRPr="00BE150C">
        <w:rPr>
          <w:noProof/>
        </w:rPr>
        <w:instrText xml:space="preserve"> PAGEREF _Toc481139971 \h </w:instrText>
      </w:r>
      <w:r w:rsidRPr="00BE150C">
        <w:rPr>
          <w:noProof/>
        </w:rPr>
      </w:r>
      <w:r w:rsidRPr="00BE150C">
        <w:rPr>
          <w:noProof/>
        </w:rPr>
        <w:fldChar w:fldCharType="separate"/>
      </w:r>
      <w:r w:rsidR="000D1FEA" w:rsidRPr="00BE150C">
        <w:rPr>
          <w:noProof/>
        </w:rPr>
        <w:t>5</w:t>
      </w:r>
      <w:r w:rsidRPr="00BE150C">
        <w:rPr>
          <w:noProof/>
        </w:rPr>
        <w:fldChar w:fldCharType="end"/>
      </w:r>
    </w:p>
    <w:p w14:paraId="476E82F3" w14:textId="77777777" w:rsidR="00D30D2F" w:rsidRPr="00BE150C" w:rsidRDefault="00D30D2F" w:rsidP="00970B54">
      <w:pPr>
        <w:pStyle w:val="TOC2"/>
        <w:rPr>
          <w:rFonts w:eastAsiaTheme="minorEastAsia"/>
          <w:noProof/>
          <w:color w:val="auto"/>
          <w:sz w:val="22"/>
          <w:lang w:eastAsia="en-AU"/>
        </w:rPr>
      </w:pPr>
      <w:r w:rsidRPr="00BE150C">
        <w:rPr>
          <w:noProof/>
          <w:color w:val="auto"/>
        </w:rPr>
        <w:t>3.1</w:t>
      </w:r>
      <w:r w:rsidRPr="00BE150C">
        <w:rPr>
          <w:rFonts w:eastAsiaTheme="minorEastAsia"/>
          <w:noProof/>
          <w:color w:val="auto"/>
          <w:sz w:val="22"/>
          <w:lang w:eastAsia="en-AU"/>
        </w:rPr>
        <w:tab/>
      </w:r>
      <w:r w:rsidRPr="00BE150C">
        <w:rPr>
          <w:noProof/>
          <w:color w:val="auto"/>
        </w:rPr>
        <w:t>About the regulator</w:t>
      </w:r>
      <w:r w:rsidRPr="00BE150C">
        <w:rPr>
          <w:noProof/>
          <w:color w:val="auto"/>
        </w:rPr>
        <w:tab/>
      </w:r>
      <w:r w:rsidRPr="00BE150C">
        <w:rPr>
          <w:noProof/>
          <w:color w:val="auto"/>
        </w:rPr>
        <w:fldChar w:fldCharType="begin"/>
      </w:r>
      <w:r w:rsidRPr="00BE150C">
        <w:rPr>
          <w:noProof/>
          <w:color w:val="auto"/>
        </w:rPr>
        <w:instrText xml:space="preserve"> PAGEREF _Toc481139972 \h </w:instrText>
      </w:r>
      <w:r w:rsidRPr="00BE150C">
        <w:rPr>
          <w:noProof/>
          <w:color w:val="auto"/>
        </w:rPr>
      </w:r>
      <w:r w:rsidRPr="00BE150C">
        <w:rPr>
          <w:noProof/>
          <w:color w:val="auto"/>
        </w:rPr>
        <w:fldChar w:fldCharType="separate"/>
      </w:r>
      <w:r w:rsidR="000D1FEA" w:rsidRPr="00BE150C">
        <w:rPr>
          <w:noProof/>
          <w:color w:val="auto"/>
        </w:rPr>
        <w:t>5</w:t>
      </w:r>
      <w:r w:rsidRPr="00BE150C">
        <w:rPr>
          <w:noProof/>
          <w:color w:val="auto"/>
        </w:rPr>
        <w:fldChar w:fldCharType="end"/>
      </w:r>
    </w:p>
    <w:p w14:paraId="75A28861" w14:textId="77777777" w:rsidR="00D30D2F" w:rsidRPr="00BE150C" w:rsidRDefault="00D30D2F" w:rsidP="00970B54">
      <w:pPr>
        <w:pStyle w:val="TOC2"/>
        <w:rPr>
          <w:rFonts w:eastAsiaTheme="minorEastAsia"/>
          <w:noProof/>
          <w:color w:val="auto"/>
          <w:sz w:val="22"/>
          <w:lang w:eastAsia="en-AU"/>
        </w:rPr>
      </w:pPr>
      <w:r w:rsidRPr="00BE150C">
        <w:rPr>
          <w:noProof/>
          <w:color w:val="auto"/>
        </w:rPr>
        <w:t>3.2 The Australian Government Regulator Performance Framework</w:t>
      </w:r>
      <w:r w:rsidRPr="00BE150C">
        <w:rPr>
          <w:noProof/>
          <w:color w:val="auto"/>
        </w:rPr>
        <w:tab/>
      </w:r>
      <w:r w:rsidRPr="00BE150C">
        <w:rPr>
          <w:noProof/>
          <w:color w:val="auto"/>
        </w:rPr>
        <w:fldChar w:fldCharType="begin"/>
      </w:r>
      <w:r w:rsidRPr="00BE150C">
        <w:rPr>
          <w:noProof/>
          <w:color w:val="auto"/>
        </w:rPr>
        <w:instrText xml:space="preserve"> PAGEREF _Toc481139973 \h </w:instrText>
      </w:r>
      <w:r w:rsidRPr="00BE150C">
        <w:rPr>
          <w:noProof/>
          <w:color w:val="auto"/>
        </w:rPr>
      </w:r>
      <w:r w:rsidRPr="00BE150C">
        <w:rPr>
          <w:noProof/>
          <w:color w:val="auto"/>
        </w:rPr>
        <w:fldChar w:fldCharType="separate"/>
      </w:r>
      <w:r w:rsidR="000D1FEA" w:rsidRPr="00BE150C">
        <w:rPr>
          <w:noProof/>
          <w:color w:val="auto"/>
        </w:rPr>
        <w:t>6</w:t>
      </w:r>
      <w:r w:rsidRPr="00BE150C">
        <w:rPr>
          <w:noProof/>
          <w:color w:val="auto"/>
        </w:rPr>
        <w:fldChar w:fldCharType="end"/>
      </w:r>
    </w:p>
    <w:p w14:paraId="7756E4D9" w14:textId="60BEA0EB" w:rsidR="00D30D2F" w:rsidRPr="00BE150C" w:rsidRDefault="00D30D2F" w:rsidP="00970B54">
      <w:pPr>
        <w:pStyle w:val="TOC2"/>
        <w:rPr>
          <w:rFonts w:eastAsiaTheme="minorEastAsia"/>
          <w:noProof/>
          <w:color w:val="auto"/>
          <w:sz w:val="22"/>
          <w:lang w:eastAsia="en-AU"/>
        </w:rPr>
      </w:pPr>
      <w:r w:rsidRPr="00BE150C">
        <w:rPr>
          <w:noProof/>
          <w:color w:val="auto"/>
        </w:rPr>
        <w:t xml:space="preserve">3.3 </w:t>
      </w:r>
      <w:r w:rsidR="00030B3F" w:rsidRPr="00BE150C">
        <w:rPr>
          <w:noProof/>
          <w:color w:val="auto"/>
        </w:rPr>
        <w:t>A</w:t>
      </w:r>
      <w:r w:rsidRPr="00BE150C">
        <w:rPr>
          <w:noProof/>
          <w:color w:val="auto"/>
        </w:rPr>
        <w:t>pproach/response to the implementation of the Framework</w:t>
      </w:r>
      <w:r w:rsidRPr="00BE150C">
        <w:rPr>
          <w:noProof/>
          <w:color w:val="auto"/>
        </w:rPr>
        <w:tab/>
      </w:r>
      <w:r w:rsidRPr="00BE150C">
        <w:rPr>
          <w:noProof/>
          <w:color w:val="auto"/>
        </w:rPr>
        <w:fldChar w:fldCharType="begin"/>
      </w:r>
      <w:r w:rsidRPr="00BE150C">
        <w:rPr>
          <w:noProof/>
          <w:color w:val="auto"/>
        </w:rPr>
        <w:instrText xml:space="preserve"> PAGEREF _Toc481139974 \h </w:instrText>
      </w:r>
      <w:r w:rsidRPr="00BE150C">
        <w:rPr>
          <w:noProof/>
          <w:color w:val="auto"/>
        </w:rPr>
      </w:r>
      <w:r w:rsidRPr="00BE150C">
        <w:rPr>
          <w:noProof/>
          <w:color w:val="auto"/>
        </w:rPr>
        <w:fldChar w:fldCharType="separate"/>
      </w:r>
      <w:r w:rsidR="000D1FEA" w:rsidRPr="00BE150C">
        <w:rPr>
          <w:noProof/>
          <w:color w:val="auto"/>
        </w:rPr>
        <w:t>7</w:t>
      </w:r>
      <w:r w:rsidRPr="00BE150C">
        <w:rPr>
          <w:noProof/>
          <w:color w:val="auto"/>
        </w:rPr>
        <w:fldChar w:fldCharType="end"/>
      </w:r>
    </w:p>
    <w:p w14:paraId="04C7B5E9" w14:textId="77777777" w:rsidR="00D30D2F" w:rsidRPr="00BE150C" w:rsidRDefault="00D30D2F" w:rsidP="00970B54">
      <w:pPr>
        <w:pStyle w:val="TOC1"/>
        <w:tabs>
          <w:tab w:val="left" w:pos="400"/>
          <w:tab w:val="right" w:leader="dot" w:pos="8896"/>
        </w:tabs>
        <w:rPr>
          <w:rFonts w:eastAsiaTheme="minorEastAsia"/>
          <w:noProof/>
          <w:sz w:val="22"/>
          <w:lang w:eastAsia="en-AU"/>
        </w:rPr>
      </w:pPr>
      <w:r w:rsidRPr="00BE150C">
        <w:rPr>
          <w:noProof/>
        </w:rPr>
        <w:t>4</w:t>
      </w:r>
      <w:r w:rsidRPr="00BE150C">
        <w:rPr>
          <w:rFonts w:eastAsiaTheme="minorEastAsia"/>
          <w:noProof/>
          <w:sz w:val="22"/>
          <w:lang w:eastAsia="en-AU"/>
        </w:rPr>
        <w:tab/>
      </w:r>
      <w:r w:rsidRPr="00BE150C">
        <w:rPr>
          <w:noProof/>
        </w:rPr>
        <w:t>Assessment</w:t>
      </w:r>
      <w:r w:rsidRPr="00BE150C">
        <w:rPr>
          <w:noProof/>
        </w:rPr>
        <w:tab/>
      </w:r>
      <w:r w:rsidRPr="00BE150C">
        <w:rPr>
          <w:noProof/>
        </w:rPr>
        <w:fldChar w:fldCharType="begin"/>
      </w:r>
      <w:r w:rsidRPr="00BE150C">
        <w:rPr>
          <w:noProof/>
        </w:rPr>
        <w:instrText xml:space="preserve"> PAGEREF _Toc481139979 \h </w:instrText>
      </w:r>
      <w:r w:rsidRPr="00BE150C">
        <w:rPr>
          <w:noProof/>
        </w:rPr>
      </w:r>
      <w:r w:rsidRPr="00BE150C">
        <w:rPr>
          <w:noProof/>
        </w:rPr>
        <w:fldChar w:fldCharType="separate"/>
      </w:r>
      <w:r w:rsidR="000D1FEA" w:rsidRPr="00BE150C">
        <w:rPr>
          <w:noProof/>
        </w:rPr>
        <w:t>8</w:t>
      </w:r>
      <w:r w:rsidRPr="00BE150C">
        <w:rPr>
          <w:noProof/>
        </w:rPr>
        <w:fldChar w:fldCharType="end"/>
      </w:r>
    </w:p>
    <w:p w14:paraId="7C9A6C9B" w14:textId="77777777" w:rsidR="00D30D2F" w:rsidRPr="00BE150C" w:rsidRDefault="00D30D2F" w:rsidP="00970B54">
      <w:pPr>
        <w:pStyle w:val="TOC2"/>
        <w:rPr>
          <w:rFonts w:eastAsiaTheme="minorEastAsia"/>
          <w:noProof/>
          <w:color w:val="auto"/>
          <w:sz w:val="22"/>
          <w:lang w:eastAsia="en-AU"/>
        </w:rPr>
      </w:pPr>
      <w:r w:rsidRPr="00BE150C">
        <w:rPr>
          <w:noProof/>
          <w:color w:val="auto"/>
        </w:rPr>
        <w:t>4.1</w:t>
      </w:r>
      <w:r w:rsidRPr="00BE150C">
        <w:rPr>
          <w:rFonts w:eastAsiaTheme="minorEastAsia"/>
          <w:noProof/>
          <w:color w:val="auto"/>
          <w:sz w:val="22"/>
          <w:lang w:eastAsia="en-AU"/>
        </w:rPr>
        <w:tab/>
      </w:r>
      <w:r w:rsidRPr="00BE150C">
        <w:rPr>
          <w:noProof/>
          <w:color w:val="auto"/>
        </w:rPr>
        <w:t>Common resources</w:t>
      </w:r>
      <w:r w:rsidRPr="00BE150C">
        <w:rPr>
          <w:noProof/>
          <w:color w:val="auto"/>
        </w:rPr>
        <w:tab/>
      </w:r>
      <w:r w:rsidRPr="00BE150C">
        <w:rPr>
          <w:noProof/>
          <w:color w:val="auto"/>
        </w:rPr>
        <w:fldChar w:fldCharType="begin"/>
      </w:r>
      <w:r w:rsidRPr="00BE150C">
        <w:rPr>
          <w:noProof/>
          <w:color w:val="auto"/>
        </w:rPr>
        <w:instrText xml:space="preserve"> PAGEREF _Toc481139980 \h </w:instrText>
      </w:r>
      <w:r w:rsidRPr="00BE150C">
        <w:rPr>
          <w:noProof/>
          <w:color w:val="auto"/>
        </w:rPr>
      </w:r>
      <w:r w:rsidRPr="00BE150C">
        <w:rPr>
          <w:noProof/>
          <w:color w:val="auto"/>
        </w:rPr>
        <w:fldChar w:fldCharType="separate"/>
      </w:r>
      <w:r w:rsidR="000D1FEA" w:rsidRPr="00BE150C">
        <w:rPr>
          <w:noProof/>
          <w:color w:val="auto"/>
        </w:rPr>
        <w:t>8</w:t>
      </w:r>
      <w:r w:rsidRPr="00BE150C">
        <w:rPr>
          <w:noProof/>
          <w:color w:val="auto"/>
        </w:rPr>
        <w:fldChar w:fldCharType="end"/>
      </w:r>
    </w:p>
    <w:p w14:paraId="4B4562A8" w14:textId="77777777" w:rsidR="00D30D2F" w:rsidRPr="00BE150C" w:rsidRDefault="00D30D2F" w:rsidP="00970B54">
      <w:pPr>
        <w:pStyle w:val="TOC2"/>
        <w:rPr>
          <w:rFonts w:eastAsiaTheme="minorEastAsia"/>
          <w:noProof/>
          <w:color w:val="auto"/>
          <w:sz w:val="22"/>
          <w:lang w:eastAsia="en-AU"/>
        </w:rPr>
      </w:pPr>
      <w:r w:rsidRPr="00BE150C">
        <w:rPr>
          <w:noProof/>
          <w:color w:val="auto"/>
        </w:rPr>
        <w:t>4.2</w:t>
      </w:r>
      <w:r w:rsidRPr="00BE150C">
        <w:rPr>
          <w:rFonts w:eastAsiaTheme="minorEastAsia"/>
          <w:noProof/>
          <w:color w:val="auto"/>
          <w:sz w:val="22"/>
          <w:lang w:eastAsia="en-AU"/>
        </w:rPr>
        <w:tab/>
      </w:r>
      <w:r w:rsidRPr="00BE150C">
        <w:rPr>
          <w:noProof/>
          <w:color w:val="auto"/>
        </w:rPr>
        <w:t>KPI 1: Regulators do not unnecessarily impede the efficient operation of regulated entities</w:t>
      </w:r>
      <w:r w:rsidRPr="00BE150C">
        <w:rPr>
          <w:noProof/>
          <w:color w:val="auto"/>
        </w:rPr>
        <w:tab/>
      </w:r>
      <w:r w:rsidRPr="00BE150C">
        <w:rPr>
          <w:noProof/>
          <w:color w:val="auto"/>
        </w:rPr>
        <w:fldChar w:fldCharType="begin"/>
      </w:r>
      <w:r w:rsidRPr="00BE150C">
        <w:rPr>
          <w:noProof/>
          <w:color w:val="auto"/>
        </w:rPr>
        <w:instrText xml:space="preserve"> PAGEREF _Toc481139981 \h </w:instrText>
      </w:r>
      <w:r w:rsidRPr="00BE150C">
        <w:rPr>
          <w:noProof/>
          <w:color w:val="auto"/>
        </w:rPr>
      </w:r>
      <w:r w:rsidRPr="00BE150C">
        <w:rPr>
          <w:noProof/>
          <w:color w:val="auto"/>
        </w:rPr>
        <w:fldChar w:fldCharType="separate"/>
      </w:r>
      <w:r w:rsidR="000D1FEA" w:rsidRPr="00BE150C">
        <w:rPr>
          <w:noProof/>
          <w:color w:val="auto"/>
        </w:rPr>
        <w:t>8</w:t>
      </w:r>
      <w:r w:rsidRPr="00BE150C">
        <w:rPr>
          <w:noProof/>
          <w:color w:val="auto"/>
        </w:rPr>
        <w:fldChar w:fldCharType="end"/>
      </w:r>
    </w:p>
    <w:p w14:paraId="3FE693AF" w14:textId="77777777" w:rsidR="00D30D2F" w:rsidRPr="00BE150C" w:rsidRDefault="00D30D2F" w:rsidP="00970B54">
      <w:pPr>
        <w:pStyle w:val="TOC2"/>
        <w:rPr>
          <w:rFonts w:eastAsiaTheme="minorEastAsia"/>
          <w:noProof/>
          <w:color w:val="auto"/>
          <w:sz w:val="22"/>
          <w:lang w:eastAsia="en-AU"/>
        </w:rPr>
      </w:pPr>
      <w:r w:rsidRPr="00BE150C">
        <w:rPr>
          <w:noProof/>
          <w:color w:val="auto"/>
        </w:rPr>
        <w:t>4.3</w:t>
      </w:r>
      <w:r w:rsidRPr="00BE150C">
        <w:rPr>
          <w:rFonts w:eastAsiaTheme="minorEastAsia"/>
          <w:noProof/>
          <w:color w:val="auto"/>
          <w:sz w:val="22"/>
          <w:lang w:eastAsia="en-AU"/>
        </w:rPr>
        <w:tab/>
      </w:r>
      <w:r w:rsidRPr="00BE150C">
        <w:rPr>
          <w:noProof/>
          <w:color w:val="auto"/>
        </w:rPr>
        <w:t>KPI 2: Communication with regulated entities is clear, targeted and effective</w:t>
      </w:r>
      <w:r w:rsidRPr="00BE150C">
        <w:rPr>
          <w:noProof/>
          <w:color w:val="auto"/>
        </w:rPr>
        <w:tab/>
      </w:r>
      <w:r w:rsidRPr="00BE150C">
        <w:rPr>
          <w:noProof/>
          <w:color w:val="auto"/>
        </w:rPr>
        <w:fldChar w:fldCharType="begin"/>
      </w:r>
      <w:r w:rsidRPr="00BE150C">
        <w:rPr>
          <w:noProof/>
          <w:color w:val="auto"/>
        </w:rPr>
        <w:instrText xml:space="preserve"> PAGEREF _Toc481139982 \h </w:instrText>
      </w:r>
      <w:r w:rsidRPr="00BE150C">
        <w:rPr>
          <w:noProof/>
          <w:color w:val="auto"/>
        </w:rPr>
      </w:r>
      <w:r w:rsidRPr="00BE150C">
        <w:rPr>
          <w:noProof/>
          <w:color w:val="auto"/>
        </w:rPr>
        <w:fldChar w:fldCharType="separate"/>
      </w:r>
      <w:r w:rsidR="000D1FEA" w:rsidRPr="00BE150C">
        <w:rPr>
          <w:noProof/>
          <w:color w:val="auto"/>
        </w:rPr>
        <w:t>10</w:t>
      </w:r>
      <w:r w:rsidRPr="00BE150C">
        <w:rPr>
          <w:noProof/>
          <w:color w:val="auto"/>
        </w:rPr>
        <w:fldChar w:fldCharType="end"/>
      </w:r>
    </w:p>
    <w:p w14:paraId="0BBC7373" w14:textId="77777777" w:rsidR="00D30D2F" w:rsidRPr="00BE150C" w:rsidRDefault="00D30D2F" w:rsidP="00970B54">
      <w:pPr>
        <w:pStyle w:val="TOC2"/>
        <w:rPr>
          <w:rFonts w:eastAsiaTheme="minorEastAsia"/>
          <w:noProof/>
          <w:color w:val="auto"/>
          <w:sz w:val="22"/>
          <w:lang w:eastAsia="en-AU"/>
        </w:rPr>
      </w:pPr>
      <w:r w:rsidRPr="00BE150C">
        <w:rPr>
          <w:noProof/>
          <w:color w:val="auto"/>
        </w:rPr>
        <w:t>4.4</w:t>
      </w:r>
      <w:r w:rsidRPr="00BE150C">
        <w:rPr>
          <w:rFonts w:eastAsiaTheme="minorEastAsia"/>
          <w:noProof/>
          <w:color w:val="auto"/>
          <w:sz w:val="22"/>
          <w:lang w:eastAsia="en-AU"/>
        </w:rPr>
        <w:tab/>
      </w:r>
      <w:r w:rsidRPr="00BE150C">
        <w:rPr>
          <w:noProof/>
          <w:color w:val="auto"/>
        </w:rPr>
        <w:t>KPI 3: Actions undertaken by regulators are proportionate to the regulatory risk being managed</w:t>
      </w:r>
      <w:r w:rsidRPr="00BE150C">
        <w:rPr>
          <w:noProof/>
          <w:color w:val="auto"/>
        </w:rPr>
        <w:tab/>
      </w:r>
      <w:r w:rsidRPr="00BE150C">
        <w:rPr>
          <w:noProof/>
          <w:color w:val="auto"/>
        </w:rPr>
        <w:fldChar w:fldCharType="begin"/>
      </w:r>
      <w:r w:rsidRPr="00BE150C">
        <w:rPr>
          <w:noProof/>
          <w:color w:val="auto"/>
        </w:rPr>
        <w:instrText xml:space="preserve"> PAGEREF _Toc481139983 \h </w:instrText>
      </w:r>
      <w:r w:rsidRPr="00BE150C">
        <w:rPr>
          <w:noProof/>
          <w:color w:val="auto"/>
        </w:rPr>
      </w:r>
      <w:r w:rsidRPr="00BE150C">
        <w:rPr>
          <w:noProof/>
          <w:color w:val="auto"/>
        </w:rPr>
        <w:fldChar w:fldCharType="separate"/>
      </w:r>
      <w:r w:rsidR="000D1FEA" w:rsidRPr="00BE150C">
        <w:rPr>
          <w:noProof/>
          <w:color w:val="auto"/>
        </w:rPr>
        <w:t>11</w:t>
      </w:r>
      <w:r w:rsidRPr="00BE150C">
        <w:rPr>
          <w:noProof/>
          <w:color w:val="auto"/>
        </w:rPr>
        <w:fldChar w:fldCharType="end"/>
      </w:r>
    </w:p>
    <w:p w14:paraId="57A5B235" w14:textId="77777777" w:rsidR="00D30D2F" w:rsidRPr="00BE150C" w:rsidRDefault="00D30D2F" w:rsidP="00970B54">
      <w:pPr>
        <w:pStyle w:val="TOC2"/>
        <w:rPr>
          <w:rFonts w:eastAsiaTheme="minorEastAsia"/>
          <w:noProof/>
          <w:color w:val="auto"/>
          <w:sz w:val="22"/>
          <w:lang w:eastAsia="en-AU"/>
        </w:rPr>
      </w:pPr>
      <w:r w:rsidRPr="00BE150C">
        <w:rPr>
          <w:noProof/>
          <w:color w:val="auto"/>
        </w:rPr>
        <w:t>4.5</w:t>
      </w:r>
      <w:r w:rsidRPr="00BE150C">
        <w:rPr>
          <w:rFonts w:eastAsiaTheme="minorEastAsia"/>
          <w:noProof/>
          <w:color w:val="auto"/>
          <w:sz w:val="22"/>
          <w:lang w:eastAsia="en-AU"/>
        </w:rPr>
        <w:tab/>
      </w:r>
      <w:r w:rsidRPr="00BE150C">
        <w:rPr>
          <w:noProof/>
          <w:color w:val="auto"/>
        </w:rPr>
        <w:t>KPI 4: Compliance and monitoring approaches are streamlined and co-ordinated</w:t>
      </w:r>
      <w:r w:rsidRPr="00BE150C">
        <w:rPr>
          <w:noProof/>
          <w:color w:val="auto"/>
        </w:rPr>
        <w:tab/>
      </w:r>
      <w:r w:rsidRPr="00BE150C">
        <w:rPr>
          <w:noProof/>
          <w:color w:val="auto"/>
        </w:rPr>
        <w:fldChar w:fldCharType="begin"/>
      </w:r>
      <w:r w:rsidRPr="00BE150C">
        <w:rPr>
          <w:noProof/>
          <w:color w:val="auto"/>
        </w:rPr>
        <w:instrText xml:space="preserve"> PAGEREF _Toc481139984 \h </w:instrText>
      </w:r>
      <w:r w:rsidRPr="00BE150C">
        <w:rPr>
          <w:noProof/>
          <w:color w:val="auto"/>
        </w:rPr>
      </w:r>
      <w:r w:rsidRPr="00BE150C">
        <w:rPr>
          <w:noProof/>
          <w:color w:val="auto"/>
        </w:rPr>
        <w:fldChar w:fldCharType="separate"/>
      </w:r>
      <w:r w:rsidR="000D1FEA" w:rsidRPr="00BE150C">
        <w:rPr>
          <w:noProof/>
          <w:color w:val="auto"/>
        </w:rPr>
        <w:t>13</w:t>
      </w:r>
      <w:r w:rsidRPr="00BE150C">
        <w:rPr>
          <w:noProof/>
          <w:color w:val="auto"/>
        </w:rPr>
        <w:fldChar w:fldCharType="end"/>
      </w:r>
    </w:p>
    <w:p w14:paraId="0AB27446" w14:textId="77777777" w:rsidR="00D30D2F" w:rsidRPr="00BE150C" w:rsidRDefault="00D30D2F" w:rsidP="00970B54">
      <w:pPr>
        <w:pStyle w:val="TOC2"/>
        <w:rPr>
          <w:rFonts w:eastAsiaTheme="minorEastAsia"/>
          <w:noProof/>
          <w:color w:val="auto"/>
          <w:sz w:val="22"/>
          <w:lang w:eastAsia="en-AU"/>
        </w:rPr>
      </w:pPr>
      <w:r w:rsidRPr="00BE150C">
        <w:rPr>
          <w:noProof/>
          <w:color w:val="auto"/>
        </w:rPr>
        <w:t>4.6</w:t>
      </w:r>
      <w:r w:rsidRPr="00BE150C">
        <w:rPr>
          <w:rFonts w:eastAsiaTheme="minorEastAsia"/>
          <w:noProof/>
          <w:color w:val="auto"/>
          <w:sz w:val="22"/>
          <w:lang w:eastAsia="en-AU"/>
        </w:rPr>
        <w:tab/>
      </w:r>
      <w:r w:rsidRPr="00BE150C">
        <w:rPr>
          <w:noProof/>
          <w:color w:val="auto"/>
        </w:rPr>
        <w:t>KPI 5: Regulators are open and transparent in their dealings with regulated entities</w:t>
      </w:r>
      <w:r w:rsidRPr="00BE150C">
        <w:rPr>
          <w:noProof/>
          <w:color w:val="auto"/>
        </w:rPr>
        <w:tab/>
      </w:r>
      <w:r w:rsidRPr="00BE150C">
        <w:rPr>
          <w:noProof/>
          <w:color w:val="auto"/>
        </w:rPr>
        <w:fldChar w:fldCharType="begin"/>
      </w:r>
      <w:r w:rsidRPr="00BE150C">
        <w:rPr>
          <w:noProof/>
          <w:color w:val="auto"/>
        </w:rPr>
        <w:instrText xml:space="preserve"> PAGEREF _Toc481139985 \h </w:instrText>
      </w:r>
      <w:r w:rsidRPr="00BE150C">
        <w:rPr>
          <w:noProof/>
          <w:color w:val="auto"/>
        </w:rPr>
      </w:r>
      <w:r w:rsidRPr="00BE150C">
        <w:rPr>
          <w:noProof/>
          <w:color w:val="auto"/>
        </w:rPr>
        <w:fldChar w:fldCharType="separate"/>
      </w:r>
      <w:r w:rsidR="000D1FEA" w:rsidRPr="00BE150C">
        <w:rPr>
          <w:noProof/>
          <w:color w:val="auto"/>
        </w:rPr>
        <w:t>14</w:t>
      </w:r>
      <w:r w:rsidRPr="00BE150C">
        <w:rPr>
          <w:noProof/>
          <w:color w:val="auto"/>
        </w:rPr>
        <w:fldChar w:fldCharType="end"/>
      </w:r>
    </w:p>
    <w:p w14:paraId="7B234CCF" w14:textId="77777777" w:rsidR="001963C0" w:rsidRPr="00BE150C" w:rsidRDefault="00D30D2F" w:rsidP="00970B54">
      <w:pPr>
        <w:pStyle w:val="TOC2"/>
        <w:rPr>
          <w:noProof/>
          <w:color w:val="auto"/>
        </w:rPr>
      </w:pPr>
      <w:r w:rsidRPr="00BE150C">
        <w:rPr>
          <w:noProof/>
          <w:color w:val="auto"/>
        </w:rPr>
        <w:t>4.7</w:t>
      </w:r>
      <w:r w:rsidRPr="00BE150C">
        <w:rPr>
          <w:rFonts w:eastAsiaTheme="minorEastAsia"/>
          <w:noProof/>
          <w:color w:val="auto"/>
          <w:sz w:val="22"/>
          <w:lang w:eastAsia="en-AU"/>
        </w:rPr>
        <w:tab/>
      </w:r>
      <w:r w:rsidRPr="00BE150C">
        <w:rPr>
          <w:noProof/>
          <w:color w:val="auto"/>
        </w:rPr>
        <w:t xml:space="preserve">KPI 6: Regulators actively contribute to the continuous improvement of regulatory </w:t>
      </w:r>
    </w:p>
    <w:p w14:paraId="1446A7EC" w14:textId="77777777" w:rsidR="00D30D2F" w:rsidRPr="00BE150C" w:rsidRDefault="00D30D2F" w:rsidP="00970B54">
      <w:pPr>
        <w:pStyle w:val="TOC2"/>
        <w:rPr>
          <w:rFonts w:eastAsiaTheme="minorEastAsia"/>
          <w:noProof/>
          <w:color w:val="auto"/>
          <w:sz w:val="22"/>
          <w:lang w:eastAsia="en-AU"/>
        </w:rPr>
      </w:pPr>
      <w:r w:rsidRPr="00BE150C">
        <w:rPr>
          <w:noProof/>
          <w:color w:val="auto"/>
        </w:rPr>
        <w:t>frameworks</w:t>
      </w:r>
      <w:r w:rsidRPr="00BE150C">
        <w:rPr>
          <w:noProof/>
          <w:color w:val="auto"/>
        </w:rPr>
        <w:tab/>
      </w:r>
      <w:r w:rsidRPr="00BE150C">
        <w:rPr>
          <w:noProof/>
          <w:color w:val="auto"/>
        </w:rPr>
        <w:fldChar w:fldCharType="begin"/>
      </w:r>
      <w:r w:rsidRPr="00BE150C">
        <w:rPr>
          <w:noProof/>
          <w:color w:val="auto"/>
        </w:rPr>
        <w:instrText xml:space="preserve"> PAGEREF _Toc481139986 \h </w:instrText>
      </w:r>
      <w:r w:rsidRPr="00BE150C">
        <w:rPr>
          <w:noProof/>
          <w:color w:val="auto"/>
        </w:rPr>
      </w:r>
      <w:r w:rsidRPr="00BE150C">
        <w:rPr>
          <w:noProof/>
          <w:color w:val="auto"/>
        </w:rPr>
        <w:fldChar w:fldCharType="separate"/>
      </w:r>
      <w:r w:rsidR="000D1FEA" w:rsidRPr="00BE150C">
        <w:rPr>
          <w:noProof/>
          <w:color w:val="auto"/>
        </w:rPr>
        <w:t>15</w:t>
      </w:r>
      <w:r w:rsidRPr="00BE150C">
        <w:rPr>
          <w:noProof/>
          <w:color w:val="auto"/>
        </w:rPr>
        <w:fldChar w:fldCharType="end"/>
      </w:r>
    </w:p>
    <w:p w14:paraId="63D1EEF5" w14:textId="77777777" w:rsidR="00C81ADD" w:rsidRPr="00BE150C" w:rsidRDefault="00B37916" w:rsidP="00970B54">
      <w:pPr>
        <w:pStyle w:val="Heading2"/>
      </w:pPr>
      <w:r w:rsidRPr="00BE150C">
        <w:rPr>
          <w:rFonts w:asciiTheme="minorHAnsi" w:eastAsiaTheme="minorHAnsi" w:hAnsiTheme="minorHAnsi" w:cstheme="minorBidi"/>
          <w:color w:val="auto"/>
          <w:sz w:val="24"/>
          <w:szCs w:val="22"/>
        </w:rPr>
        <w:fldChar w:fldCharType="end"/>
      </w:r>
      <w:r w:rsidR="00FD5DE8" w:rsidRPr="00BE150C">
        <w:br w:type="page"/>
      </w:r>
    </w:p>
    <w:p w14:paraId="07C92737" w14:textId="77777777" w:rsidR="00C81ADD" w:rsidRPr="00BE150C" w:rsidRDefault="00C81ADD" w:rsidP="00E73BB1">
      <w:pPr>
        <w:pStyle w:val="Heading1"/>
        <w:numPr>
          <w:ilvl w:val="0"/>
          <w:numId w:val="4"/>
        </w:numPr>
        <w:spacing w:before="0" w:line="240" w:lineRule="auto"/>
        <w:ind w:left="431" w:hanging="431"/>
      </w:pPr>
      <w:bookmarkStart w:id="3" w:name="_Toc481139969"/>
      <w:r w:rsidRPr="00BE150C">
        <w:lastRenderedPageBreak/>
        <w:t>Certification by the Accountable Authority</w:t>
      </w:r>
      <w:bookmarkEnd w:id="3"/>
    </w:p>
    <w:p w14:paraId="4AF22645" w14:textId="77777777" w:rsidR="00C81ADD" w:rsidRPr="00BE150C" w:rsidRDefault="00C81ADD" w:rsidP="00E73BB1">
      <w:pPr>
        <w:spacing w:after="0" w:line="240" w:lineRule="auto"/>
        <w:rPr>
          <w:i/>
          <w:color w:val="FF0000"/>
        </w:rPr>
      </w:pPr>
    </w:p>
    <w:tbl>
      <w:tblPr>
        <w:tblStyle w:val="TableGrid"/>
        <w:tblW w:w="0" w:type="auto"/>
        <w:tblInd w:w="108" w:type="dxa"/>
        <w:tblLook w:val="04A0" w:firstRow="1" w:lastRow="0" w:firstColumn="1" w:lastColumn="0" w:noHBand="0" w:noVBand="1"/>
      </w:tblPr>
      <w:tblGrid>
        <w:gridCol w:w="8788"/>
      </w:tblGrid>
      <w:tr w:rsidR="001B37D0" w:rsidRPr="00BE150C" w14:paraId="02B291A2" w14:textId="77777777" w:rsidTr="001B37D0">
        <w:trPr>
          <w:trHeight w:val="12560"/>
        </w:trPr>
        <w:tc>
          <w:tcPr>
            <w:tcW w:w="8931" w:type="dxa"/>
          </w:tcPr>
          <w:p w14:paraId="46B3153C" w14:textId="77777777" w:rsidR="001B37D0" w:rsidRPr="00BE150C" w:rsidRDefault="00C661BB" w:rsidP="00970B54">
            <w:pPr>
              <w:spacing w:after="0"/>
            </w:pPr>
            <w:r w:rsidRPr="00BE150C">
              <w:rPr>
                <w:i/>
                <w:szCs w:val="20"/>
              </w:rPr>
              <w:t>“</w:t>
            </w:r>
            <w:r w:rsidR="00BD57C3" w:rsidRPr="00BE150C">
              <w:rPr>
                <w:i/>
                <w:szCs w:val="20"/>
              </w:rPr>
              <w:t xml:space="preserve">The regulator’s Accountable Authority under the PGPA Act, if applicable, must certify the self-assessment report and provide it to the MAC or other stakeholder consultation mechanism </w:t>
            </w:r>
            <w:r w:rsidR="00BD57C3" w:rsidRPr="00BE150C">
              <w:rPr>
                <w:i/>
              </w:rPr>
              <w:t>approved by the responsible Minister</w:t>
            </w:r>
            <w:r w:rsidRPr="00BE150C">
              <w:rPr>
                <w:i/>
              </w:rPr>
              <w:t>”</w:t>
            </w:r>
            <w:r w:rsidR="00BD57C3" w:rsidRPr="00BE150C">
              <w:rPr>
                <w:i/>
              </w:rPr>
              <w:t>.</w:t>
            </w:r>
          </w:p>
          <w:p w14:paraId="5F42756A" w14:textId="77777777" w:rsidR="00541BAD" w:rsidRPr="00BE150C" w:rsidRDefault="00541BAD" w:rsidP="00970B54">
            <w:pPr>
              <w:spacing w:after="0"/>
            </w:pPr>
          </w:p>
          <w:p w14:paraId="5F87F985" w14:textId="77777777" w:rsidR="00FE2274" w:rsidRPr="00BE150C" w:rsidRDefault="00FE2274" w:rsidP="00970B54">
            <w:pPr>
              <w:spacing w:after="0"/>
            </w:pPr>
          </w:p>
          <w:p w14:paraId="7E7C5414" w14:textId="77777777" w:rsidR="00BD57C3" w:rsidRPr="00BE150C" w:rsidRDefault="00BD57C3" w:rsidP="00970B54">
            <w:pPr>
              <w:rPr>
                <w:color w:val="FF0000"/>
              </w:rPr>
            </w:pPr>
          </w:p>
        </w:tc>
      </w:tr>
    </w:tbl>
    <w:p w14:paraId="1789ABD3" w14:textId="77777777" w:rsidR="001B37D0" w:rsidRPr="00BE150C" w:rsidRDefault="001B37D0" w:rsidP="00970B54">
      <w:pPr>
        <w:rPr>
          <w:i/>
          <w:color w:val="FF0000"/>
        </w:rPr>
      </w:pPr>
    </w:p>
    <w:p w14:paraId="17918B6F" w14:textId="77777777" w:rsidR="00C81ADD" w:rsidRPr="00BE150C" w:rsidRDefault="00C81ADD" w:rsidP="00970B54">
      <w:pPr>
        <w:rPr>
          <w:i/>
          <w:color w:val="FF0000"/>
        </w:rPr>
      </w:pPr>
      <w:r w:rsidRPr="00BE150C">
        <w:rPr>
          <w:i/>
          <w:color w:val="FF0000"/>
        </w:rPr>
        <w:br w:type="page"/>
      </w:r>
    </w:p>
    <w:p w14:paraId="459EDA45" w14:textId="77777777" w:rsidR="00C81ADD" w:rsidRPr="00BE150C" w:rsidRDefault="00C81ADD" w:rsidP="00E73BB1">
      <w:pPr>
        <w:pStyle w:val="Heading1"/>
        <w:numPr>
          <w:ilvl w:val="0"/>
          <w:numId w:val="4"/>
        </w:numPr>
        <w:spacing w:before="240" w:line="240" w:lineRule="auto"/>
        <w:ind w:left="431" w:hanging="431"/>
      </w:pPr>
      <w:bookmarkStart w:id="4" w:name="_Toc481139970"/>
      <w:r w:rsidRPr="00BE150C">
        <w:t>One page snapshot</w:t>
      </w:r>
      <w:bookmarkEnd w:id="4"/>
    </w:p>
    <w:p w14:paraId="7A2864B3" w14:textId="77777777" w:rsidR="00394252" w:rsidRPr="00BE150C" w:rsidRDefault="00394252" w:rsidP="00E73BB1">
      <w:pPr>
        <w:spacing w:after="0" w:line="240" w:lineRule="auto"/>
      </w:pPr>
    </w:p>
    <w:tbl>
      <w:tblPr>
        <w:tblStyle w:val="TableGrid"/>
        <w:tblW w:w="0" w:type="auto"/>
        <w:tblInd w:w="108" w:type="dxa"/>
        <w:tblLook w:val="04A0" w:firstRow="1" w:lastRow="0" w:firstColumn="1" w:lastColumn="0" w:noHBand="0" w:noVBand="1"/>
      </w:tblPr>
      <w:tblGrid>
        <w:gridCol w:w="8788"/>
      </w:tblGrid>
      <w:tr w:rsidR="001B37D0" w:rsidRPr="00BE150C" w14:paraId="3A416A8E" w14:textId="77777777" w:rsidTr="00396C2B">
        <w:trPr>
          <w:trHeight w:val="402"/>
        </w:trPr>
        <w:tc>
          <w:tcPr>
            <w:tcW w:w="8788" w:type="dxa"/>
            <w:shd w:val="clear" w:color="auto" w:fill="005677" w:themeFill="accent1"/>
            <w:vAlign w:val="center"/>
          </w:tcPr>
          <w:p w14:paraId="7AAC2CD9" w14:textId="77777777" w:rsidR="001B37D0" w:rsidRPr="00BE150C" w:rsidRDefault="00AD0A3D" w:rsidP="00970B54">
            <w:pPr>
              <w:spacing w:after="0"/>
              <w:rPr>
                <w:b/>
                <w:color w:val="FFFFFF" w:themeColor="background1"/>
              </w:rPr>
            </w:pPr>
            <w:r w:rsidRPr="00BE150C">
              <w:rPr>
                <w:b/>
                <w:color w:val="FFFFFF" w:themeColor="background1"/>
              </w:rPr>
              <w:t>Summary</w:t>
            </w:r>
          </w:p>
        </w:tc>
      </w:tr>
      <w:tr w:rsidR="009116B1" w:rsidRPr="00BE150C" w14:paraId="1D4BFDCA" w14:textId="77777777" w:rsidTr="00F52277">
        <w:trPr>
          <w:trHeight w:val="558"/>
        </w:trPr>
        <w:tc>
          <w:tcPr>
            <w:tcW w:w="8788" w:type="dxa"/>
          </w:tcPr>
          <w:p w14:paraId="7AA1AED0" w14:textId="0D8DC9C5" w:rsidR="0050786C" w:rsidRPr="00BE150C" w:rsidRDefault="0050786C" w:rsidP="00970B54">
            <w:pPr>
              <w:spacing w:after="0"/>
            </w:pPr>
          </w:p>
          <w:p w14:paraId="481C371F" w14:textId="0CA4D216" w:rsidR="00F07853" w:rsidRPr="00BE150C" w:rsidRDefault="0050786C" w:rsidP="00970B54">
            <w:pPr>
              <w:spacing w:after="0"/>
            </w:pPr>
            <w:r w:rsidRPr="00BE150C">
              <w:t xml:space="preserve">The Australian Industry Participation (AIP) Authority is a statutory position established under the </w:t>
            </w:r>
            <w:r w:rsidRPr="00BE150C">
              <w:rPr>
                <w:i/>
              </w:rPr>
              <w:t>Australian Jobs Act 2013</w:t>
            </w:r>
            <w:r w:rsidRPr="00BE150C">
              <w:t xml:space="preserve"> (the</w:t>
            </w:r>
            <w:r w:rsidR="00372978" w:rsidRPr="00BE150C">
              <w:t xml:space="preserve"> Jobs</w:t>
            </w:r>
            <w:r w:rsidRPr="00BE150C">
              <w:t xml:space="preserve"> Act) which commenced on 27 December 2013. The Authority is a small regulator that interacts with a limited number of large companies with an emphasis on engagement and encouragement to ensure compliance. </w:t>
            </w:r>
          </w:p>
          <w:p w14:paraId="202CB05D" w14:textId="77777777" w:rsidR="00F07853" w:rsidRPr="00BE150C" w:rsidRDefault="00F07853" w:rsidP="00970B54">
            <w:pPr>
              <w:spacing w:after="0"/>
            </w:pPr>
          </w:p>
          <w:p w14:paraId="27BC4A9D" w14:textId="4229632F" w:rsidR="0050786C" w:rsidRPr="00BE150C" w:rsidRDefault="001756C5" w:rsidP="00970B54">
            <w:pPr>
              <w:spacing w:after="0"/>
            </w:pPr>
            <w:r w:rsidRPr="00BE150C">
              <w:t xml:space="preserve">The Authority position is occupied on an acting basis by a senior executive of the Department of Industry, Innovation and Science. </w:t>
            </w:r>
            <w:r w:rsidR="006A29F8" w:rsidRPr="00BE150C">
              <w:t xml:space="preserve">In 2016-17, there were eight </w:t>
            </w:r>
            <w:r w:rsidRPr="00BE150C">
              <w:t xml:space="preserve">full time </w:t>
            </w:r>
            <w:r w:rsidR="0050786C" w:rsidRPr="00BE150C">
              <w:t>Authority staff</w:t>
            </w:r>
            <w:r w:rsidR="006A29F8" w:rsidRPr="00BE150C">
              <w:t xml:space="preserve">, provided by the </w:t>
            </w:r>
            <w:r w:rsidR="001E0C4F" w:rsidRPr="00BE150C">
              <w:t>d</w:t>
            </w:r>
            <w:r w:rsidR="006A29F8" w:rsidRPr="00BE150C">
              <w:t>epartment</w:t>
            </w:r>
            <w:r w:rsidR="006A3587" w:rsidRPr="00BE150C">
              <w:t>, for</w:t>
            </w:r>
            <w:r w:rsidR="006A29F8" w:rsidRPr="00BE150C">
              <w:t xml:space="preserve"> </w:t>
            </w:r>
            <w:r w:rsidRPr="00BE150C">
              <w:t xml:space="preserve">administration of </w:t>
            </w:r>
            <w:r w:rsidR="006A29F8" w:rsidRPr="00BE150C">
              <w:t>the Jobs</w:t>
            </w:r>
            <w:r w:rsidR="0050786C" w:rsidRPr="00BE150C">
              <w:t xml:space="preserve"> Act</w:t>
            </w:r>
            <w:r w:rsidR="006A29F8" w:rsidRPr="00BE150C">
              <w:t>.</w:t>
            </w:r>
            <w:r w:rsidR="0050786C" w:rsidRPr="00BE150C">
              <w:t xml:space="preserve"> The</w:t>
            </w:r>
            <w:r w:rsidR="00F07853" w:rsidRPr="00BE150C">
              <w:t xml:space="preserve"> </w:t>
            </w:r>
            <w:r w:rsidR="0050786C" w:rsidRPr="00BE150C">
              <w:t>Authority has a total</w:t>
            </w:r>
            <w:r w:rsidR="00B20607" w:rsidRPr="00BE150C">
              <w:t xml:space="preserve"> </w:t>
            </w:r>
            <w:r w:rsidR="0050786C" w:rsidRPr="00BE150C">
              <w:t>four</w:t>
            </w:r>
            <w:r w:rsidR="00F07853" w:rsidRPr="00BE150C">
              <w:t>-</w:t>
            </w:r>
            <w:r w:rsidR="0050786C" w:rsidRPr="00BE150C">
              <w:t xml:space="preserve">year </w:t>
            </w:r>
            <w:r w:rsidR="006A3587" w:rsidRPr="00BE150C">
              <w:t>b</w:t>
            </w:r>
            <w:r w:rsidR="0050786C" w:rsidRPr="00BE150C">
              <w:t>udget appropriation of $</w:t>
            </w:r>
            <w:r w:rsidR="002205B4" w:rsidRPr="00BE150C">
              <w:t>7</w:t>
            </w:r>
            <w:r w:rsidR="0050786C" w:rsidRPr="00BE150C">
              <w:t xml:space="preserve"> million </w:t>
            </w:r>
            <w:r w:rsidR="00B20607" w:rsidRPr="00BE150C">
              <w:t>that</w:t>
            </w:r>
            <w:r w:rsidR="006A3587" w:rsidRPr="00BE150C">
              <w:t xml:space="preserve"> is</w:t>
            </w:r>
            <w:r w:rsidR="0050786C" w:rsidRPr="00BE150C">
              <w:t xml:space="preserve"> also used </w:t>
            </w:r>
            <w:r w:rsidR="006A3587" w:rsidRPr="00BE150C">
              <w:t xml:space="preserve">by </w:t>
            </w:r>
            <w:r w:rsidR="0050786C" w:rsidRPr="00BE150C">
              <w:t>the Authority to implement AIP</w:t>
            </w:r>
            <w:r w:rsidR="006A3587" w:rsidRPr="00BE150C">
              <w:t xml:space="preserve"> plan</w:t>
            </w:r>
            <w:r w:rsidR="0050786C" w:rsidRPr="00BE150C">
              <w:t xml:space="preserve"> requirements in Commonwealth Government procurement</w:t>
            </w:r>
            <w:r w:rsidR="00067BE7" w:rsidRPr="00BE150C">
              <w:t>s</w:t>
            </w:r>
            <w:r w:rsidR="00372978" w:rsidRPr="00BE150C">
              <w:t xml:space="preserve">, grants, </w:t>
            </w:r>
            <w:r w:rsidR="008C1AA1" w:rsidRPr="00BE150C">
              <w:t xml:space="preserve">and </w:t>
            </w:r>
            <w:r w:rsidR="00372978" w:rsidRPr="00BE150C">
              <w:t>Clean Energy Finance Corporation and Northern Australia Infrastructure Facility investments</w:t>
            </w:r>
            <w:r w:rsidR="0050786C" w:rsidRPr="00BE150C">
              <w:t>. The Authority does not undertake any cost recovery.</w:t>
            </w:r>
          </w:p>
          <w:p w14:paraId="7D8735FC" w14:textId="77777777" w:rsidR="0050786C" w:rsidRPr="00BE150C" w:rsidRDefault="0050786C" w:rsidP="00970B54">
            <w:pPr>
              <w:spacing w:after="0"/>
            </w:pPr>
          </w:p>
          <w:p w14:paraId="472EF34A" w14:textId="1BB51D9C" w:rsidR="0050786C" w:rsidRPr="00BE150C" w:rsidRDefault="0050786C" w:rsidP="00970B54">
            <w:pPr>
              <w:spacing w:after="0"/>
            </w:pPr>
            <w:r w:rsidRPr="00BE150C">
              <w:t>The</w:t>
            </w:r>
            <w:r w:rsidR="00175FD8" w:rsidRPr="00BE150C">
              <w:t xml:space="preserve"> Jobs</w:t>
            </w:r>
            <w:r w:rsidRPr="00BE150C">
              <w:t xml:space="preserve"> Act requires the development and implementation of an AIP plan for major Australian projects</w:t>
            </w:r>
            <w:r w:rsidR="003C2EAB" w:rsidRPr="00BE150C">
              <w:t xml:space="preserve"> </w:t>
            </w:r>
            <w:r w:rsidRPr="00BE150C">
              <w:t xml:space="preserve">that </w:t>
            </w:r>
            <w:r w:rsidR="001756C5" w:rsidRPr="00BE150C">
              <w:t xml:space="preserve">details </w:t>
            </w:r>
            <w:r w:rsidRPr="00BE150C">
              <w:t xml:space="preserve">how a project proponent will provide full, fair and reasonable opportunity to Australian </w:t>
            </w:r>
            <w:r w:rsidR="008143DD" w:rsidRPr="00BE150C">
              <w:t xml:space="preserve">entities </w:t>
            </w:r>
            <w:r w:rsidRPr="00BE150C">
              <w:t xml:space="preserve">to </w:t>
            </w:r>
            <w:r w:rsidR="00767933" w:rsidRPr="00BE150C">
              <w:t xml:space="preserve">bid to </w:t>
            </w:r>
            <w:r w:rsidRPr="00BE150C">
              <w:t xml:space="preserve">supply </w:t>
            </w:r>
            <w:r w:rsidR="001756C5" w:rsidRPr="00BE150C">
              <w:t xml:space="preserve">key </w:t>
            </w:r>
            <w:r w:rsidRPr="00BE150C">
              <w:t xml:space="preserve">goods and services to </w:t>
            </w:r>
            <w:r w:rsidR="008143DD" w:rsidRPr="00BE150C">
              <w:t xml:space="preserve">the </w:t>
            </w:r>
            <w:r w:rsidRPr="00BE150C">
              <w:t>project. The</w:t>
            </w:r>
            <w:r w:rsidR="00175FD8" w:rsidRPr="00BE150C">
              <w:t xml:space="preserve"> Jobs</w:t>
            </w:r>
            <w:r w:rsidRPr="00BE150C">
              <w:t xml:space="preserve"> Act</w:t>
            </w:r>
            <w:r w:rsidRPr="00BE150C">
              <w:rPr>
                <w:i/>
              </w:rPr>
              <w:t xml:space="preserve"> </w:t>
            </w:r>
            <w:r w:rsidRPr="00BE150C">
              <w:t>applies to both public and private projects with a capital expenditure of</w:t>
            </w:r>
            <w:r w:rsidR="0039358E" w:rsidRPr="00BE150C">
              <w:t xml:space="preserve"> AUD</w:t>
            </w:r>
            <w:r w:rsidRPr="00BE150C">
              <w:t>500 million or more.</w:t>
            </w:r>
            <w:r w:rsidR="005B2FE1" w:rsidRPr="00BE150C">
              <w:t xml:space="preserve"> The Authority holds the responsibility to ensure compliance with the</w:t>
            </w:r>
            <w:r w:rsidR="00175FD8" w:rsidRPr="00BE150C">
              <w:t xml:space="preserve"> Jobs</w:t>
            </w:r>
            <w:r w:rsidR="005B2FE1" w:rsidRPr="00BE150C">
              <w:t xml:space="preserve"> Act and its role is to evaluate, approve and publish summaries of AIP plans, and monitor and report on the implementation of AIP plans.</w:t>
            </w:r>
          </w:p>
          <w:p w14:paraId="6F3849B4" w14:textId="77777777" w:rsidR="0050786C" w:rsidRPr="00BE150C" w:rsidRDefault="0050786C" w:rsidP="00970B54">
            <w:pPr>
              <w:spacing w:after="0"/>
            </w:pPr>
          </w:p>
          <w:p w14:paraId="46EB6F53" w14:textId="0F74EEA9" w:rsidR="00953372" w:rsidRPr="00BE150C" w:rsidRDefault="00956918" w:rsidP="00970B54">
            <w:pPr>
              <w:spacing w:after="0"/>
            </w:pPr>
            <w:r w:rsidRPr="00BE150C">
              <w:t>The Authority is covered by the Regulator Performance Framework</w:t>
            </w:r>
            <w:r w:rsidR="00132524" w:rsidRPr="00BE150C">
              <w:t xml:space="preserve"> (the </w:t>
            </w:r>
            <w:r w:rsidR="00570B99" w:rsidRPr="00BE150C">
              <w:t>F</w:t>
            </w:r>
            <w:r w:rsidR="00132524" w:rsidRPr="00BE150C">
              <w:t>ramework)</w:t>
            </w:r>
            <w:r w:rsidRPr="00BE150C">
              <w:t xml:space="preserve"> as it is responsible for administering the </w:t>
            </w:r>
            <w:r w:rsidR="00570B99" w:rsidRPr="00BE150C">
              <w:t xml:space="preserve">Jobs </w:t>
            </w:r>
            <w:r w:rsidR="00216834" w:rsidRPr="00BE150C">
              <w:t>Act</w:t>
            </w:r>
            <w:r w:rsidRPr="00BE150C">
              <w:t>.</w:t>
            </w:r>
            <w:r w:rsidR="005B2FE1" w:rsidRPr="00BE150C">
              <w:t xml:space="preserve"> </w:t>
            </w:r>
            <w:r w:rsidR="00132524" w:rsidRPr="00BE150C">
              <w:t>To meet the requirements of the Framework, t</w:t>
            </w:r>
            <w:r w:rsidRPr="00BE150C">
              <w:t>he</w:t>
            </w:r>
            <w:r w:rsidR="00570B99" w:rsidRPr="00BE150C">
              <w:t xml:space="preserve"> </w:t>
            </w:r>
            <w:r w:rsidRPr="00BE150C">
              <w:t xml:space="preserve">Authority </w:t>
            </w:r>
            <w:r w:rsidR="0050786C" w:rsidRPr="00BE150C">
              <w:t>undertook a self-</w:t>
            </w:r>
            <w:r w:rsidR="008A7E0A" w:rsidRPr="00BE150C">
              <w:t xml:space="preserve">assessment </w:t>
            </w:r>
            <w:r w:rsidRPr="00BE150C">
              <w:t>against six outcome-based key performance indicators</w:t>
            </w:r>
            <w:r w:rsidR="00F07853" w:rsidRPr="00BE150C">
              <w:t xml:space="preserve"> (KPIs)</w:t>
            </w:r>
            <w:r w:rsidR="005B2FE1" w:rsidRPr="00BE150C">
              <w:t>:</w:t>
            </w:r>
            <w:r w:rsidR="003C2EAB" w:rsidRPr="00BE150C">
              <w:t xml:space="preserve"> </w:t>
            </w:r>
          </w:p>
          <w:p w14:paraId="1D1C3D37" w14:textId="77777777" w:rsidR="00953372" w:rsidRPr="00BE150C" w:rsidRDefault="003C2EAB" w:rsidP="00970B54">
            <w:pPr>
              <w:pStyle w:val="ListParagraph"/>
              <w:numPr>
                <w:ilvl w:val="0"/>
                <w:numId w:val="18"/>
              </w:numPr>
              <w:spacing w:after="0"/>
              <w:rPr>
                <w:szCs w:val="20"/>
              </w:rPr>
            </w:pPr>
            <w:r w:rsidRPr="00BE150C">
              <w:rPr>
                <w:sz w:val="20"/>
                <w:szCs w:val="20"/>
              </w:rPr>
              <w:t>reducing regulatory burden</w:t>
            </w:r>
          </w:p>
          <w:p w14:paraId="45C30005" w14:textId="4B6EA6C3" w:rsidR="00953372" w:rsidRPr="00BE150C" w:rsidRDefault="003C2EAB" w:rsidP="00970B54">
            <w:pPr>
              <w:pStyle w:val="ListParagraph"/>
              <w:numPr>
                <w:ilvl w:val="0"/>
                <w:numId w:val="18"/>
              </w:numPr>
              <w:spacing w:after="0"/>
              <w:rPr>
                <w:szCs w:val="20"/>
              </w:rPr>
            </w:pPr>
            <w:r w:rsidRPr="00BE150C">
              <w:rPr>
                <w:sz w:val="20"/>
                <w:szCs w:val="20"/>
              </w:rPr>
              <w:t>targeted communications</w:t>
            </w:r>
            <w:r w:rsidR="0050786C" w:rsidRPr="00BE150C">
              <w:rPr>
                <w:sz w:val="20"/>
                <w:szCs w:val="20"/>
              </w:rPr>
              <w:t xml:space="preserve"> </w:t>
            </w:r>
          </w:p>
          <w:p w14:paraId="30469AF2" w14:textId="6F00543D" w:rsidR="00953372" w:rsidRPr="00BE150C" w:rsidRDefault="0050786C" w:rsidP="00970B54">
            <w:pPr>
              <w:pStyle w:val="ListParagraph"/>
              <w:numPr>
                <w:ilvl w:val="0"/>
                <w:numId w:val="18"/>
              </w:numPr>
              <w:spacing w:after="0"/>
              <w:rPr>
                <w:szCs w:val="20"/>
              </w:rPr>
            </w:pPr>
            <w:r w:rsidRPr="00BE150C">
              <w:rPr>
                <w:sz w:val="20"/>
                <w:szCs w:val="20"/>
              </w:rPr>
              <w:t>risk-based and proportionate approaches</w:t>
            </w:r>
          </w:p>
          <w:p w14:paraId="3375F087" w14:textId="77777777" w:rsidR="00953372" w:rsidRPr="00BE150C" w:rsidRDefault="0050786C" w:rsidP="00970B54">
            <w:pPr>
              <w:pStyle w:val="ListParagraph"/>
              <w:numPr>
                <w:ilvl w:val="0"/>
                <w:numId w:val="18"/>
              </w:numPr>
              <w:spacing w:after="0"/>
              <w:rPr>
                <w:szCs w:val="20"/>
              </w:rPr>
            </w:pPr>
            <w:r w:rsidRPr="00BE150C">
              <w:rPr>
                <w:sz w:val="20"/>
                <w:szCs w:val="20"/>
              </w:rPr>
              <w:t>effic</w:t>
            </w:r>
            <w:r w:rsidR="003C2EAB" w:rsidRPr="00BE150C">
              <w:rPr>
                <w:sz w:val="20"/>
                <w:szCs w:val="20"/>
              </w:rPr>
              <w:t>ient and coordinated monitoring</w:t>
            </w:r>
          </w:p>
          <w:p w14:paraId="67A6F2C6" w14:textId="4AAA41A4" w:rsidR="00953372" w:rsidRPr="00BE150C" w:rsidRDefault="0050786C" w:rsidP="00970B54">
            <w:pPr>
              <w:pStyle w:val="ListParagraph"/>
              <w:numPr>
                <w:ilvl w:val="0"/>
                <w:numId w:val="18"/>
              </w:numPr>
              <w:spacing w:after="0"/>
              <w:rPr>
                <w:szCs w:val="20"/>
              </w:rPr>
            </w:pPr>
            <w:r w:rsidRPr="00BE150C">
              <w:rPr>
                <w:sz w:val="20"/>
                <w:szCs w:val="20"/>
              </w:rPr>
              <w:t xml:space="preserve">transparency </w:t>
            </w:r>
          </w:p>
          <w:p w14:paraId="1EDACA9F" w14:textId="5700775E" w:rsidR="003C2EAB" w:rsidRPr="00BE150C" w:rsidRDefault="0050786C" w:rsidP="00970B54">
            <w:pPr>
              <w:pStyle w:val="ListParagraph"/>
              <w:numPr>
                <w:ilvl w:val="0"/>
                <w:numId w:val="18"/>
              </w:numPr>
              <w:spacing w:after="0"/>
              <w:rPr>
                <w:szCs w:val="20"/>
              </w:rPr>
            </w:pPr>
            <w:r w:rsidRPr="00BE150C">
              <w:rPr>
                <w:sz w:val="20"/>
                <w:szCs w:val="20"/>
              </w:rPr>
              <w:t>continuous improvement.</w:t>
            </w:r>
            <w:r w:rsidR="003C2EAB" w:rsidRPr="00BE150C">
              <w:rPr>
                <w:sz w:val="20"/>
                <w:szCs w:val="20"/>
              </w:rPr>
              <w:t xml:space="preserve"> </w:t>
            </w:r>
          </w:p>
          <w:p w14:paraId="4A9BF813" w14:textId="77777777" w:rsidR="003C2EAB" w:rsidRPr="00BE150C" w:rsidRDefault="003C2EAB" w:rsidP="00970B54">
            <w:pPr>
              <w:spacing w:after="0"/>
              <w:rPr>
                <w:szCs w:val="20"/>
              </w:rPr>
            </w:pPr>
          </w:p>
          <w:p w14:paraId="07C7C7F2" w14:textId="13F4875D" w:rsidR="00260471" w:rsidRPr="00BE150C" w:rsidRDefault="005B2FE1" w:rsidP="00970B54">
            <w:pPr>
              <w:spacing w:after="0"/>
              <w:rPr>
                <w:szCs w:val="20"/>
              </w:rPr>
            </w:pPr>
            <w:r w:rsidRPr="00BE150C">
              <w:rPr>
                <w:szCs w:val="20"/>
              </w:rPr>
              <w:t xml:space="preserve">The Authority </w:t>
            </w:r>
            <w:r w:rsidR="00EC3515" w:rsidRPr="00BE150C">
              <w:rPr>
                <w:szCs w:val="20"/>
              </w:rPr>
              <w:t>continued to</w:t>
            </w:r>
            <w:r w:rsidRPr="00BE150C">
              <w:rPr>
                <w:szCs w:val="20"/>
              </w:rPr>
              <w:t xml:space="preserve"> perform robustly against the</w:t>
            </w:r>
            <w:r w:rsidR="0010312C" w:rsidRPr="00BE150C">
              <w:rPr>
                <w:szCs w:val="20"/>
              </w:rPr>
              <w:t xml:space="preserve"> six</w:t>
            </w:r>
            <w:r w:rsidRPr="00BE150C">
              <w:rPr>
                <w:szCs w:val="20"/>
              </w:rPr>
              <w:t xml:space="preserve"> KPIs</w:t>
            </w:r>
            <w:r w:rsidR="0010312C" w:rsidRPr="00BE150C">
              <w:rPr>
                <w:szCs w:val="20"/>
              </w:rPr>
              <w:t>. In 2016-17,</w:t>
            </w:r>
            <w:r w:rsidRPr="00BE150C">
              <w:rPr>
                <w:szCs w:val="20"/>
              </w:rPr>
              <w:t xml:space="preserve"> </w:t>
            </w:r>
            <w:r w:rsidR="004B530B" w:rsidRPr="00BE150C">
              <w:rPr>
                <w:szCs w:val="20"/>
              </w:rPr>
              <w:t>improvements</w:t>
            </w:r>
            <w:r w:rsidR="0010312C" w:rsidRPr="00BE150C">
              <w:rPr>
                <w:szCs w:val="20"/>
              </w:rPr>
              <w:t xml:space="preserve"> were implemented</w:t>
            </w:r>
            <w:r w:rsidRPr="00BE150C">
              <w:rPr>
                <w:szCs w:val="20"/>
              </w:rPr>
              <w:t xml:space="preserve"> </w:t>
            </w:r>
            <w:r w:rsidR="004B530B" w:rsidRPr="00BE150C">
              <w:rPr>
                <w:szCs w:val="20"/>
              </w:rPr>
              <w:t xml:space="preserve">to address stakeholders’ feedback </w:t>
            </w:r>
            <w:r w:rsidR="0010312C" w:rsidRPr="00BE150C">
              <w:rPr>
                <w:szCs w:val="20"/>
              </w:rPr>
              <w:t>gathered in the 2015-16 survey and Authority staff’s self-</w:t>
            </w:r>
            <w:r w:rsidR="00C30821" w:rsidRPr="00BE150C">
              <w:rPr>
                <w:szCs w:val="20"/>
              </w:rPr>
              <w:t>identified improvements based on experience</w:t>
            </w:r>
            <w:r w:rsidR="0010312C" w:rsidRPr="00BE150C">
              <w:rPr>
                <w:szCs w:val="20"/>
              </w:rPr>
              <w:t>s</w:t>
            </w:r>
            <w:r w:rsidR="00C30821" w:rsidRPr="00BE150C">
              <w:rPr>
                <w:szCs w:val="20"/>
              </w:rPr>
              <w:t xml:space="preserve"> with implementing the Jobs Act and interaction with proponents</w:t>
            </w:r>
            <w:r w:rsidR="0010312C" w:rsidRPr="00BE150C">
              <w:rPr>
                <w:szCs w:val="20"/>
              </w:rPr>
              <w:t>.</w:t>
            </w:r>
            <w:r w:rsidR="003C2EAB" w:rsidRPr="00BE150C">
              <w:rPr>
                <w:szCs w:val="20"/>
              </w:rPr>
              <w:t xml:space="preserve"> </w:t>
            </w:r>
          </w:p>
          <w:p w14:paraId="6F3E159E" w14:textId="77777777" w:rsidR="00260471" w:rsidRPr="00BE150C" w:rsidRDefault="00260471" w:rsidP="00970B54">
            <w:pPr>
              <w:spacing w:after="0"/>
              <w:rPr>
                <w:szCs w:val="20"/>
              </w:rPr>
            </w:pPr>
          </w:p>
          <w:p w14:paraId="3FBD79F1" w14:textId="141BEFF7" w:rsidR="005B2FE1" w:rsidRPr="00BE150C" w:rsidRDefault="001C3540" w:rsidP="00970B54">
            <w:pPr>
              <w:spacing w:after="0"/>
            </w:pPr>
            <w:r w:rsidRPr="00BE150C">
              <w:t>These improvements include</w:t>
            </w:r>
            <w:r w:rsidR="0010312C" w:rsidRPr="00BE150C">
              <w:t>d</w:t>
            </w:r>
            <w:r w:rsidR="00324F06" w:rsidRPr="00BE150C">
              <w:t xml:space="preserve"> revising</w:t>
            </w:r>
            <w:r w:rsidR="0010312C" w:rsidRPr="00BE150C">
              <w:t xml:space="preserve"> the</w:t>
            </w:r>
            <w:r w:rsidR="00324F06" w:rsidRPr="00BE150C">
              <w:t xml:space="preserve"> </w:t>
            </w:r>
            <w:r w:rsidRPr="00BE150C">
              <w:t>AIP plan template to be less onerous and repetitive and updating supporting documents to clarify the notification timeline and the obligations and requirements of the Job</w:t>
            </w:r>
            <w:r w:rsidR="00067BE7" w:rsidRPr="00BE150C">
              <w:t>s</w:t>
            </w:r>
            <w:r w:rsidRPr="00BE150C">
              <w:t xml:space="preserve"> Act. </w:t>
            </w:r>
            <w:r w:rsidR="00F33BD6" w:rsidRPr="00BE150C">
              <w:t xml:space="preserve">These improvements formed part of the </w:t>
            </w:r>
            <w:r w:rsidR="005B2FE1" w:rsidRPr="00BE150C">
              <w:t>Authority</w:t>
            </w:r>
            <w:r w:rsidR="00217960" w:rsidRPr="00BE150C">
              <w:t>’s</w:t>
            </w:r>
            <w:r w:rsidR="005B2FE1" w:rsidRPr="00BE150C">
              <w:t xml:space="preserve"> communication</w:t>
            </w:r>
            <w:r w:rsidR="00B33AA7" w:rsidRPr="00BE150C">
              <w:t>s</w:t>
            </w:r>
            <w:r w:rsidR="005B2FE1" w:rsidRPr="00BE150C">
              <w:t xml:space="preserve"> strategy</w:t>
            </w:r>
            <w:r w:rsidR="00F33BD6" w:rsidRPr="00BE150C">
              <w:t xml:space="preserve"> and </w:t>
            </w:r>
            <w:r w:rsidR="00067BE7" w:rsidRPr="00BE150C">
              <w:t>t</w:t>
            </w:r>
            <w:r w:rsidR="00217960" w:rsidRPr="00BE150C">
              <w:t>he Authority</w:t>
            </w:r>
            <w:r w:rsidR="00F33BD6" w:rsidRPr="00BE150C">
              <w:t xml:space="preserve"> will continue to implement improvements as part of the strategy.</w:t>
            </w:r>
          </w:p>
          <w:p w14:paraId="5AA8BB08" w14:textId="77777777" w:rsidR="008F325D" w:rsidRPr="00BE150C" w:rsidRDefault="008F325D" w:rsidP="00970B54">
            <w:pPr>
              <w:spacing w:after="0"/>
            </w:pPr>
          </w:p>
          <w:p w14:paraId="0DE8D36B" w14:textId="1B19BD9D" w:rsidR="00D073F3" w:rsidRPr="00BE150C" w:rsidRDefault="00956918" w:rsidP="00970B54">
            <w:pPr>
              <w:spacing w:after="0"/>
            </w:pPr>
            <w:r w:rsidRPr="00BE150C">
              <w:t xml:space="preserve">Review of the compliance and monitoring </w:t>
            </w:r>
            <w:r w:rsidR="005B2FE1" w:rsidRPr="00BE150C">
              <w:t>records</w:t>
            </w:r>
            <w:r w:rsidRPr="00BE150C">
              <w:t xml:space="preserve"> </w:t>
            </w:r>
            <w:r w:rsidR="003C2EAB" w:rsidRPr="00BE150C">
              <w:t xml:space="preserve">show </w:t>
            </w:r>
            <w:r w:rsidRPr="00BE150C">
              <w:t xml:space="preserve">that </w:t>
            </w:r>
            <w:r w:rsidR="00C52287" w:rsidRPr="00BE150C">
              <w:t>the</w:t>
            </w:r>
            <w:r w:rsidR="00B76EE4" w:rsidRPr="00BE150C">
              <w:t xml:space="preserve"> </w:t>
            </w:r>
            <w:r w:rsidR="00C52287" w:rsidRPr="00BE150C">
              <w:t>Authority</w:t>
            </w:r>
            <w:r w:rsidR="00EA18B6" w:rsidRPr="00BE150C">
              <w:t xml:space="preserve"> continued to</w:t>
            </w:r>
            <w:r w:rsidR="00C52287" w:rsidRPr="00BE150C">
              <w:t xml:space="preserve"> </w:t>
            </w:r>
            <w:r w:rsidR="00EA18B6" w:rsidRPr="00BE150C">
              <w:t xml:space="preserve">have </w:t>
            </w:r>
            <w:r w:rsidR="00BB4547" w:rsidRPr="00BE150C">
              <w:t>a 100% success rate in responding to queries on (and before) the required timeframe</w:t>
            </w:r>
            <w:r w:rsidR="00C52287" w:rsidRPr="00BE150C">
              <w:t>. The Authority was also approving AIP plans with</w:t>
            </w:r>
            <w:r w:rsidR="006E2594" w:rsidRPr="00BE150C">
              <w:t>in</w:t>
            </w:r>
            <w:r w:rsidR="00067BE7" w:rsidRPr="00BE150C">
              <w:t xml:space="preserve"> the legislated time</w:t>
            </w:r>
            <w:r w:rsidR="00C52287" w:rsidRPr="00BE150C">
              <w:t>frame.</w:t>
            </w:r>
          </w:p>
          <w:p w14:paraId="3F29484D" w14:textId="77777777" w:rsidR="00C939DE" w:rsidRPr="00BE150C" w:rsidRDefault="00C939DE" w:rsidP="00970B54">
            <w:pPr>
              <w:spacing w:after="0"/>
            </w:pPr>
          </w:p>
          <w:p w14:paraId="6481321C" w14:textId="40213724" w:rsidR="00D073F3" w:rsidRPr="00BE150C" w:rsidRDefault="00D073F3" w:rsidP="00970B54">
            <w:pPr>
              <w:spacing w:after="0"/>
            </w:pPr>
            <w:r w:rsidRPr="00BE150C">
              <w:t>In 2016-17, the Authority:</w:t>
            </w:r>
          </w:p>
          <w:p w14:paraId="3754ECF6" w14:textId="04A2463A" w:rsidR="00D073F3" w:rsidRPr="00BE150C" w:rsidRDefault="00067BE7" w:rsidP="00970B54">
            <w:pPr>
              <w:pStyle w:val="ListParagraph"/>
              <w:numPr>
                <w:ilvl w:val="0"/>
                <w:numId w:val="20"/>
              </w:numPr>
              <w:rPr>
                <w:szCs w:val="20"/>
              </w:rPr>
            </w:pPr>
            <w:r w:rsidRPr="00BE150C">
              <w:rPr>
                <w:sz w:val="20"/>
                <w:szCs w:val="20"/>
              </w:rPr>
              <w:t>wrote</w:t>
            </w:r>
            <w:r w:rsidR="00D073F3" w:rsidRPr="00BE150C">
              <w:rPr>
                <w:sz w:val="20"/>
                <w:szCs w:val="20"/>
              </w:rPr>
              <w:t xml:space="preserve"> to 14 proponents alerting them to their potential obligations and provid</w:t>
            </w:r>
            <w:r w:rsidR="00767933" w:rsidRPr="00BE150C">
              <w:rPr>
                <w:sz w:val="20"/>
                <w:szCs w:val="20"/>
              </w:rPr>
              <w:t>ing</w:t>
            </w:r>
            <w:r w:rsidR="00D073F3" w:rsidRPr="00BE150C">
              <w:rPr>
                <w:sz w:val="20"/>
                <w:szCs w:val="20"/>
              </w:rPr>
              <w:t xml:space="preserve"> guidance </w:t>
            </w:r>
          </w:p>
          <w:p w14:paraId="296F7AA0" w14:textId="79A5E687" w:rsidR="00D073F3" w:rsidRPr="00BE150C" w:rsidRDefault="00D073F3" w:rsidP="00970B54">
            <w:pPr>
              <w:pStyle w:val="ListParagraph"/>
              <w:numPr>
                <w:ilvl w:val="0"/>
                <w:numId w:val="20"/>
              </w:numPr>
              <w:rPr>
                <w:szCs w:val="20"/>
              </w:rPr>
            </w:pPr>
            <w:r w:rsidRPr="00BE150C">
              <w:rPr>
                <w:sz w:val="20"/>
                <w:szCs w:val="20"/>
              </w:rPr>
              <w:t>approved 11 AIP plans</w:t>
            </w:r>
          </w:p>
          <w:p w14:paraId="09F99693" w14:textId="67694609" w:rsidR="00D073F3" w:rsidRPr="00BE150C" w:rsidRDefault="00D073F3" w:rsidP="00970B54">
            <w:pPr>
              <w:pStyle w:val="ListParagraph"/>
              <w:numPr>
                <w:ilvl w:val="0"/>
                <w:numId w:val="20"/>
              </w:numPr>
              <w:rPr>
                <w:szCs w:val="20"/>
              </w:rPr>
            </w:pPr>
            <w:r w:rsidRPr="00BE150C">
              <w:rPr>
                <w:sz w:val="20"/>
                <w:szCs w:val="20"/>
              </w:rPr>
              <w:t>accepted that five major projects had met the requirements under the Australian Jobs (Australian Industry Participation) Rule 2014 for an exception to providing a draft AIP plan</w:t>
            </w:r>
          </w:p>
          <w:p w14:paraId="72896DF3" w14:textId="2044D088" w:rsidR="00956918" w:rsidRPr="00BE150C" w:rsidRDefault="00D073F3" w:rsidP="00970B54">
            <w:pPr>
              <w:pStyle w:val="ListParagraph"/>
              <w:numPr>
                <w:ilvl w:val="0"/>
                <w:numId w:val="20"/>
              </w:numPr>
              <w:rPr>
                <w:szCs w:val="20"/>
              </w:rPr>
            </w:pPr>
            <w:r w:rsidRPr="00BE150C">
              <w:rPr>
                <w:sz w:val="20"/>
                <w:szCs w:val="20"/>
              </w:rPr>
              <w:t>received, evaluated and accepted 20 AIP plan compliance report</w:t>
            </w:r>
            <w:r w:rsidR="001756C5" w:rsidRPr="00BE150C">
              <w:rPr>
                <w:sz w:val="20"/>
                <w:szCs w:val="20"/>
              </w:rPr>
              <w:t>s</w:t>
            </w:r>
            <w:r w:rsidRPr="00BE150C">
              <w:rPr>
                <w:sz w:val="20"/>
                <w:szCs w:val="20"/>
              </w:rPr>
              <w:t>.</w:t>
            </w:r>
          </w:p>
        </w:tc>
      </w:tr>
    </w:tbl>
    <w:p w14:paraId="6160FF7B" w14:textId="77777777" w:rsidR="009116B1" w:rsidRPr="00BE150C" w:rsidRDefault="00C81ADD" w:rsidP="00E73BB1">
      <w:pPr>
        <w:pStyle w:val="Heading1"/>
        <w:spacing w:before="0" w:line="240" w:lineRule="auto"/>
        <w:ind w:left="431" w:hanging="431"/>
      </w:pPr>
      <w:bookmarkStart w:id="5" w:name="_Toc481139971"/>
      <w:r w:rsidRPr="00BE150C">
        <w:t>Introduction</w:t>
      </w:r>
      <w:bookmarkEnd w:id="5"/>
    </w:p>
    <w:p w14:paraId="61360346" w14:textId="77777777" w:rsidR="009116B1" w:rsidRPr="00BE150C" w:rsidRDefault="009116B1" w:rsidP="00E73BB1">
      <w:pPr>
        <w:spacing w:after="0" w:line="240" w:lineRule="auto"/>
      </w:pPr>
    </w:p>
    <w:tbl>
      <w:tblPr>
        <w:tblStyle w:val="TableGrid"/>
        <w:tblW w:w="0" w:type="auto"/>
        <w:tblInd w:w="15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46"/>
      </w:tblGrid>
      <w:tr w:rsidR="009116B1" w:rsidRPr="00BE150C" w14:paraId="5C37866C" w14:textId="77777777" w:rsidTr="0098655C">
        <w:trPr>
          <w:trHeight w:val="161"/>
        </w:trPr>
        <w:tc>
          <w:tcPr>
            <w:tcW w:w="8546" w:type="dxa"/>
            <w:shd w:val="clear" w:color="auto" w:fill="005677" w:themeFill="accent1"/>
            <w:vAlign w:val="center"/>
          </w:tcPr>
          <w:p w14:paraId="70287C5A" w14:textId="77777777" w:rsidR="009116B1" w:rsidRPr="00BE150C" w:rsidRDefault="009116B1" w:rsidP="00970B54">
            <w:pPr>
              <w:pStyle w:val="Heading2"/>
              <w:ind w:left="441" w:hanging="441"/>
              <w:outlineLvl w:val="1"/>
            </w:pPr>
            <w:bookmarkStart w:id="6" w:name="_Toc481139972"/>
            <w:r w:rsidRPr="00BE150C">
              <w:t>About the regulator</w:t>
            </w:r>
            <w:bookmarkEnd w:id="6"/>
          </w:p>
        </w:tc>
      </w:tr>
      <w:tr w:rsidR="009116B1" w:rsidRPr="00BE150C" w14:paraId="476C1B8B" w14:textId="77777777" w:rsidTr="00640181">
        <w:trPr>
          <w:trHeight w:val="794"/>
        </w:trPr>
        <w:tc>
          <w:tcPr>
            <w:tcW w:w="8546" w:type="dxa"/>
          </w:tcPr>
          <w:p w14:paraId="592CD5A5" w14:textId="79EEDF80" w:rsidR="00DB7554" w:rsidRPr="00BE150C" w:rsidRDefault="005422FF" w:rsidP="00970B54">
            <w:r w:rsidRPr="00BE150C">
              <w:t>The A</w:t>
            </w:r>
            <w:r w:rsidR="002C7404" w:rsidRPr="00BE150C">
              <w:t xml:space="preserve">ustralian Industry </w:t>
            </w:r>
            <w:r w:rsidRPr="00BE150C">
              <w:t>P</w:t>
            </w:r>
            <w:r w:rsidR="002C7404" w:rsidRPr="00BE150C">
              <w:t xml:space="preserve">articipation </w:t>
            </w:r>
            <w:r w:rsidRPr="00BE150C">
              <w:t>Authority</w:t>
            </w:r>
            <w:r w:rsidR="00634A05" w:rsidRPr="00BE150C">
              <w:t xml:space="preserve"> (the</w:t>
            </w:r>
            <w:r w:rsidR="00AC4886" w:rsidRPr="00BE150C">
              <w:t xml:space="preserve"> </w:t>
            </w:r>
            <w:r w:rsidR="00634A05" w:rsidRPr="00BE150C">
              <w:t>Authority)</w:t>
            </w:r>
            <w:r w:rsidRPr="00BE150C">
              <w:t xml:space="preserve"> </w:t>
            </w:r>
            <w:r w:rsidR="00216834" w:rsidRPr="00BE150C">
              <w:t xml:space="preserve">administers </w:t>
            </w:r>
            <w:r w:rsidR="00634A05" w:rsidRPr="00BE150C">
              <w:t>the</w:t>
            </w:r>
            <w:r w:rsidR="009770B8" w:rsidRPr="00BE150C">
              <w:t xml:space="preserve"> </w:t>
            </w:r>
            <w:r w:rsidR="009770B8" w:rsidRPr="00BE150C">
              <w:rPr>
                <w:i/>
              </w:rPr>
              <w:t xml:space="preserve">Australian Jobs </w:t>
            </w:r>
            <w:r w:rsidR="002C7404" w:rsidRPr="00BE150C">
              <w:rPr>
                <w:i/>
              </w:rPr>
              <w:t>Act</w:t>
            </w:r>
            <w:r w:rsidR="00634A05" w:rsidRPr="00BE150C">
              <w:rPr>
                <w:i/>
              </w:rPr>
              <w:t xml:space="preserve"> 2013 </w:t>
            </w:r>
            <w:r w:rsidR="00634A05" w:rsidRPr="00BE150C">
              <w:t>(</w:t>
            </w:r>
            <w:r w:rsidR="00DB7554" w:rsidRPr="00BE150C">
              <w:t>the</w:t>
            </w:r>
            <w:r w:rsidR="00A71E4A" w:rsidRPr="00BE150C">
              <w:t xml:space="preserve"> Jobs</w:t>
            </w:r>
            <w:r w:rsidR="00216834" w:rsidRPr="00BE150C">
              <w:t xml:space="preserve"> </w:t>
            </w:r>
            <w:r w:rsidR="00634A05" w:rsidRPr="00BE150C">
              <w:t>Act)</w:t>
            </w:r>
            <w:r w:rsidR="002C7404" w:rsidRPr="00BE150C">
              <w:t xml:space="preserve">. </w:t>
            </w:r>
            <w:r w:rsidR="00C73449" w:rsidRPr="00BE150C">
              <w:t>The</w:t>
            </w:r>
            <w:r w:rsidR="00A71E4A" w:rsidRPr="00BE150C">
              <w:t xml:space="preserve"> Jobs</w:t>
            </w:r>
            <w:r w:rsidRPr="00BE150C">
              <w:t xml:space="preserve"> </w:t>
            </w:r>
            <w:r w:rsidR="00C73449" w:rsidRPr="00BE150C">
              <w:t xml:space="preserve">Act </w:t>
            </w:r>
            <w:r w:rsidR="00634A05" w:rsidRPr="00BE150C">
              <w:t>applies</w:t>
            </w:r>
            <w:r w:rsidRPr="00BE150C">
              <w:t xml:space="preserve"> to</w:t>
            </w:r>
            <w:r w:rsidR="00634A05" w:rsidRPr="00BE150C">
              <w:t xml:space="preserve"> both</w:t>
            </w:r>
            <w:r w:rsidRPr="00BE150C">
              <w:t xml:space="preserve"> public and private projects with </w:t>
            </w:r>
            <w:r w:rsidR="00634A05" w:rsidRPr="00BE150C">
              <w:t xml:space="preserve">a </w:t>
            </w:r>
            <w:r w:rsidRPr="00BE150C">
              <w:t xml:space="preserve">capital expenditure of </w:t>
            </w:r>
            <w:r w:rsidR="00217960" w:rsidRPr="00BE150C">
              <w:t>AUD</w:t>
            </w:r>
            <w:r w:rsidRPr="00BE150C">
              <w:t>500 million or more.</w:t>
            </w:r>
            <w:r w:rsidR="008C1AA1" w:rsidRPr="00BE150C">
              <w:t xml:space="preserve"> Proponents of these major projects are required to develop and implement</w:t>
            </w:r>
            <w:r w:rsidR="00767933" w:rsidRPr="00BE150C">
              <w:t xml:space="preserve"> an</w:t>
            </w:r>
            <w:r w:rsidRPr="00BE150C">
              <w:t xml:space="preserve"> A</w:t>
            </w:r>
            <w:r w:rsidR="00634A05" w:rsidRPr="00BE150C">
              <w:t xml:space="preserve">ustralian </w:t>
            </w:r>
            <w:r w:rsidRPr="00BE150C">
              <w:t>I</w:t>
            </w:r>
            <w:r w:rsidR="00634A05" w:rsidRPr="00BE150C">
              <w:t xml:space="preserve">ndustry </w:t>
            </w:r>
            <w:r w:rsidRPr="00BE150C">
              <w:t>P</w:t>
            </w:r>
            <w:r w:rsidR="00634A05" w:rsidRPr="00BE150C">
              <w:t>articipation (AIP)</w:t>
            </w:r>
            <w:r w:rsidRPr="00BE150C">
              <w:t xml:space="preserve"> plan </w:t>
            </w:r>
            <w:r w:rsidR="008C1AA1" w:rsidRPr="00BE150C">
              <w:t>detailing how</w:t>
            </w:r>
            <w:r w:rsidR="002C7404" w:rsidRPr="00BE150C">
              <w:t xml:space="preserve"> </w:t>
            </w:r>
            <w:r w:rsidR="008C1AA1" w:rsidRPr="00BE150C">
              <w:t>they</w:t>
            </w:r>
            <w:r w:rsidR="002C7404" w:rsidRPr="00BE150C">
              <w:t xml:space="preserve"> will </w:t>
            </w:r>
            <w:r w:rsidR="008C1AA1" w:rsidRPr="00BE150C">
              <w:t xml:space="preserve">ensure Australian entities have </w:t>
            </w:r>
            <w:r w:rsidR="002C7404" w:rsidRPr="00BE150C">
              <w:t xml:space="preserve">full, fair and reasonable opportunity </w:t>
            </w:r>
            <w:r w:rsidR="00634A05" w:rsidRPr="00BE150C">
              <w:t xml:space="preserve">to </w:t>
            </w:r>
            <w:r w:rsidR="00767933" w:rsidRPr="00BE150C">
              <w:t xml:space="preserve">bid </w:t>
            </w:r>
            <w:r w:rsidR="008143DD" w:rsidRPr="00BE150C">
              <w:t>to supply key goods and services</w:t>
            </w:r>
            <w:r w:rsidR="00634A05" w:rsidRPr="00BE150C">
              <w:t xml:space="preserve">. </w:t>
            </w:r>
            <w:r w:rsidR="00934EF7" w:rsidRPr="00BE150C">
              <w:t xml:space="preserve">Target </w:t>
            </w:r>
            <w:r w:rsidR="008143DD" w:rsidRPr="00BE150C">
              <w:t xml:space="preserve">proponents </w:t>
            </w:r>
            <w:r w:rsidR="00934EF7" w:rsidRPr="00BE150C">
              <w:t>are those undertaking a major development project ($500 million or more) in the resources, infrastructure, and industrial and commercial construction sectors</w:t>
            </w:r>
            <w:r w:rsidR="008143DD" w:rsidRPr="00BE150C">
              <w:t xml:space="preserve"> within Australia</w:t>
            </w:r>
            <w:r w:rsidR="00934EF7" w:rsidRPr="00BE150C">
              <w:t>.</w:t>
            </w:r>
          </w:p>
          <w:p w14:paraId="3E24E94B" w14:textId="2D8D4CF6" w:rsidR="008C1AA1" w:rsidRPr="00BE150C" w:rsidRDefault="00634A05" w:rsidP="00970B54">
            <w:r w:rsidRPr="00BE150C">
              <w:t>AIP plans</w:t>
            </w:r>
            <w:r w:rsidR="008C1AA1" w:rsidRPr="00BE150C">
              <w:t>:</w:t>
            </w:r>
          </w:p>
          <w:p w14:paraId="2A432467" w14:textId="0D74965E" w:rsidR="008C1AA1" w:rsidRPr="00BE150C" w:rsidRDefault="008C1AA1" w:rsidP="00970B54">
            <w:pPr>
              <w:pStyle w:val="ListParagraph"/>
              <w:numPr>
                <w:ilvl w:val="0"/>
                <w:numId w:val="19"/>
              </w:numPr>
              <w:rPr>
                <w:szCs w:val="20"/>
              </w:rPr>
            </w:pPr>
            <w:r w:rsidRPr="00BE150C">
              <w:rPr>
                <w:sz w:val="20"/>
                <w:szCs w:val="20"/>
              </w:rPr>
              <w:t xml:space="preserve">detail </w:t>
            </w:r>
            <w:r w:rsidR="005422FF" w:rsidRPr="00BE150C">
              <w:rPr>
                <w:sz w:val="20"/>
                <w:szCs w:val="20"/>
              </w:rPr>
              <w:t xml:space="preserve">expected opportunities </w:t>
            </w:r>
            <w:r w:rsidR="00634A05" w:rsidRPr="00BE150C">
              <w:rPr>
                <w:sz w:val="20"/>
                <w:szCs w:val="20"/>
              </w:rPr>
              <w:t>for the</w:t>
            </w:r>
            <w:r w:rsidR="005422FF" w:rsidRPr="00BE150C">
              <w:rPr>
                <w:sz w:val="20"/>
                <w:szCs w:val="20"/>
              </w:rPr>
              <w:t xml:space="preserve"> supply</w:t>
            </w:r>
            <w:r w:rsidR="00634A05" w:rsidRPr="00BE150C">
              <w:rPr>
                <w:sz w:val="20"/>
                <w:szCs w:val="20"/>
              </w:rPr>
              <w:t xml:space="preserve"> of</w:t>
            </w:r>
            <w:r w:rsidR="005422FF" w:rsidRPr="00BE150C">
              <w:rPr>
                <w:sz w:val="20"/>
                <w:szCs w:val="20"/>
              </w:rPr>
              <w:t xml:space="preserve"> goods and services to the project </w:t>
            </w:r>
          </w:p>
          <w:p w14:paraId="3F768D14" w14:textId="4CB945FA" w:rsidR="008C1AA1" w:rsidRPr="00BE150C" w:rsidRDefault="002C7404" w:rsidP="00970B54">
            <w:pPr>
              <w:pStyle w:val="ListParagraph"/>
              <w:numPr>
                <w:ilvl w:val="0"/>
                <w:numId w:val="19"/>
              </w:numPr>
              <w:rPr>
                <w:szCs w:val="20"/>
              </w:rPr>
            </w:pPr>
            <w:r w:rsidRPr="00BE150C">
              <w:rPr>
                <w:sz w:val="20"/>
                <w:szCs w:val="20"/>
              </w:rPr>
              <w:t xml:space="preserve">outline </w:t>
            </w:r>
            <w:r w:rsidR="005422FF" w:rsidRPr="00BE150C">
              <w:rPr>
                <w:sz w:val="20"/>
                <w:szCs w:val="20"/>
              </w:rPr>
              <w:t>how these opportunities will be commun</w:t>
            </w:r>
            <w:r w:rsidR="002C6A4C" w:rsidRPr="00BE150C">
              <w:rPr>
                <w:sz w:val="20"/>
                <w:szCs w:val="20"/>
              </w:rPr>
              <w:t>icated to potential suppliers</w:t>
            </w:r>
          </w:p>
          <w:p w14:paraId="26E73FE6" w14:textId="76CBCF80" w:rsidR="008C1AA1" w:rsidRPr="00BE150C" w:rsidRDefault="002C6A4C" w:rsidP="00970B54">
            <w:pPr>
              <w:pStyle w:val="ListParagraph"/>
              <w:numPr>
                <w:ilvl w:val="0"/>
                <w:numId w:val="19"/>
              </w:numPr>
              <w:rPr>
                <w:szCs w:val="20"/>
              </w:rPr>
            </w:pPr>
            <w:r w:rsidRPr="00BE150C">
              <w:rPr>
                <w:sz w:val="20"/>
                <w:szCs w:val="20"/>
              </w:rPr>
              <w:t xml:space="preserve">detail </w:t>
            </w:r>
            <w:r w:rsidR="005422FF" w:rsidRPr="00BE150C">
              <w:rPr>
                <w:sz w:val="20"/>
                <w:szCs w:val="20"/>
              </w:rPr>
              <w:t>how Australian businesses will be assisted in longer-term participation, including encouraging capability development and integration into global supply chains.</w:t>
            </w:r>
            <w:r w:rsidR="002C7404" w:rsidRPr="00BE150C">
              <w:rPr>
                <w:sz w:val="20"/>
                <w:szCs w:val="20"/>
              </w:rPr>
              <w:t xml:space="preserve"> </w:t>
            </w:r>
          </w:p>
          <w:p w14:paraId="280CF0D0" w14:textId="0834E071" w:rsidR="006A2B43" w:rsidRPr="00BE150C" w:rsidRDefault="00634A05" w:rsidP="00970B54">
            <w:r w:rsidRPr="00BE150C">
              <w:t xml:space="preserve">Major project proponents are </w:t>
            </w:r>
            <w:r w:rsidR="008C1AA1" w:rsidRPr="00BE150C">
              <w:t>required</w:t>
            </w:r>
            <w:r w:rsidRPr="00BE150C">
              <w:t xml:space="preserve"> to apply AIP plan principles to all</w:t>
            </w:r>
            <w:r w:rsidR="002C7404" w:rsidRPr="00BE150C">
              <w:t xml:space="preserve"> levels </w:t>
            </w:r>
            <w:r w:rsidRPr="00BE150C">
              <w:t>of the project’s supply chain—</w:t>
            </w:r>
            <w:r w:rsidR="002C7404" w:rsidRPr="00BE150C">
              <w:t>from procurement entities to lower tier suppliers.</w:t>
            </w:r>
          </w:p>
          <w:p w14:paraId="137F152F" w14:textId="4D4E5978" w:rsidR="00291972" w:rsidRPr="00BE150C" w:rsidRDefault="00DB7554" w:rsidP="00970B54">
            <w:pPr>
              <w:pStyle w:val="CommentText"/>
              <w:rPr>
                <w:sz w:val="20"/>
                <w:szCs w:val="22"/>
              </w:rPr>
            </w:pPr>
            <w:r w:rsidRPr="00BE150C">
              <w:rPr>
                <w:sz w:val="20"/>
                <w:szCs w:val="22"/>
              </w:rPr>
              <w:t>The Authority is a statutory position established under the</w:t>
            </w:r>
            <w:r w:rsidR="004C6F04" w:rsidRPr="00BE150C">
              <w:rPr>
                <w:sz w:val="20"/>
                <w:szCs w:val="22"/>
              </w:rPr>
              <w:t xml:space="preserve"> </w:t>
            </w:r>
            <w:r w:rsidR="008C1AA1" w:rsidRPr="00BE150C">
              <w:rPr>
                <w:sz w:val="20"/>
                <w:szCs w:val="22"/>
              </w:rPr>
              <w:t xml:space="preserve">Jobs </w:t>
            </w:r>
            <w:r w:rsidR="004C6F04" w:rsidRPr="00BE150C">
              <w:rPr>
                <w:sz w:val="20"/>
                <w:szCs w:val="22"/>
              </w:rPr>
              <w:t>Act</w:t>
            </w:r>
            <w:r w:rsidRPr="00BE150C">
              <w:rPr>
                <w:sz w:val="20"/>
                <w:szCs w:val="22"/>
              </w:rPr>
              <w:t xml:space="preserve">. </w:t>
            </w:r>
            <w:r w:rsidR="00217960" w:rsidRPr="00BE150C">
              <w:rPr>
                <w:sz w:val="20"/>
                <w:szCs w:val="22"/>
              </w:rPr>
              <w:t xml:space="preserve">A permanent Authority has not been appointed. </w:t>
            </w:r>
            <w:r w:rsidR="001E0C4F" w:rsidRPr="00BE150C">
              <w:rPr>
                <w:sz w:val="20"/>
                <w:szCs w:val="22"/>
              </w:rPr>
              <w:t>T</w:t>
            </w:r>
            <w:r w:rsidR="00217960" w:rsidRPr="00BE150C">
              <w:rPr>
                <w:sz w:val="20"/>
                <w:szCs w:val="22"/>
              </w:rPr>
              <w:t xml:space="preserve">he Australian Government has appointed officers from the department as the Acting Authority (in accordance with section 71 of the Jobs Act). </w:t>
            </w:r>
            <w:r w:rsidR="00934EF7" w:rsidRPr="00BE150C">
              <w:rPr>
                <w:sz w:val="20"/>
                <w:szCs w:val="22"/>
              </w:rPr>
              <w:t xml:space="preserve">The Authority is a small regulator that interacts with a limited number of large companies with an emphasis on engagement and encouragement to ensure compliance. </w:t>
            </w:r>
          </w:p>
          <w:p w14:paraId="0D5C79B4" w14:textId="1BA4E487" w:rsidR="00934EF7" w:rsidRPr="00BE150C" w:rsidRDefault="00217960" w:rsidP="00970B54">
            <w:pPr>
              <w:pStyle w:val="CommentText"/>
              <w:rPr>
                <w:sz w:val="20"/>
                <w:szCs w:val="22"/>
              </w:rPr>
            </w:pPr>
            <w:r w:rsidRPr="00BE150C">
              <w:rPr>
                <w:sz w:val="20"/>
                <w:szCs w:val="22"/>
              </w:rPr>
              <w:t>The Department of Industry, Innovation and Science provide</w:t>
            </w:r>
            <w:r w:rsidR="00B55101" w:rsidRPr="00BE150C">
              <w:rPr>
                <w:sz w:val="20"/>
                <w:szCs w:val="22"/>
              </w:rPr>
              <w:t>s</w:t>
            </w:r>
            <w:r w:rsidRPr="00BE150C">
              <w:rPr>
                <w:sz w:val="20"/>
                <w:szCs w:val="22"/>
              </w:rPr>
              <w:t xml:space="preserve"> staff to assist the Authority in </w:t>
            </w:r>
            <w:r w:rsidR="00F73A97" w:rsidRPr="00BE150C">
              <w:rPr>
                <w:sz w:val="20"/>
                <w:szCs w:val="22"/>
              </w:rPr>
              <w:t>administering</w:t>
            </w:r>
            <w:r w:rsidRPr="00BE150C">
              <w:rPr>
                <w:sz w:val="20"/>
                <w:szCs w:val="22"/>
              </w:rPr>
              <w:t xml:space="preserve"> the Jobs Act. In 2016-17 there were </w:t>
            </w:r>
            <w:r w:rsidR="001E0C4F" w:rsidRPr="00BE150C">
              <w:rPr>
                <w:sz w:val="20"/>
                <w:szCs w:val="22"/>
              </w:rPr>
              <w:t>eight</w:t>
            </w:r>
            <w:r w:rsidRPr="00BE150C">
              <w:rPr>
                <w:sz w:val="20"/>
                <w:szCs w:val="22"/>
              </w:rPr>
              <w:t xml:space="preserve"> FTE and this will increase to </w:t>
            </w:r>
            <w:r w:rsidR="001E0C4F" w:rsidRPr="00BE150C">
              <w:rPr>
                <w:sz w:val="20"/>
                <w:szCs w:val="22"/>
              </w:rPr>
              <w:t>nine</w:t>
            </w:r>
            <w:r w:rsidR="008143DD" w:rsidRPr="00BE150C">
              <w:rPr>
                <w:sz w:val="20"/>
                <w:szCs w:val="22"/>
              </w:rPr>
              <w:t xml:space="preserve"> </w:t>
            </w:r>
            <w:r w:rsidR="002205B4" w:rsidRPr="00BE150C">
              <w:rPr>
                <w:sz w:val="20"/>
                <w:szCs w:val="22"/>
              </w:rPr>
              <w:t>FTE in 20</w:t>
            </w:r>
            <w:r w:rsidR="008143DD" w:rsidRPr="00BE150C">
              <w:rPr>
                <w:sz w:val="20"/>
                <w:szCs w:val="22"/>
              </w:rPr>
              <w:t>17-</w:t>
            </w:r>
            <w:r w:rsidR="002205B4" w:rsidRPr="00BE150C">
              <w:rPr>
                <w:sz w:val="20"/>
                <w:szCs w:val="22"/>
              </w:rPr>
              <w:t>18</w:t>
            </w:r>
            <w:r w:rsidRPr="00BE150C">
              <w:rPr>
                <w:sz w:val="20"/>
                <w:szCs w:val="22"/>
              </w:rPr>
              <w:t xml:space="preserve">. </w:t>
            </w:r>
            <w:r w:rsidR="00291972" w:rsidRPr="00BE150C">
              <w:rPr>
                <w:sz w:val="20"/>
                <w:szCs w:val="22"/>
              </w:rPr>
              <w:t>The Authority has a four</w:t>
            </w:r>
            <w:r w:rsidR="008C1AA1" w:rsidRPr="00BE150C">
              <w:rPr>
                <w:sz w:val="20"/>
                <w:szCs w:val="22"/>
              </w:rPr>
              <w:t>-</w:t>
            </w:r>
            <w:r w:rsidR="002205B4" w:rsidRPr="00BE150C">
              <w:rPr>
                <w:sz w:val="20"/>
                <w:szCs w:val="22"/>
              </w:rPr>
              <w:t xml:space="preserve">year </w:t>
            </w:r>
            <w:r w:rsidR="008C1AA1" w:rsidRPr="00BE150C">
              <w:rPr>
                <w:sz w:val="20"/>
                <w:szCs w:val="22"/>
              </w:rPr>
              <w:t>b</w:t>
            </w:r>
            <w:r w:rsidR="002205B4" w:rsidRPr="00BE150C">
              <w:rPr>
                <w:sz w:val="20"/>
                <w:szCs w:val="22"/>
              </w:rPr>
              <w:t xml:space="preserve">udget appropriation of $7 </w:t>
            </w:r>
            <w:r w:rsidR="00291972" w:rsidRPr="00BE150C">
              <w:rPr>
                <w:sz w:val="20"/>
                <w:szCs w:val="22"/>
              </w:rPr>
              <w:t>million</w:t>
            </w:r>
            <w:r w:rsidRPr="00BE150C">
              <w:rPr>
                <w:sz w:val="20"/>
                <w:szCs w:val="22"/>
              </w:rPr>
              <w:t>,</w:t>
            </w:r>
            <w:r w:rsidR="00291972" w:rsidRPr="00BE150C">
              <w:rPr>
                <w:sz w:val="20"/>
                <w:szCs w:val="22"/>
              </w:rPr>
              <w:t xml:space="preserve"> which </w:t>
            </w:r>
            <w:r w:rsidR="004C6F04" w:rsidRPr="00BE150C">
              <w:rPr>
                <w:sz w:val="20"/>
                <w:szCs w:val="22"/>
              </w:rPr>
              <w:t xml:space="preserve">is </w:t>
            </w:r>
            <w:r w:rsidR="00291972" w:rsidRPr="00BE150C">
              <w:rPr>
                <w:sz w:val="20"/>
                <w:szCs w:val="22"/>
              </w:rPr>
              <w:t>also used to implement AIP</w:t>
            </w:r>
            <w:r w:rsidR="008C1AA1" w:rsidRPr="00BE150C">
              <w:rPr>
                <w:sz w:val="20"/>
                <w:szCs w:val="22"/>
              </w:rPr>
              <w:t xml:space="preserve"> plan</w:t>
            </w:r>
            <w:r w:rsidR="00291972" w:rsidRPr="00BE150C">
              <w:rPr>
                <w:sz w:val="20"/>
                <w:szCs w:val="22"/>
              </w:rPr>
              <w:t xml:space="preserve"> requirements in Commonwealth Government procurement</w:t>
            </w:r>
            <w:r w:rsidR="00F73A97" w:rsidRPr="00BE150C">
              <w:rPr>
                <w:sz w:val="20"/>
                <w:szCs w:val="22"/>
              </w:rPr>
              <w:t>s</w:t>
            </w:r>
            <w:r w:rsidR="0023462B" w:rsidRPr="00BE150C">
              <w:rPr>
                <w:sz w:val="20"/>
                <w:szCs w:val="22"/>
              </w:rPr>
              <w:t xml:space="preserve">, grants, </w:t>
            </w:r>
            <w:r w:rsidR="008C1AA1" w:rsidRPr="00BE150C">
              <w:rPr>
                <w:sz w:val="20"/>
                <w:szCs w:val="22"/>
              </w:rPr>
              <w:t xml:space="preserve">and </w:t>
            </w:r>
            <w:r w:rsidR="0023462B" w:rsidRPr="00BE150C">
              <w:rPr>
                <w:sz w:val="20"/>
                <w:szCs w:val="22"/>
              </w:rPr>
              <w:t>Clean Energy Finance Corporation and Northern Australia Infrastructure Facility investments</w:t>
            </w:r>
            <w:r w:rsidR="00291972" w:rsidRPr="00BE150C">
              <w:rPr>
                <w:sz w:val="20"/>
                <w:szCs w:val="22"/>
              </w:rPr>
              <w:t>. The Authority does not undertake any cost recovery.</w:t>
            </w:r>
          </w:p>
          <w:p w14:paraId="2FB5A8C3" w14:textId="678B602C" w:rsidR="00DB7554" w:rsidRPr="00BE150C" w:rsidRDefault="00DB7554" w:rsidP="00970B54">
            <w:pPr>
              <w:pStyle w:val="CommentText"/>
              <w:rPr>
                <w:sz w:val="20"/>
                <w:szCs w:val="22"/>
              </w:rPr>
            </w:pPr>
            <w:r w:rsidRPr="00BE150C">
              <w:rPr>
                <w:sz w:val="20"/>
                <w:szCs w:val="22"/>
              </w:rPr>
              <w:t xml:space="preserve">The </w:t>
            </w:r>
            <w:r w:rsidR="00C1401D" w:rsidRPr="00BE150C">
              <w:rPr>
                <w:sz w:val="20"/>
                <w:szCs w:val="22"/>
              </w:rPr>
              <w:t xml:space="preserve">Jobs </w:t>
            </w:r>
            <w:r w:rsidRPr="00BE150C">
              <w:rPr>
                <w:sz w:val="20"/>
                <w:szCs w:val="22"/>
              </w:rPr>
              <w:t>Act also requires compliance reporting on each AIP plan, during the project’s construction phase and two years into the operations phase. The</w:t>
            </w:r>
            <w:r w:rsidR="00C1401D" w:rsidRPr="00BE150C">
              <w:rPr>
                <w:sz w:val="20"/>
                <w:szCs w:val="22"/>
              </w:rPr>
              <w:t xml:space="preserve"> </w:t>
            </w:r>
            <w:r w:rsidRPr="00BE150C">
              <w:rPr>
                <w:sz w:val="20"/>
                <w:szCs w:val="22"/>
              </w:rPr>
              <w:t xml:space="preserve">Authority holds the responsibility to ensure compliance with the </w:t>
            </w:r>
            <w:r w:rsidR="00C1401D" w:rsidRPr="00BE150C">
              <w:rPr>
                <w:sz w:val="20"/>
                <w:szCs w:val="22"/>
              </w:rPr>
              <w:t xml:space="preserve">Jobs </w:t>
            </w:r>
            <w:r w:rsidRPr="00BE150C">
              <w:rPr>
                <w:sz w:val="20"/>
                <w:szCs w:val="22"/>
              </w:rPr>
              <w:t>Act and its role is to evaluate, approve and publish summaries of AIP plans, and monitor and report on the implementation of AIP plans.</w:t>
            </w:r>
          </w:p>
          <w:p w14:paraId="6718076C" w14:textId="1FDFBDE0" w:rsidR="00216942" w:rsidRPr="00BE150C" w:rsidRDefault="00216942" w:rsidP="00970B54">
            <w:r w:rsidRPr="00BE150C">
              <w:t xml:space="preserve">Currently there are </w:t>
            </w:r>
            <w:r w:rsidR="004C5DAB" w:rsidRPr="00BE150C">
              <w:t xml:space="preserve">22 </w:t>
            </w:r>
            <w:r w:rsidR="00FF5B0B" w:rsidRPr="00BE150C">
              <w:t xml:space="preserve">active </w:t>
            </w:r>
            <w:r w:rsidRPr="00BE150C">
              <w:t xml:space="preserve">AIP plans approved under the </w:t>
            </w:r>
            <w:r w:rsidR="00C1401D" w:rsidRPr="00BE150C">
              <w:t xml:space="preserve">Jobs </w:t>
            </w:r>
            <w:r w:rsidR="00A37E6D" w:rsidRPr="00BE150C">
              <w:t>Act</w:t>
            </w:r>
            <w:r w:rsidRPr="00BE150C">
              <w:t>.</w:t>
            </w:r>
            <w:r w:rsidR="00934EF7" w:rsidRPr="00BE150C">
              <w:t xml:space="preserve"> Since the </w:t>
            </w:r>
            <w:r w:rsidR="00C1401D" w:rsidRPr="00BE150C">
              <w:t xml:space="preserve">Jobs </w:t>
            </w:r>
            <w:r w:rsidR="00934EF7" w:rsidRPr="00BE150C">
              <w:t>Act’s commencement on 27 December 2013</w:t>
            </w:r>
            <w:r w:rsidR="00C1401D" w:rsidRPr="00BE150C">
              <w:t>,</w:t>
            </w:r>
            <w:r w:rsidR="00934EF7" w:rsidRPr="00BE150C">
              <w:t xml:space="preserve"> the Authority has written to </w:t>
            </w:r>
            <w:r w:rsidR="00C14E1D" w:rsidRPr="00BE150C">
              <w:t xml:space="preserve">the proponents for </w:t>
            </w:r>
            <w:r w:rsidR="0023462B" w:rsidRPr="00BE150C">
              <w:t xml:space="preserve">79 </w:t>
            </w:r>
            <w:r w:rsidR="00934EF7" w:rsidRPr="00BE150C">
              <w:t>projects alerting them to potential obligations under the</w:t>
            </w:r>
            <w:r w:rsidR="00C1401D" w:rsidRPr="00BE150C">
              <w:t xml:space="preserve"> Jobs</w:t>
            </w:r>
            <w:r w:rsidR="00934EF7" w:rsidRPr="00BE150C">
              <w:t xml:space="preserve"> Act. This contact and self-identification by projects has resulted in </w:t>
            </w:r>
            <w:r w:rsidR="0023462B" w:rsidRPr="00BE150C">
              <w:t xml:space="preserve">55 </w:t>
            </w:r>
            <w:r w:rsidR="00934EF7" w:rsidRPr="00BE150C">
              <w:t>major project notifications lodged with the Authority</w:t>
            </w:r>
            <w:r w:rsidR="00FF5B0B" w:rsidRPr="00BE150C">
              <w:t>.</w:t>
            </w:r>
            <w:r w:rsidR="00934EF7" w:rsidRPr="00BE150C">
              <w:t xml:space="preserve"> </w:t>
            </w:r>
            <w:r w:rsidR="005E534F" w:rsidRPr="00BE150C">
              <w:t xml:space="preserve">As at 30 June 2017, </w:t>
            </w:r>
            <w:r w:rsidR="00934EF7" w:rsidRPr="00BE150C">
              <w:t xml:space="preserve">the Authority has approved </w:t>
            </w:r>
            <w:r w:rsidR="004C5DAB" w:rsidRPr="00BE150C">
              <w:t xml:space="preserve">28 </w:t>
            </w:r>
            <w:r w:rsidR="00934EF7" w:rsidRPr="00BE150C">
              <w:t xml:space="preserve">AIP plans for </w:t>
            </w:r>
            <w:r w:rsidR="008143DD" w:rsidRPr="00BE150C">
              <w:t xml:space="preserve">projects from </w:t>
            </w:r>
            <w:r w:rsidR="004C5DAB" w:rsidRPr="00BE150C">
              <w:t xml:space="preserve">21 </w:t>
            </w:r>
            <w:r w:rsidR="00934EF7" w:rsidRPr="00BE150C">
              <w:t>different proponents, and has received</w:t>
            </w:r>
            <w:r w:rsidR="005E534F" w:rsidRPr="00BE150C">
              <w:t xml:space="preserve">, </w:t>
            </w:r>
            <w:r w:rsidR="00934EF7" w:rsidRPr="00BE150C">
              <w:t>evaluated</w:t>
            </w:r>
            <w:r w:rsidR="005E534F" w:rsidRPr="00BE150C">
              <w:t xml:space="preserve"> and accepted</w:t>
            </w:r>
            <w:r w:rsidR="00934EF7" w:rsidRPr="00BE150C">
              <w:t xml:space="preserve"> </w:t>
            </w:r>
            <w:r w:rsidR="008A457E" w:rsidRPr="00BE150C">
              <w:t xml:space="preserve">43 </w:t>
            </w:r>
            <w:r w:rsidR="00934EF7" w:rsidRPr="00BE150C">
              <w:t>AIP plan compliance reports.</w:t>
            </w:r>
          </w:p>
          <w:p w14:paraId="49090168" w14:textId="1FA5C462" w:rsidR="00332706" w:rsidRPr="00BE150C" w:rsidRDefault="0087414B" w:rsidP="00970B54">
            <w:pPr>
              <w:rPr>
                <w:szCs w:val="20"/>
              </w:rPr>
            </w:pPr>
            <w:r w:rsidRPr="00BE150C">
              <w:rPr>
                <w:szCs w:val="20"/>
              </w:rPr>
              <w:t>Within the requirements of the Jobs Act, t</w:t>
            </w:r>
            <w:r w:rsidR="00BB4547" w:rsidRPr="00BE150C">
              <w:rPr>
                <w:szCs w:val="20"/>
              </w:rPr>
              <w:t>he</w:t>
            </w:r>
            <w:r w:rsidR="00D073F3" w:rsidRPr="00BE150C">
              <w:rPr>
                <w:szCs w:val="20"/>
              </w:rPr>
              <w:t xml:space="preserve"> </w:t>
            </w:r>
            <w:r w:rsidR="00BB4547" w:rsidRPr="00BE150C">
              <w:rPr>
                <w:szCs w:val="20"/>
              </w:rPr>
              <w:t xml:space="preserve">Authority </w:t>
            </w:r>
            <w:r w:rsidRPr="00BE150C">
              <w:rPr>
                <w:szCs w:val="20"/>
              </w:rPr>
              <w:t xml:space="preserve">works with proponents </w:t>
            </w:r>
            <w:r w:rsidR="00BB4547" w:rsidRPr="00BE150C">
              <w:rPr>
                <w:szCs w:val="20"/>
              </w:rPr>
              <w:t xml:space="preserve">in establishing appropriate timing for AIP plans and reports and has provided </w:t>
            </w:r>
            <w:r w:rsidR="00550764" w:rsidRPr="00BE150C">
              <w:rPr>
                <w:szCs w:val="20"/>
              </w:rPr>
              <w:t xml:space="preserve">seven </w:t>
            </w:r>
            <w:r w:rsidR="00A422F3" w:rsidRPr="00BE150C">
              <w:rPr>
                <w:szCs w:val="20"/>
              </w:rPr>
              <w:t xml:space="preserve">exceptions to the </w:t>
            </w:r>
            <w:r w:rsidR="00BB4547" w:rsidRPr="00BE150C">
              <w:rPr>
                <w:szCs w:val="20"/>
              </w:rPr>
              <w:t>requirement</w:t>
            </w:r>
            <w:r w:rsidR="00A422F3" w:rsidRPr="00BE150C">
              <w:rPr>
                <w:szCs w:val="20"/>
              </w:rPr>
              <w:t xml:space="preserve"> to submit an AIP plan</w:t>
            </w:r>
            <w:r w:rsidRPr="00BE150C">
              <w:rPr>
                <w:szCs w:val="20"/>
              </w:rPr>
              <w:t xml:space="preserve"> where a compliant state or territory industry participation plan is in place</w:t>
            </w:r>
            <w:r w:rsidR="00BB4547" w:rsidRPr="00BE150C">
              <w:rPr>
                <w:szCs w:val="20"/>
              </w:rPr>
              <w:t>. The Authority is yet to impose a penalty for a case of non-</w:t>
            </w:r>
            <w:r w:rsidR="00A422F3" w:rsidRPr="00BE150C">
              <w:rPr>
                <w:szCs w:val="20"/>
              </w:rPr>
              <w:t>compliance</w:t>
            </w:r>
            <w:r w:rsidR="00BB4547" w:rsidRPr="00BE150C">
              <w:rPr>
                <w:szCs w:val="20"/>
              </w:rPr>
              <w:t>.</w:t>
            </w:r>
            <w:r w:rsidR="000E1046" w:rsidRPr="00BE150C">
              <w:rPr>
                <w:szCs w:val="20"/>
              </w:rPr>
              <w:t xml:space="preserve"> </w:t>
            </w:r>
          </w:p>
          <w:p w14:paraId="23DF4523" w14:textId="1FDF5CB0" w:rsidR="000E1046" w:rsidRPr="00BE150C" w:rsidRDefault="000E1046" w:rsidP="00970B54">
            <w:pPr>
              <w:rPr>
                <w:szCs w:val="20"/>
              </w:rPr>
            </w:pPr>
            <w:r w:rsidRPr="00BE150C">
              <w:rPr>
                <w:szCs w:val="20"/>
              </w:rPr>
              <w:t>As a first step the</w:t>
            </w:r>
            <w:r w:rsidR="001016A9" w:rsidRPr="00BE150C">
              <w:rPr>
                <w:szCs w:val="20"/>
              </w:rPr>
              <w:t xml:space="preserve"> </w:t>
            </w:r>
            <w:r w:rsidRPr="00BE150C">
              <w:rPr>
                <w:szCs w:val="20"/>
              </w:rPr>
              <w:t xml:space="preserve">Authority promotes awareness of the </w:t>
            </w:r>
            <w:r w:rsidR="001016A9" w:rsidRPr="00BE150C">
              <w:rPr>
                <w:szCs w:val="20"/>
              </w:rPr>
              <w:t xml:space="preserve">Jobs </w:t>
            </w:r>
            <w:r w:rsidRPr="00BE150C">
              <w:rPr>
                <w:szCs w:val="20"/>
              </w:rPr>
              <w:t>Act among target entities to remind them of their need to comply. Generally, as the first course of action, where evidence of a contravention is detected, targeted advice and assistance is provided to ensure proponents are aware of possible obligations and are provided with guidance to remedy any contravention. For continuing contraventions, the</w:t>
            </w:r>
            <w:r w:rsidR="001016A9" w:rsidRPr="00BE150C">
              <w:rPr>
                <w:szCs w:val="20"/>
              </w:rPr>
              <w:t xml:space="preserve"> </w:t>
            </w:r>
            <w:r w:rsidRPr="00BE150C">
              <w:rPr>
                <w:szCs w:val="20"/>
              </w:rPr>
              <w:t>Authority may seek to use administrative or court assisted enforcement methods.</w:t>
            </w:r>
          </w:p>
        </w:tc>
      </w:tr>
      <w:tr w:rsidR="009116B1" w:rsidRPr="00BE150C" w14:paraId="7DF1A9CF" w14:textId="77777777" w:rsidTr="0098655C">
        <w:trPr>
          <w:trHeight w:val="140"/>
        </w:trPr>
        <w:tc>
          <w:tcPr>
            <w:tcW w:w="8546" w:type="dxa"/>
            <w:shd w:val="clear" w:color="auto" w:fill="005677" w:themeFill="accent1"/>
            <w:vAlign w:val="center"/>
          </w:tcPr>
          <w:p w14:paraId="19697672" w14:textId="77777777" w:rsidR="009116B1" w:rsidRPr="00BE150C" w:rsidRDefault="00F2211C" w:rsidP="00970B54">
            <w:pPr>
              <w:pStyle w:val="Heading2"/>
              <w:numPr>
                <w:ilvl w:val="0"/>
                <w:numId w:val="0"/>
              </w:numPr>
              <w:ind w:left="578" w:hanging="578"/>
              <w:outlineLvl w:val="1"/>
            </w:pPr>
            <w:bookmarkStart w:id="7" w:name="_Toc455036855"/>
            <w:bookmarkStart w:id="8" w:name="_Toc481139973"/>
            <w:r w:rsidRPr="00BE150C">
              <w:t xml:space="preserve">3.2 </w:t>
            </w:r>
            <w:r w:rsidR="009116B1" w:rsidRPr="00BE150C">
              <w:t>The Australian Government Regulator Performance Framework</w:t>
            </w:r>
            <w:bookmarkEnd w:id="7"/>
            <w:bookmarkEnd w:id="8"/>
          </w:p>
        </w:tc>
      </w:tr>
      <w:tr w:rsidR="009116B1" w:rsidRPr="00BE150C" w14:paraId="7A57E44D" w14:textId="77777777" w:rsidTr="0098655C">
        <w:trPr>
          <w:trHeight w:val="3070"/>
        </w:trPr>
        <w:tc>
          <w:tcPr>
            <w:tcW w:w="8546" w:type="dxa"/>
          </w:tcPr>
          <w:p w14:paraId="11EFA7D1" w14:textId="4977FDE0" w:rsidR="00CB5F1C" w:rsidRPr="00BE150C" w:rsidRDefault="00C5226C" w:rsidP="00970B54">
            <w:pPr>
              <w:spacing w:after="60"/>
            </w:pPr>
            <w:r w:rsidRPr="00BE150C">
              <w:t xml:space="preserve">The Regulator Performance Framework (the Framework) is an important part of </w:t>
            </w:r>
            <w:r w:rsidR="007741BD" w:rsidRPr="00BE150C">
              <w:t xml:space="preserve">the Government’s </w:t>
            </w:r>
            <w:r w:rsidRPr="00BE150C">
              <w:t>commitment to reduce the cost</w:t>
            </w:r>
            <w:r w:rsidR="002C6A4C" w:rsidRPr="00BE150C">
              <w:t>, by at least $1 billion a year,</w:t>
            </w:r>
            <w:r w:rsidRPr="00BE150C">
              <w:t xml:space="preserve"> of unnecessary or inefficient regulation imposed on individuals, business and community organisations.</w:t>
            </w:r>
            <w:r w:rsidR="005F6A0D" w:rsidRPr="00BE150C">
              <w:t xml:space="preserve"> </w:t>
            </w:r>
            <w:r w:rsidRPr="00BE150C">
              <w:t>The Framework has been developed following consultation with a range of stakeholders and consists of six outcome-based key performance indicators</w:t>
            </w:r>
            <w:r w:rsidR="00F101FF" w:rsidRPr="00BE150C">
              <w:t xml:space="preserve"> (KPIs)</w:t>
            </w:r>
            <w:r w:rsidR="007741BD" w:rsidRPr="00BE150C">
              <w:t>:</w:t>
            </w:r>
            <w:r w:rsidR="0007518E" w:rsidRPr="00BE150C">
              <w:t xml:space="preserve"> </w:t>
            </w:r>
          </w:p>
          <w:p w14:paraId="1CE4681B" w14:textId="1B535A83" w:rsidR="00CB5F1C" w:rsidRPr="00BE150C" w:rsidRDefault="00634A05" w:rsidP="00970B54">
            <w:pPr>
              <w:pStyle w:val="ListParagraph"/>
              <w:numPr>
                <w:ilvl w:val="0"/>
                <w:numId w:val="21"/>
              </w:numPr>
              <w:rPr>
                <w:sz w:val="20"/>
                <w:szCs w:val="20"/>
              </w:rPr>
            </w:pPr>
            <w:r w:rsidRPr="00BE150C">
              <w:rPr>
                <w:sz w:val="20"/>
                <w:szCs w:val="20"/>
              </w:rPr>
              <w:t>reducing regulatory burden</w:t>
            </w:r>
            <w:r w:rsidR="0007518E" w:rsidRPr="00BE150C">
              <w:rPr>
                <w:sz w:val="20"/>
                <w:szCs w:val="20"/>
              </w:rPr>
              <w:t xml:space="preserve"> </w:t>
            </w:r>
          </w:p>
          <w:p w14:paraId="5676783D" w14:textId="67C408C9" w:rsidR="00CB5F1C" w:rsidRPr="00BE150C" w:rsidRDefault="007741BD" w:rsidP="00970B54">
            <w:pPr>
              <w:pStyle w:val="ListParagraph"/>
              <w:numPr>
                <w:ilvl w:val="0"/>
                <w:numId w:val="21"/>
              </w:numPr>
              <w:rPr>
                <w:sz w:val="20"/>
                <w:szCs w:val="20"/>
              </w:rPr>
            </w:pPr>
            <w:r w:rsidRPr="00BE150C">
              <w:rPr>
                <w:sz w:val="20"/>
                <w:szCs w:val="20"/>
              </w:rPr>
              <w:t xml:space="preserve">targeted </w:t>
            </w:r>
            <w:r w:rsidR="00634A05" w:rsidRPr="00BE150C">
              <w:rPr>
                <w:sz w:val="20"/>
                <w:szCs w:val="20"/>
              </w:rPr>
              <w:t>communications</w:t>
            </w:r>
            <w:r w:rsidR="0007518E" w:rsidRPr="00BE150C">
              <w:rPr>
                <w:sz w:val="20"/>
                <w:szCs w:val="20"/>
              </w:rPr>
              <w:t xml:space="preserve"> </w:t>
            </w:r>
          </w:p>
          <w:p w14:paraId="1AB8B457" w14:textId="77777777" w:rsidR="00CB5F1C" w:rsidRPr="00BE150C" w:rsidRDefault="00C5226C" w:rsidP="00970B54">
            <w:pPr>
              <w:pStyle w:val="ListParagraph"/>
              <w:numPr>
                <w:ilvl w:val="0"/>
                <w:numId w:val="21"/>
              </w:numPr>
              <w:rPr>
                <w:sz w:val="20"/>
                <w:szCs w:val="20"/>
              </w:rPr>
            </w:pPr>
            <w:r w:rsidRPr="00BE150C">
              <w:rPr>
                <w:sz w:val="20"/>
                <w:szCs w:val="20"/>
              </w:rPr>
              <w:t>risk-bas</w:t>
            </w:r>
            <w:r w:rsidR="00634A05" w:rsidRPr="00BE150C">
              <w:rPr>
                <w:sz w:val="20"/>
                <w:szCs w:val="20"/>
              </w:rPr>
              <w:t>ed and proportionate approaches</w:t>
            </w:r>
          </w:p>
          <w:p w14:paraId="6C8E6FB3" w14:textId="6D64DB98" w:rsidR="00CB5F1C" w:rsidRPr="00BE150C" w:rsidRDefault="00C5226C" w:rsidP="00970B54">
            <w:pPr>
              <w:pStyle w:val="ListParagraph"/>
              <w:numPr>
                <w:ilvl w:val="0"/>
                <w:numId w:val="21"/>
              </w:numPr>
              <w:rPr>
                <w:sz w:val="20"/>
                <w:szCs w:val="20"/>
              </w:rPr>
            </w:pPr>
            <w:r w:rsidRPr="00BE150C">
              <w:rPr>
                <w:sz w:val="20"/>
                <w:szCs w:val="20"/>
              </w:rPr>
              <w:t>effic</w:t>
            </w:r>
            <w:r w:rsidR="00634A05" w:rsidRPr="00BE150C">
              <w:rPr>
                <w:sz w:val="20"/>
                <w:szCs w:val="20"/>
              </w:rPr>
              <w:t>ient and coordinated monitoring</w:t>
            </w:r>
            <w:r w:rsidR="0007518E" w:rsidRPr="00BE150C">
              <w:rPr>
                <w:sz w:val="20"/>
                <w:szCs w:val="20"/>
              </w:rPr>
              <w:t xml:space="preserve"> </w:t>
            </w:r>
          </w:p>
          <w:p w14:paraId="7383BF01" w14:textId="37A85DD1" w:rsidR="00CB5F1C" w:rsidRPr="00BE150C" w:rsidRDefault="00C5226C" w:rsidP="00970B54">
            <w:pPr>
              <w:pStyle w:val="ListParagraph"/>
              <w:numPr>
                <w:ilvl w:val="0"/>
                <w:numId w:val="21"/>
              </w:numPr>
              <w:rPr>
                <w:sz w:val="20"/>
                <w:szCs w:val="20"/>
              </w:rPr>
            </w:pPr>
            <w:r w:rsidRPr="00BE150C">
              <w:rPr>
                <w:sz w:val="20"/>
                <w:szCs w:val="20"/>
              </w:rPr>
              <w:t xml:space="preserve">transparency </w:t>
            </w:r>
          </w:p>
          <w:p w14:paraId="3B0C6575" w14:textId="2043885E" w:rsidR="00C5226C" w:rsidRPr="00BE150C" w:rsidRDefault="00C5226C" w:rsidP="00970B54">
            <w:pPr>
              <w:pStyle w:val="ListParagraph"/>
              <w:numPr>
                <w:ilvl w:val="0"/>
                <w:numId w:val="21"/>
              </w:numPr>
              <w:rPr>
                <w:sz w:val="20"/>
                <w:szCs w:val="20"/>
              </w:rPr>
            </w:pPr>
            <w:r w:rsidRPr="00BE150C">
              <w:rPr>
                <w:sz w:val="20"/>
                <w:szCs w:val="20"/>
              </w:rPr>
              <w:t>continuous improvement.</w:t>
            </w:r>
          </w:p>
          <w:p w14:paraId="659D0BB3" w14:textId="619F1B95" w:rsidR="005765E8" w:rsidRPr="00BE150C" w:rsidRDefault="00C5226C" w:rsidP="00970B54">
            <w:r w:rsidRPr="00BE150C">
              <w:t xml:space="preserve">Commonwealth regulators that administer, monitor or enforce regulation </w:t>
            </w:r>
            <w:r w:rsidR="00634A05" w:rsidRPr="00BE150C">
              <w:t>are</w:t>
            </w:r>
            <w:r w:rsidRPr="00BE150C">
              <w:t xml:space="preserve"> required to implement the Framework.</w:t>
            </w:r>
            <w:r w:rsidR="00413DAE" w:rsidRPr="00BE150C">
              <w:t xml:space="preserve"> </w:t>
            </w:r>
            <w:r w:rsidR="00ED24BA" w:rsidRPr="00BE150C">
              <w:t>The</w:t>
            </w:r>
            <w:r w:rsidR="00CB5F1C" w:rsidRPr="00BE150C">
              <w:t xml:space="preserve"> </w:t>
            </w:r>
            <w:r w:rsidR="00ED24BA" w:rsidRPr="00BE150C">
              <w:t xml:space="preserve">Authority </w:t>
            </w:r>
            <w:r w:rsidR="00760174" w:rsidRPr="00BE150C">
              <w:t xml:space="preserve">is covered by the Framework as it is responsible for </w:t>
            </w:r>
            <w:r w:rsidR="00413DAE" w:rsidRPr="00BE150C">
              <w:t>administering</w:t>
            </w:r>
            <w:r w:rsidR="00760174" w:rsidRPr="00BE150C">
              <w:t xml:space="preserve"> the</w:t>
            </w:r>
            <w:r w:rsidR="00CB5F1C" w:rsidRPr="00BE150C">
              <w:t xml:space="preserve"> Jobs</w:t>
            </w:r>
            <w:r w:rsidR="00760174" w:rsidRPr="00BE150C">
              <w:t xml:space="preserve"> </w:t>
            </w:r>
            <w:r w:rsidR="004608F8" w:rsidRPr="00BE150C">
              <w:t>Act</w:t>
            </w:r>
            <w:r w:rsidR="00760174" w:rsidRPr="00BE150C">
              <w:t>.</w:t>
            </w:r>
            <w:r w:rsidR="00ED24BA" w:rsidRPr="00BE150C">
              <w:t xml:space="preserve"> </w:t>
            </w:r>
          </w:p>
          <w:p w14:paraId="4C0A841F" w14:textId="7884E790" w:rsidR="00D11BEE" w:rsidRPr="00BE150C" w:rsidRDefault="008B5BEC" w:rsidP="00970B54">
            <w:pPr>
              <w:spacing w:after="60"/>
            </w:pPr>
            <w:r w:rsidRPr="00BE150C">
              <w:t>As reported in 2015-16, t</w:t>
            </w:r>
            <w:r w:rsidR="00D11BEE" w:rsidRPr="00BE150C">
              <w:t>he</w:t>
            </w:r>
            <w:r w:rsidR="00CB5F1C" w:rsidRPr="00BE150C">
              <w:t xml:space="preserve"> </w:t>
            </w:r>
            <w:r w:rsidR="00D11BEE" w:rsidRPr="00BE150C">
              <w:t>Authority has develop</w:t>
            </w:r>
            <w:r w:rsidR="00C109A4" w:rsidRPr="00BE150C">
              <w:t>ed</w:t>
            </w:r>
            <w:r w:rsidR="00D11BEE" w:rsidRPr="00BE150C">
              <w:t xml:space="preserve"> a programme of activities that will impact across all KPIs</w:t>
            </w:r>
            <w:r w:rsidR="00AF315A" w:rsidRPr="00BE150C">
              <w:t>, which is</w:t>
            </w:r>
            <w:r w:rsidR="00D11BEE" w:rsidRPr="00BE150C">
              <w:t xml:space="preserve"> informed by:</w:t>
            </w:r>
          </w:p>
          <w:p w14:paraId="4A7B67A3" w14:textId="77777777" w:rsidR="00D11BEE" w:rsidRPr="00BE150C" w:rsidRDefault="00D11BEE" w:rsidP="00970B54">
            <w:pPr>
              <w:pStyle w:val="ListParagraph"/>
              <w:numPr>
                <w:ilvl w:val="0"/>
                <w:numId w:val="12"/>
              </w:numPr>
              <w:rPr>
                <w:sz w:val="20"/>
              </w:rPr>
            </w:pPr>
            <w:r w:rsidRPr="00BE150C">
              <w:rPr>
                <w:sz w:val="20"/>
              </w:rPr>
              <w:t>the findings of</w:t>
            </w:r>
            <w:r w:rsidR="00D90EE0" w:rsidRPr="00BE150C">
              <w:rPr>
                <w:sz w:val="20"/>
              </w:rPr>
              <w:t xml:space="preserve"> external reviews</w:t>
            </w:r>
          </w:p>
          <w:p w14:paraId="7B43B1E7" w14:textId="77777777" w:rsidR="00D11BEE" w:rsidRPr="00BE150C" w:rsidRDefault="00D11BEE" w:rsidP="00970B54">
            <w:pPr>
              <w:pStyle w:val="ListParagraph"/>
              <w:numPr>
                <w:ilvl w:val="0"/>
                <w:numId w:val="12"/>
              </w:numPr>
              <w:rPr>
                <w:sz w:val="20"/>
              </w:rPr>
            </w:pPr>
            <w:r w:rsidRPr="00BE150C">
              <w:rPr>
                <w:sz w:val="20"/>
              </w:rPr>
              <w:t xml:space="preserve">the feedback </w:t>
            </w:r>
            <w:r w:rsidR="00D90EE0" w:rsidRPr="00BE150C">
              <w:rPr>
                <w:sz w:val="20"/>
              </w:rPr>
              <w:t>of this self-assessment process</w:t>
            </w:r>
            <w:r w:rsidRPr="00BE150C">
              <w:rPr>
                <w:sz w:val="20"/>
              </w:rPr>
              <w:t xml:space="preserve"> </w:t>
            </w:r>
          </w:p>
          <w:p w14:paraId="6F0CD504" w14:textId="77777777" w:rsidR="00D11BEE" w:rsidRPr="00BE150C" w:rsidRDefault="00D11BEE" w:rsidP="00970B54">
            <w:pPr>
              <w:pStyle w:val="ListParagraph"/>
              <w:numPr>
                <w:ilvl w:val="0"/>
                <w:numId w:val="12"/>
              </w:numPr>
              <w:rPr>
                <w:sz w:val="20"/>
              </w:rPr>
            </w:pPr>
            <w:r w:rsidRPr="00BE150C">
              <w:rPr>
                <w:sz w:val="20"/>
              </w:rPr>
              <w:t>on</w:t>
            </w:r>
            <w:r w:rsidR="00D90EE0" w:rsidRPr="00BE150C">
              <w:rPr>
                <w:sz w:val="20"/>
              </w:rPr>
              <w:t>e-on-one industry consultation</w:t>
            </w:r>
          </w:p>
          <w:p w14:paraId="5A54DC15" w14:textId="77777777" w:rsidR="00D11BEE" w:rsidRPr="00BE150C" w:rsidRDefault="00D11BEE" w:rsidP="00970B54">
            <w:pPr>
              <w:pStyle w:val="ListParagraph"/>
              <w:numPr>
                <w:ilvl w:val="0"/>
                <w:numId w:val="12"/>
              </w:numPr>
              <w:rPr>
                <w:sz w:val="20"/>
              </w:rPr>
            </w:pPr>
            <w:r w:rsidRPr="00BE150C">
              <w:rPr>
                <w:sz w:val="20"/>
              </w:rPr>
              <w:t xml:space="preserve">discussions with other related Commonwealth agencies </w:t>
            </w:r>
          </w:p>
          <w:p w14:paraId="048C058C" w14:textId="77777777" w:rsidR="00D11BEE" w:rsidRPr="00BE150C" w:rsidRDefault="004C6F04" w:rsidP="00970B54">
            <w:pPr>
              <w:pStyle w:val="ListParagraph"/>
              <w:numPr>
                <w:ilvl w:val="0"/>
                <w:numId w:val="12"/>
              </w:numPr>
              <w:rPr>
                <w:sz w:val="20"/>
              </w:rPr>
            </w:pPr>
            <w:r w:rsidRPr="00BE150C">
              <w:rPr>
                <w:sz w:val="20"/>
              </w:rPr>
              <w:t xml:space="preserve">working with </w:t>
            </w:r>
            <w:r w:rsidR="00D11BEE" w:rsidRPr="00BE150C">
              <w:rPr>
                <w:sz w:val="20"/>
              </w:rPr>
              <w:t>state and territory jurisdictions operating under the AIP National Framework 2001</w:t>
            </w:r>
            <w:r w:rsidRPr="00BE150C">
              <w:rPr>
                <w:sz w:val="20"/>
              </w:rPr>
              <w:t>.</w:t>
            </w:r>
          </w:p>
          <w:p w14:paraId="0ABD7F44" w14:textId="0970CFF4" w:rsidR="00D11BEE" w:rsidRPr="00BE150C" w:rsidRDefault="008B5BEC" w:rsidP="00970B54">
            <w:pPr>
              <w:spacing w:after="60"/>
            </w:pPr>
            <w:r w:rsidRPr="00BE150C">
              <w:t>The Authority is currently i</w:t>
            </w:r>
            <w:r w:rsidR="00D11BEE" w:rsidRPr="00BE150C">
              <w:t>mplement</w:t>
            </w:r>
            <w:r w:rsidRPr="00BE150C">
              <w:t>ing</w:t>
            </w:r>
            <w:r w:rsidR="00D11BEE" w:rsidRPr="00BE150C">
              <w:t xml:space="preserve"> the programme </w:t>
            </w:r>
            <w:r w:rsidR="001F6F46" w:rsidRPr="00BE150C">
              <w:t xml:space="preserve">which </w:t>
            </w:r>
            <w:r w:rsidR="00D11BEE" w:rsidRPr="00BE150C">
              <w:t xml:space="preserve">will </w:t>
            </w:r>
            <w:r w:rsidR="004C6F04" w:rsidRPr="00BE150C">
              <w:t xml:space="preserve">need </w:t>
            </w:r>
            <w:r w:rsidR="007D412B" w:rsidRPr="00BE150C">
              <w:t>the agreement of the Minister where policy change and legal instruments are required; agreement with affected Commonwealth agencies; coordination with the states and territories through C</w:t>
            </w:r>
            <w:r w:rsidR="0074792C" w:rsidRPr="00BE150C">
              <w:t xml:space="preserve">ouncil of </w:t>
            </w:r>
            <w:r w:rsidR="007D412B" w:rsidRPr="00BE150C">
              <w:t>A</w:t>
            </w:r>
            <w:r w:rsidR="0074792C" w:rsidRPr="00BE150C">
              <w:t xml:space="preserve">ustralian </w:t>
            </w:r>
            <w:r w:rsidR="007D412B" w:rsidRPr="00BE150C">
              <w:t>G</w:t>
            </w:r>
            <w:r w:rsidR="0074792C" w:rsidRPr="00BE150C">
              <w:t>overnments</w:t>
            </w:r>
            <w:r w:rsidR="007D412B" w:rsidRPr="00BE150C">
              <w:t xml:space="preserve"> and engagement with industry. Key proposed measures </w:t>
            </w:r>
            <w:r w:rsidR="00D11BEE" w:rsidRPr="00BE150C">
              <w:t>include</w:t>
            </w:r>
            <w:r w:rsidR="007D412B" w:rsidRPr="00BE150C">
              <w:t>:</w:t>
            </w:r>
          </w:p>
          <w:p w14:paraId="22C7F80C" w14:textId="77777777" w:rsidR="007D412B" w:rsidRPr="00BE150C" w:rsidRDefault="00995DD5" w:rsidP="00970B54">
            <w:pPr>
              <w:pStyle w:val="ListParagraph"/>
              <w:numPr>
                <w:ilvl w:val="0"/>
                <w:numId w:val="9"/>
              </w:numPr>
              <w:rPr>
                <w:sz w:val="20"/>
              </w:rPr>
            </w:pPr>
            <w:r w:rsidRPr="00BE150C">
              <w:rPr>
                <w:sz w:val="20"/>
              </w:rPr>
              <w:t>reducing regulatory burden</w:t>
            </w:r>
            <w:r w:rsidR="007D412B" w:rsidRPr="00BE150C">
              <w:rPr>
                <w:sz w:val="20"/>
              </w:rPr>
              <w:t xml:space="preserve"> </w:t>
            </w:r>
          </w:p>
          <w:p w14:paraId="45F621BE" w14:textId="257E5E4B" w:rsidR="00AD584A" w:rsidRPr="00BE150C" w:rsidRDefault="007D412B" w:rsidP="00970B54">
            <w:pPr>
              <w:pStyle w:val="ListParagraph"/>
              <w:numPr>
                <w:ilvl w:val="1"/>
                <w:numId w:val="9"/>
              </w:numPr>
              <w:rPr>
                <w:sz w:val="20"/>
              </w:rPr>
            </w:pPr>
            <w:r w:rsidRPr="00BE150C">
              <w:rPr>
                <w:sz w:val="20"/>
              </w:rPr>
              <w:t>the principal activity will be on better harmonisation between Commonwealth, state and territory requirements. While current arrangements avoid potential for duplication, there are some further harmonisation opportunities</w:t>
            </w:r>
            <w:r w:rsidR="004075E2" w:rsidRPr="00BE150C">
              <w:rPr>
                <w:sz w:val="20"/>
              </w:rPr>
              <w:t>, including sharing of plans,</w:t>
            </w:r>
            <w:r w:rsidRPr="00BE150C">
              <w:rPr>
                <w:sz w:val="20"/>
              </w:rPr>
              <w:t xml:space="preserve"> that would simplify industry requirements.</w:t>
            </w:r>
            <w:r w:rsidR="005C069F" w:rsidRPr="00BE150C">
              <w:rPr>
                <w:sz w:val="20"/>
              </w:rPr>
              <w:t xml:space="preserve"> </w:t>
            </w:r>
          </w:p>
          <w:p w14:paraId="6C839B81" w14:textId="6FC31724" w:rsidR="007D412B" w:rsidRPr="00BE150C" w:rsidRDefault="005C069F" w:rsidP="00970B54">
            <w:pPr>
              <w:pStyle w:val="ListParagraph"/>
              <w:numPr>
                <w:ilvl w:val="1"/>
                <w:numId w:val="9"/>
              </w:numPr>
              <w:rPr>
                <w:sz w:val="20"/>
              </w:rPr>
            </w:pPr>
            <w:r w:rsidRPr="00BE150C">
              <w:rPr>
                <w:sz w:val="20"/>
              </w:rPr>
              <w:t>templates, user guide</w:t>
            </w:r>
            <w:r w:rsidR="00AD584A" w:rsidRPr="00BE150C">
              <w:rPr>
                <w:sz w:val="20"/>
              </w:rPr>
              <w:t xml:space="preserve">s and supporting documents will be subject to ongoing review </w:t>
            </w:r>
            <w:r w:rsidR="000E0F04" w:rsidRPr="00BE150C">
              <w:rPr>
                <w:sz w:val="20"/>
              </w:rPr>
              <w:t>based on external and internal feedback.</w:t>
            </w:r>
          </w:p>
          <w:p w14:paraId="0FF19815" w14:textId="77777777" w:rsidR="007D412B" w:rsidRPr="00BE150C" w:rsidRDefault="00995DD5" w:rsidP="00970B54">
            <w:pPr>
              <w:pStyle w:val="ListParagraph"/>
              <w:numPr>
                <w:ilvl w:val="0"/>
                <w:numId w:val="9"/>
              </w:numPr>
              <w:rPr>
                <w:sz w:val="20"/>
              </w:rPr>
            </w:pPr>
            <w:r w:rsidRPr="00BE150C">
              <w:rPr>
                <w:sz w:val="20"/>
              </w:rPr>
              <w:t>targeted communications</w:t>
            </w:r>
            <w:r w:rsidR="007D412B" w:rsidRPr="00BE150C">
              <w:rPr>
                <w:sz w:val="20"/>
              </w:rPr>
              <w:t xml:space="preserve"> </w:t>
            </w:r>
          </w:p>
          <w:p w14:paraId="4264069D" w14:textId="69573B48" w:rsidR="007D412B" w:rsidRPr="00BE150C" w:rsidRDefault="007D412B" w:rsidP="00970B54">
            <w:pPr>
              <w:pStyle w:val="ListParagraph"/>
              <w:numPr>
                <w:ilvl w:val="1"/>
                <w:numId w:val="9"/>
              </w:numPr>
              <w:rPr>
                <w:sz w:val="20"/>
              </w:rPr>
            </w:pPr>
            <w:r w:rsidRPr="00BE150C">
              <w:rPr>
                <w:sz w:val="20"/>
              </w:rPr>
              <w:t xml:space="preserve">a communications strategy </w:t>
            </w:r>
            <w:r w:rsidR="00D37A59" w:rsidRPr="00BE150C">
              <w:rPr>
                <w:sz w:val="20"/>
              </w:rPr>
              <w:t xml:space="preserve">has been </w:t>
            </w:r>
            <w:r w:rsidRPr="00BE150C">
              <w:rPr>
                <w:sz w:val="20"/>
              </w:rPr>
              <w:t>develop</w:t>
            </w:r>
            <w:r w:rsidR="00D37A59" w:rsidRPr="00BE150C">
              <w:rPr>
                <w:sz w:val="20"/>
              </w:rPr>
              <w:t>ed</w:t>
            </w:r>
            <w:r w:rsidRPr="00BE150C">
              <w:rPr>
                <w:sz w:val="20"/>
              </w:rPr>
              <w:t xml:space="preserve"> and </w:t>
            </w:r>
            <w:r w:rsidRPr="00BE150C">
              <w:rPr>
                <w:color w:val="000000" w:themeColor="text1"/>
                <w:sz w:val="20"/>
              </w:rPr>
              <w:t xml:space="preserve">budget provision has been made </w:t>
            </w:r>
            <w:r w:rsidRPr="00BE150C">
              <w:rPr>
                <w:sz w:val="20"/>
              </w:rPr>
              <w:t>to promote industry awareness, engagement and education, consistent with the legislative functions of the Authority.</w:t>
            </w:r>
          </w:p>
          <w:p w14:paraId="125E9C97" w14:textId="77777777" w:rsidR="007D412B" w:rsidRPr="00BE150C" w:rsidRDefault="007D412B" w:rsidP="00970B54">
            <w:pPr>
              <w:pStyle w:val="ListParagraph"/>
              <w:numPr>
                <w:ilvl w:val="0"/>
                <w:numId w:val="9"/>
              </w:numPr>
              <w:rPr>
                <w:sz w:val="20"/>
              </w:rPr>
            </w:pPr>
            <w:r w:rsidRPr="00BE150C">
              <w:rPr>
                <w:sz w:val="20"/>
              </w:rPr>
              <w:t>risk-bas</w:t>
            </w:r>
            <w:r w:rsidR="00843B2A" w:rsidRPr="00BE150C">
              <w:rPr>
                <w:sz w:val="20"/>
              </w:rPr>
              <w:t>ed and proportionate approaches</w:t>
            </w:r>
            <w:r w:rsidRPr="00BE150C">
              <w:rPr>
                <w:sz w:val="20"/>
              </w:rPr>
              <w:t xml:space="preserve"> </w:t>
            </w:r>
          </w:p>
          <w:p w14:paraId="52AA0161" w14:textId="66064C15" w:rsidR="007D412B" w:rsidRPr="00BE150C" w:rsidRDefault="007D412B" w:rsidP="00970B54">
            <w:pPr>
              <w:pStyle w:val="ListParagraph"/>
              <w:numPr>
                <w:ilvl w:val="1"/>
                <w:numId w:val="9"/>
              </w:numPr>
              <w:rPr>
                <w:sz w:val="20"/>
              </w:rPr>
            </w:pPr>
            <w:r w:rsidRPr="00BE150C">
              <w:rPr>
                <w:sz w:val="20"/>
              </w:rPr>
              <w:t>while the</w:t>
            </w:r>
            <w:r w:rsidR="00130065" w:rsidRPr="00BE150C">
              <w:rPr>
                <w:sz w:val="20"/>
              </w:rPr>
              <w:t xml:space="preserve"> Jobs</w:t>
            </w:r>
            <w:r w:rsidRPr="00BE150C">
              <w:rPr>
                <w:sz w:val="20"/>
              </w:rPr>
              <w:t xml:space="preserve"> Act provides the frameworks and powers of the Authority, it is limited in providing guidance on proportionality in the use of discretions. It is proposed to </w:t>
            </w:r>
            <w:r w:rsidR="00351B77" w:rsidRPr="00BE150C">
              <w:rPr>
                <w:sz w:val="20"/>
              </w:rPr>
              <w:t>develop</w:t>
            </w:r>
            <w:r w:rsidRPr="00BE150C">
              <w:rPr>
                <w:sz w:val="20"/>
              </w:rPr>
              <w:t xml:space="preserve"> guid</w:t>
            </w:r>
            <w:r w:rsidR="00351B77" w:rsidRPr="00BE150C">
              <w:rPr>
                <w:sz w:val="20"/>
              </w:rPr>
              <w:t>elines</w:t>
            </w:r>
            <w:r w:rsidRPr="00BE150C">
              <w:rPr>
                <w:sz w:val="20"/>
              </w:rPr>
              <w:t xml:space="preserve"> on proportionality </w:t>
            </w:r>
            <w:r w:rsidR="00F73A97" w:rsidRPr="00BE150C">
              <w:rPr>
                <w:sz w:val="20"/>
              </w:rPr>
              <w:t>of sanction</w:t>
            </w:r>
            <w:r w:rsidR="00351B77" w:rsidRPr="00BE150C">
              <w:rPr>
                <w:sz w:val="20"/>
              </w:rPr>
              <w:t xml:space="preserve"> action</w:t>
            </w:r>
            <w:r w:rsidR="00F73A97" w:rsidRPr="00BE150C">
              <w:rPr>
                <w:sz w:val="20"/>
              </w:rPr>
              <w:t>s</w:t>
            </w:r>
            <w:r w:rsidR="00351B77" w:rsidRPr="00BE150C">
              <w:rPr>
                <w:sz w:val="20"/>
              </w:rPr>
              <w:t xml:space="preserve"> by </w:t>
            </w:r>
            <w:r w:rsidRPr="00BE150C">
              <w:rPr>
                <w:sz w:val="20"/>
              </w:rPr>
              <w:t>the Authority.</w:t>
            </w:r>
          </w:p>
          <w:p w14:paraId="5F03CCBD" w14:textId="77777777" w:rsidR="007D412B" w:rsidRPr="00BE150C" w:rsidRDefault="007D412B" w:rsidP="00970B54">
            <w:pPr>
              <w:pStyle w:val="ListParagraph"/>
              <w:numPr>
                <w:ilvl w:val="0"/>
                <w:numId w:val="9"/>
              </w:numPr>
              <w:rPr>
                <w:sz w:val="20"/>
              </w:rPr>
            </w:pPr>
            <w:r w:rsidRPr="00BE150C">
              <w:rPr>
                <w:sz w:val="20"/>
              </w:rPr>
              <w:t>effic</w:t>
            </w:r>
            <w:r w:rsidR="00843B2A" w:rsidRPr="00BE150C">
              <w:rPr>
                <w:sz w:val="20"/>
              </w:rPr>
              <w:t>ient and coordinated monitoring</w:t>
            </w:r>
            <w:r w:rsidRPr="00BE150C">
              <w:rPr>
                <w:sz w:val="20"/>
              </w:rPr>
              <w:t xml:space="preserve"> </w:t>
            </w:r>
          </w:p>
          <w:p w14:paraId="2FD25B15" w14:textId="77777777" w:rsidR="007D412B" w:rsidRPr="00BE150C" w:rsidRDefault="000B4146" w:rsidP="00970B54">
            <w:pPr>
              <w:pStyle w:val="ListParagraph"/>
              <w:numPr>
                <w:ilvl w:val="1"/>
                <w:numId w:val="9"/>
              </w:numPr>
              <w:rPr>
                <w:sz w:val="20"/>
              </w:rPr>
            </w:pPr>
            <w:r w:rsidRPr="00BE150C">
              <w:rPr>
                <w:sz w:val="20"/>
              </w:rPr>
              <w:t>investment has been made to access further information to monitor new project proposals, and to ensure that compliance reporting is targeted and efficient.</w:t>
            </w:r>
          </w:p>
          <w:p w14:paraId="33FD081A" w14:textId="77777777" w:rsidR="000B4146" w:rsidRPr="00BE150C" w:rsidRDefault="00843B2A" w:rsidP="00970B54">
            <w:pPr>
              <w:pStyle w:val="ListParagraph"/>
              <w:numPr>
                <w:ilvl w:val="0"/>
                <w:numId w:val="9"/>
              </w:numPr>
              <w:rPr>
                <w:sz w:val="20"/>
              </w:rPr>
            </w:pPr>
            <w:r w:rsidRPr="00BE150C">
              <w:rPr>
                <w:sz w:val="20"/>
              </w:rPr>
              <w:t>transparency</w:t>
            </w:r>
            <w:r w:rsidR="007D412B" w:rsidRPr="00BE150C">
              <w:rPr>
                <w:sz w:val="20"/>
              </w:rPr>
              <w:t xml:space="preserve"> </w:t>
            </w:r>
          </w:p>
          <w:p w14:paraId="0D2C8E43" w14:textId="1C167DDB" w:rsidR="007D412B" w:rsidRPr="00BE150C" w:rsidRDefault="000B4146" w:rsidP="00970B54">
            <w:pPr>
              <w:pStyle w:val="ListParagraph"/>
              <w:numPr>
                <w:ilvl w:val="1"/>
                <w:numId w:val="9"/>
              </w:numPr>
              <w:rPr>
                <w:sz w:val="20"/>
              </w:rPr>
            </w:pPr>
            <w:r w:rsidRPr="00BE150C">
              <w:rPr>
                <w:sz w:val="20"/>
              </w:rPr>
              <w:t>will be a</w:t>
            </w:r>
            <w:r w:rsidR="00351B77" w:rsidRPr="00BE150C">
              <w:rPr>
                <w:sz w:val="20"/>
              </w:rPr>
              <w:t>n ongoing</w:t>
            </w:r>
            <w:r w:rsidRPr="00BE150C">
              <w:rPr>
                <w:sz w:val="20"/>
              </w:rPr>
              <w:t xml:space="preserve"> focus of the communications strategy.</w:t>
            </w:r>
            <w:r w:rsidR="007D412B" w:rsidRPr="00BE150C">
              <w:rPr>
                <w:sz w:val="20"/>
              </w:rPr>
              <w:t xml:space="preserve"> </w:t>
            </w:r>
          </w:p>
          <w:p w14:paraId="015A5864" w14:textId="77777777" w:rsidR="00D11BEE" w:rsidRPr="00BE150C" w:rsidRDefault="00843B2A" w:rsidP="00970B54">
            <w:pPr>
              <w:pStyle w:val="ListParagraph"/>
              <w:numPr>
                <w:ilvl w:val="0"/>
                <w:numId w:val="9"/>
              </w:numPr>
              <w:rPr>
                <w:sz w:val="20"/>
              </w:rPr>
            </w:pPr>
            <w:r w:rsidRPr="00BE150C">
              <w:rPr>
                <w:sz w:val="20"/>
              </w:rPr>
              <w:t>continuous improvement</w:t>
            </w:r>
          </w:p>
          <w:p w14:paraId="01FDA2B6" w14:textId="0F7A70FB" w:rsidR="007741BD" w:rsidRPr="00BE150C" w:rsidRDefault="000B4146" w:rsidP="00970B54">
            <w:pPr>
              <w:pStyle w:val="ListParagraph"/>
              <w:numPr>
                <w:ilvl w:val="1"/>
                <w:numId w:val="9"/>
              </w:numPr>
            </w:pPr>
            <w:r w:rsidRPr="00BE150C">
              <w:rPr>
                <w:sz w:val="20"/>
              </w:rPr>
              <w:t>the communications strategy will</w:t>
            </w:r>
            <w:r w:rsidR="00D37A59" w:rsidRPr="00BE150C">
              <w:rPr>
                <w:sz w:val="20"/>
              </w:rPr>
              <w:t xml:space="preserve"> continue to</w:t>
            </w:r>
            <w:r w:rsidRPr="00BE150C">
              <w:rPr>
                <w:sz w:val="20"/>
              </w:rPr>
              <w:t xml:space="preserve"> enable feedback loops that can support ongoing self-assessment of regulatory performance.</w:t>
            </w:r>
          </w:p>
        </w:tc>
      </w:tr>
      <w:tr w:rsidR="009116B1" w:rsidRPr="00BE150C" w14:paraId="23784A05" w14:textId="77777777" w:rsidTr="0098655C">
        <w:trPr>
          <w:trHeight w:val="120"/>
        </w:trPr>
        <w:tc>
          <w:tcPr>
            <w:tcW w:w="8546" w:type="dxa"/>
            <w:shd w:val="clear" w:color="auto" w:fill="005677" w:themeFill="accent1"/>
            <w:vAlign w:val="center"/>
          </w:tcPr>
          <w:p w14:paraId="18DE4E8E" w14:textId="09BB7435" w:rsidR="009116B1" w:rsidRPr="00BE150C" w:rsidRDefault="0051586F" w:rsidP="00F73A97">
            <w:pPr>
              <w:pStyle w:val="Heading2"/>
              <w:numPr>
                <w:ilvl w:val="0"/>
                <w:numId w:val="0"/>
              </w:numPr>
              <w:outlineLvl w:val="1"/>
            </w:pPr>
            <w:bookmarkStart w:id="9" w:name="_Toc455036856"/>
            <w:bookmarkStart w:id="10" w:name="_Toc481139974"/>
            <w:r w:rsidRPr="00BE150C">
              <w:t xml:space="preserve">3.3 </w:t>
            </w:r>
            <w:r w:rsidR="00F73A97" w:rsidRPr="00BE150C">
              <w:t>A</w:t>
            </w:r>
            <w:r w:rsidR="009116B1" w:rsidRPr="00BE150C">
              <w:t>pproach/response to the implementation of the Framework</w:t>
            </w:r>
            <w:bookmarkEnd w:id="9"/>
            <w:bookmarkEnd w:id="10"/>
          </w:p>
        </w:tc>
      </w:tr>
      <w:tr w:rsidR="009116B1" w:rsidRPr="00BE150C" w14:paraId="1BF60B95" w14:textId="77777777" w:rsidTr="0098655C">
        <w:trPr>
          <w:trHeight w:val="2480"/>
        </w:trPr>
        <w:tc>
          <w:tcPr>
            <w:tcW w:w="8546" w:type="dxa"/>
          </w:tcPr>
          <w:p w14:paraId="58BC70A4" w14:textId="77777777" w:rsidR="00EF7E6E" w:rsidRPr="00BE150C" w:rsidRDefault="00EF7E6E" w:rsidP="00970B54">
            <w:pPr>
              <w:pStyle w:val="Heading3"/>
              <w:numPr>
                <w:ilvl w:val="0"/>
                <w:numId w:val="0"/>
              </w:numPr>
              <w:ind w:left="720" w:hanging="720"/>
              <w:outlineLvl w:val="2"/>
              <w:rPr>
                <w:color w:val="auto"/>
              </w:rPr>
            </w:pPr>
            <w:bookmarkStart w:id="11" w:name="_Toc455036857"/>
            <w:bookmarkStart w:id="12" w:name="_Toc481139975"/>
            <w:r w:rsidRPr="00BE150C">
              <w:rPr>
                <w:color w:val="auto"/>
              </w:rPr>
              <w:t xml:space="preserve">Performance </w:t>
            </w:r>
            <w:r w:rsidR="00413DAE" w:rsidRPr="00BE150C">
              <w:rPr>
                <w:color w:val="auto"/>
              </w:rPr>
              <w:t>m</w:t>
            </w:r>
            <w:r w:rsidRPr="00BE150C">
              <w:rPr>
                <w:color w:val="auto"/>
              </w:rPr>
              <w:t>easures</w:t>
            </w:r>
            <w:bookmarkEnd w:id="11"/>
            <w:r w:rsidR="00413DAE" w:rsidRPr="00BE150C">
              <w:rPr>
                <w:color w:val="auto"/>
              </w:rPr>
              <w:t xml:space="preserve"> (PM)</w:t>
            </w:r>
            <w:bookmarkEnd w:id="12"/>
          </w:p>
          <w:p w14:paraId="503A20B7" w14:textId="4D365ABB" w:rsidR="00EF7E6E" w:rsidRPr="00BE150C" w:rsidRDefault="00EF7E6E" w:rsidP="00970B54">
            <w:r w:rsidRPr="00BE150C">
              <w:t xml:space="preserve">The following five performance measures were agreed </w:t>
            </w:r>
            <w:r w:rsidR="002C6A4C" w:rsidRPr="00BE150C">
              <w:t xml:space="preserve">upon </w:t>
            </w:r>
            <w:r w:rsidRPr="00BE150C">
              <w:t>by the Hon Ian Macfarlane, the former Minister for Industry and Science</w:t>
            </w:r>
            <w:r w:rsidR="00393890" w:rsidRPr="00BE150C">
              <w:t xml:space="preserve"> on 21 July 2015</w:t>
            </w:r>
            <w:r w:rsidRPr="00BE150C">
              <w:t xml:space="preserve">, for the assessment </w:t>
            </w:r>
            <w:r w:rsidR="00484C89" w:rsidRPr="00BE150C">
              <w:t>of the</w:t>
            </w:r>
            <w:r w:rsidR="00A57B71" w:rsidRPr="00BE150C">
              <w:t xml:space="preserve"> </w:t>
            </w:r>
            <w:r w:rsidR="00484C89" w:rsidRPr="00BE150C">
              <w:t>Authority</w:t>
            </w:r>
            <w:r w:rsidR="00393890" w:rsidRPr="00BE150C">
              <w:t xml:space="preserve"> under the Framework</w:t>
            </w:r>
            <w:r w:rsidR="00484C89" w:rsidRPr="00BE150C">
              <w:t>.</w:t>
            </w:r>
            <w:r w:rsidR="00BB4547" w:rsidRPr="00BE150C">
              <w:t xml:space="preserve">  </w:t>
            </w:r>
          </w:p>
          <w:p w14:paraId="6105DDDA" w14:textId="5A2C6E42" w:rsidR="00EF7E6E" w:rsidRPr="00BE150C" w:rsidRDefault="00EF7E6E" w:rsidP="00970B54">
            <w:pPr>
              <w:pStyle w:val="ListParagraph"/>
              <w:numPr>
                <w:ilvl w:val="0"/>
                <w:numId w:val="6"/>
              </w:numPr>
              <w:rPr>
                <w:sz w:val="20"/>
                <w:szCs w:val="20"/>
              </w:rPr>
            </w:pPr>
            <w:r w:rsidRPr="00BE150C">
              <w:rPr>
                <w:b/>
                <w:sz w:val="20"/>
                <w:szCs w:val="20"/>
              </w:rPr>
              <w:t>Performance commitment</w:t>
            </w:r>
            <w:r w:rsidR="00CC0DE9" w:rsidRPr="00BE150C">
              <w:rPr>
                <w:b/>
                <w:sz w:val="20"/>
                <w:szCs w:val="20"/>
              </w:rPr>
              <w:t xml:space="preserve"> (PM 1)</w:t>
            </w:r>
            <w:r w:rsidRPr="00BE150C">
              <w:rPr>
                <w:b/>
                <w:sz w:val="20"/>
                <w:szCs w:val="20"/>
              </w:rPr>
              <w:t>:</w:t>
            </w:r>
            <w:r w:rsidRPr="00BE150C">
              <w:rPr>
                <w:sz w:val="20"/>
                <w:szCs w:val="20"/>
              </w:rPr>
              <w:t xml:space="preserve"> Demonstrating a clear comm</w:t>
            </w:r>
            <w:r w:rsidR="00F73A97" w:rsidRPr="00BE150C">
              <w:rPr>
                <w:sz w:val="20"/>
                <w:szCs w:val="20"/>
              </w:rPr>
              <w:t>itment to performance standards</w:t>
            </w:r>
            <w:r w:rsidRPr="00BE150C">
              <w:rPr>
                <w:sz w:val="20"/>
                <w:szCs w:val="20"/>
              </w:rPr>
              <w:t xml:space="preserve"> </w:t>
            </w:r>
            <w:r w:rsidR="00413DAE" w:rsidRPr="00BE150C">
              <w:rPr>
                <w:sz w:val="20"/>
                <w:szCs w:val="20"/>
              </w:rPr>
              <w:t>that are</w:t>
            </w:r>
            <w:r w:rsidRPr="00BE150C">
              <w:rPr>
                <w:sz w:val="20"/>
                <w:szCs w:val="20"/>
              </w:rPr>
              <w:t xml:space="preserve"> transparent to all stakeholders and monitoring progress against these standards.</w:t>
            </w:r>
          </w:p>
          <w:p w14:paraId="391CD813" w14:textId="77777777" w:rsidR="00EF7E6E" w:rsidRPr="00BE150C" w:rsidRDefault="00EF7E6E" w:rsidP="00970B54">
            <w:pPr>
              <w:pStyle w:val="ListParagraph"/>
              <w:numPr>
                <w:ilvl w:val="0"/>
                <w:numId w:val="6"/>
              </w:numPr>
              <w:rPr>
                <w:sz w:val="20"/>
                <w:szCs w:val="20"/>
              </w:rPr>
            </w:pPr>
            <w:r w:rsidRPr="00BE150C">
              <w:rPr>
                <w:b/>
                <w:sz w:val="20"/>
                <w:szCs w:val="20"/>
              </w:rPr>
              <w:t>Risk-based compliance</w:t>
            </w:r>
            <w:r w:rsidR="00CC0DE9" w:rsidRPr="00BE150C">
              <w:rPr>
                <w:b/>
                <w:sz w:val="20"/>
                <w:szCs w:val="20"/>
              </w:rPr>
              <w:t xml:space="preserve"> (PM 2)</w:t>
            </w:r>
            <w:r w:rsidRPr="00BE150C">
              <w:rPr>
                <w:b/>
                <w:sz w:val="20"/>
                <w:szCs w:val="20"/>
              </w:rPr>
              <w:t>:</w:t>
            </w:r>
            <w:r w:rsidRPr="00BE150C">
              <w:rPr>
                <w:sz w:val="20"/>
                <w:szCs w:val="20"/>
              </w:rPr>
              <w:t xml:space="preserve"> Evidence of implementing risk-based approaches and streamlined compliance approaches. </w:t>
            </w:r>
          </w:p>
          <w:p w14:paraId="229A2F9D" w14:textId="69021DEF" w:rsidR="00EF7E6E" w:rsidRPr="00BE150C" w:rsidRDefault="00EF7E6E" w:rsidP="00970B54">
            <w:pPr>
              <w:pStyle w:val="ListParagraph"/>
              <w:numPr>
                <w:ilvl w:val="0"/>
                <w:numId w:val="6"/>
              </w:numPr>
              <w:rPr>
                <w:sz w:val="20"/>
                <w:szCs w:val="20"/>
              </w:rPr>
            </w:pPr>
            <w:r w:rsidRPr="00BE150C">
              <w:rPr>
                <w:b/>
                <w:sz w:val="20"/>
                <w:szCs w:val="20"/>
              </w:rPr>
              <w:t>Clarity of expectations and decision-making</w:t>
            </w:r>
            <w:r w:rsidR="00CC0DE9" w:rsidRPr="00BE150C">
              <w:rPr>
                <w:b/>
                <w:sz w:val="20"/>
                <w:szCs w:val="20"/>
              </w:rPr>
              <w:t xml:space="preserve"> (PM 3)</w:t>
            </w:r>
            <w:r w:rsidRPr="00BE150C">
              <w:rPr>
                <w:b/>
                <w:sz w:val="20"/>
                <w:szCs w:val="20"/>
              </w:rPr>
              <w:t>:</w:t>
            </w:r>
            <w:r w:rsidRPr="00BE150C">
              <w:rPr>
                <w:sz w:val="20"/>
                <w:szCs w:val="20"/>
              </w:rPr>
              <w:t xml:space="preserve"> Regulated entities are clear as to the expectations of the Auth</w:t>
            </w:r>
            <w:r w:rsidR="00413DAE" w:rsidRPr="00BE150C">
              <w:rPr>
                <w:sz w:val="20"/>
                <w:szCs w:val="20"/>
              </w:rPr>
              <w:t>ority on requirements under the</w:t>
            </w:r>
            <w:r w:rsidR="006853AE" w:rsidRPr="00BE150C">
              <w:rPr>
                <w:sz w:val="20"/>
                <w:szCs w:val="20"/>
              </w:rPr>
              <w:t xml:space="preserve"> Jobs</w:t>
            </w:r>
            <w:r w:rsidR="00216834" w:rsidRPr="00BE150C">
              <w:rPr>
                <w:sz w:val="20"/>
                <w:szCs w:val="20"/>
              </w:rPr>
              <w:t xml:space="preserve"> </w:t>
            </w:r>
            <w:r w:rsidR="00A37E6D" w:rsidRPr="00BE150C">
              <w:rPr>
                <w:sz w:val="20"/>
                <w:szCs w:val="20"/>
              </w:rPr>
              <w:t>Act</w:t>
            </w:r>
            <w:r w:rsidRPr="00BE150C">
              <w:rPr>
                <w:sz w:val="20"/>
                <w:szCs w:val="20"/>
              </w:rPr>
              <w:t>. In addition</w:t>
            </w:r>
            <w:r w:rsidR="00F73A97" w:rsidRPr="00BE150C">
              <w:rPr>
                <w:sz w:val="20"/>
                <w:szCs w:val="20"/>
              </w:rPr>
              <w:t>,</w:t>
            </w:r>
            <w:r w:rsidRPr="00BE150C">
              <w:rPr>
                <w:sz w:val="20"/>
                <w:szCs w:val="20"/>
              </w:rPr>
              <w:t xml:space="preserve"> entities are provided with informative and clear advice as to reasons for an adverse decision given to them including avenues of appeal. </w:t>
            </w:r>
          </w:p>
          <w:p w14:paraId="1021644B" w14:textId="77777777" w:rsidR="00EF7E6E" w:rsidRPr="00BE150C" w:rsidRDefault="00EF7E6E" w:rsidP="00970B54">
            <w:pPr>
              <w:pStyle w:val="ListParagraph"/>
              <w:numPr>
                <w:ilvl w:val="0"/>
                <w:numId w:val="6"/>
              </w:numPr>
              <w:rPr>
                <w:sz w:val="20"/>
                <w:szCs w:val="20"/>
              </w:rPr>
            </w:pPr>
            <w:r w:rsidRPr="00BE150C">
              <w:rPr>
                <w:b/>
                <w:sz w:val="20"/>
                <w:szCs w:val="20"/>
              </w:rPr>
              <w:t>Stakeholder engagement</w:t>
            </w:r>
            <w:r w:rsidR="00CC0DE9" w:rsidRPr="00BE150C">
              <w:rPr>
                <w:b/>
                <w:sz w:val="20"/>
                <w:szCs w:val="20"/>
              </w:rPr>
              <w:t xml:space="preserve"> (PM 4)</w:t>
            </w:r>
            <w:r w:rsidRPr="00BE150C">
              <w:rPr>
                <w:b/>
                <w:sz w:val="20"/>
                <w:szCs w:val="20"/>
              </w:rPr>
              <w:t>:</w:t>
            </w:r>
            <w:r w:rsidRPr="00BE150C">
              <w:rPr>
                <w:sz w:val="20"/>
                <w:szCs w:val="20"/>
              </w:rPr>
              <w:t xml:space="preserve"> Evidence of targeted, effective and relevant engagement with stakeholders to gain feedback or input on policy or administration changes, organisational improvements and better understanding of the regulatory cost impact.</w:t>
            </w:r>
          </w:p>
          <w:p w14:paraId="6C1144F2" w14:textId="77777777" w:rsidR="003B3DC6" w:rsidRPr="00BE150C" w:rsidRDefault="00EF7E6E" w:rsidP="00970B54">
            <w:pPr>
              <w:pStyle w:val="ListParagraph"/>
              <w:numPr>
                <w:ilvl w:val="0"/>
                <w:numId w:val="6"/>
              </w:numPr>
              <w:rPr>
                <w:sz w:val="20"/>
                <w:szCs w:val="20"/>
              </w:rPr>
            </w:pPr>
            <w:r w:rsidRPr="00BE150C">
              <w:rPr>
                <w:b/>
                <w:sz w:val="20"/>
                <w:szCs w:val="20"/>
              </w:rPr>
              <w:t>Continuous improvement</w:t>
            </w:r>
            <w:r w:rsidR="00CC0DE9" w:rsidRPr="00BE150C">
              <w:rPr>
                <w:b/>
                <w:sz w:val="20"/>
                <w:szCs w:val="20"/>
              </w:rPr>
              <w:t xml:space="preserve"> (PM 5)</w:t>
            </w:r>
            <w:r w:rsidRPr="00BE150C">
              <w:rPr>
                <w:b/>
                <w:sz w:val="20"/>
                <w:szCs w:val="20"/>
              </w:rPr>
              <w:t>:</w:t>
            </w:r>
            <w:r w:rsidRPr="00BE150C">
              <w:rPr>
                <w:sz w:val="20"/>
                <w:szCs w:val="20"/>
              </w:rPr>
              <w:t xml:space="preserve"> Evidence of a continuous improvement culture through changing practices in response to staff feedback, stakeholder suggestions, and internal or external reviews.</w:t>
            </w:r>
          </w:p>
          <w:p w14:paraId="6D8EDE7D" w14:textId="0ABDCFB2" w:rsidR="00577D46" w:rsidRPr="00BE150C" w:rsidRDefault="00577D46" w:rsidP="00970B54">
            <w:r w:rsidRPr="00BE150C">
              <w:t xml:space="preserve">The </w:t>
            </w:r>
            <w:r w:rsidR="002C6A4C" w:rsidRPr="00BE150C">
              <w:t>performance measures listed</w:t>
            </w:r>
            <w:r w:rsidR="00413DAE" w:rsidRPr="00BE150C">
              <w:t xml:space="preserve"> </w:t>
            </w:r>
            <w:r w:rsidR="002C6A4C" w:rsidRPr="00BE150C">
              <w:t xml:space="preserve">above were </w:t>
            </w:r>
            <w:r w:rsidR="0015541A" w:rsidRPr="00BE150C">
              <w:t>developed</w:t>
            </w:r>
            <w:r w:rsidR="002C6A4C" w:rsidRPr="00BE150C">
              <w:t xml:space="preserve"> to assess the</w:t>
            </w:r>
            <w:r w:rsidR="00A57B71" w:rsidRPr="00BE150C">
              <w:t xml:space="preserve"> </w:t>
            </w:r>
            <w:r w:rsidR="002C6A4C" w:rsidRPr="00BE150C">
              <w:t>Authority against the</w:t>
            </w:r>
            <w:r w:rsidR="00413DAE" w:rsidRPr="00BE150C">
              <w:t xml:space="preserve"> Framework’s</w:t>
            </w:r>
            <w:r w:rsidRPr="00BE150C">
              <w:t xml:space="preserve"> K</w:t>
            </w:r>
            <w:r w:rsidR="00413DAE" w:rsidRPr="00BE150C">
              <w:t xml:space="preserve">ey </w:t>
            </w:r>
            <w:r w:rsidRPr="00BE150C">
              <w:t>P</w:t>
            </w:r>
            <w:r w:rsidR="00413DAE" w:rsidRPr="00BE150C">
              <w:t xml:space="preserve">erformance </w:t>
            </w:r>
            <w:r w:rsidRPr="00BE150C">
              <w:t>I</w:t>
            </w:r>
            <w:r w:rsidR="002C6A4C" w:rsidRPr="00BE150C">
              <w:t>ndicator</w:t>
            </w:r>
            <w:r w:rsidRPr="00BE150C">
              <w:t>s</w:t>
            </w:r>
            <w:r w:rsidR="00413DAE" w:rsidRPr="00BE150C">
              <w:t xml:space="preserve"> (KPIs)</w:t>
            </w:r>
            <w:r w:rsidRPr="00BE150C">
              <w:t xml:space="preserve"> (see below)</w:t>
            </w:r>
            <w:r w:rsidR="00BB4547" w:rsidRPr="00BE150C">
              <w:t xml:space="preserve">. They </w:t>
            </w:r>
            <w:r w:rsidR="00E97753" w:rsidRPr="00BE150C">
              <w:t>are used</w:t>
            </w:r>
            <w:r w:rsidR="00BB4547" w:rsidRPr="00BE150C">
              <w:t xml:space="preserve"> </w:t>
            </w:r>
            <w:r w:rsidR="002C6A4C" w:rsidRPr="00BE150C">
              <w:t>for</w:t>
            </w:r>
            <w:r w:rsidR="00BB4547" w:rsidRPr="00BE150C">
              <w:t xml:space="preserve"> </w:t>
            </w:r>
            <w:r w:rsidR="00701E72" w:rsidRPr="00BE150C">
              <w:t xml:space="preserve">annual </w:t>
            </w:r>
            <w:r w:rsidR="00BB4547" w:rsidRPr="00BE150C">
              <w:t xml:space="preserve">assessment </w:t>
            </w:r>
            <w:r w:rsidR="002C6A4C" w:rsidRPr="00BE150C">
              <w:t>of</w:t>
            </w:r>
            <w:r w:rsidR="00BB4547" w:rsidRPr="00BE150C">
              <w:t xml:space="preserve"> continuous improvement within the</w:t>
            </w:r>
            <w:r w:rsidR="00A57B71" w:rsidRPr="00BE150C">
              <w:t xml:space="preserve"> </w:t>
            </w:r>
            <w:r w:rsidR="00BB4547" w:rsidRPr="00BE150C">
              <w:t>Authority and its staff.</w:t>
            </w:r>
            <w:r w:rsidR="00701E72" w:rsidRPr="00BE150C">
              <w:t xml:space="preserve"> </w:t>
            </w:r>
          </w:p>
          <w:p w14:paraId="1CFA54E1" w14:textId="77777777" w:rsidR="00A104B4" w:rsidRPr="00BE150C" w:rsidRDefault="00A104B4" w:rsidP="00970B54">
            <w:pPr>
              <w:pStyle w:val="Heading4"/>
              <w:numPr>
                <w:ilvl w:val="0"/>
                <w:numId w:val="0"/>
              </w:numPr>
              <w:ind w:left="864" w:hanging="864"/>
              <w:outlineLvl w:val="3"/>
            </w:pPr>
          </w:p>
          <w:tbl>
            <w:tblPr>
              <w:tblStyle w:val="TableGrid"/>
              <w:tblW w:w="0" w:type="auto"/>
              <w:tblLook w:val="04A0" w:firstRow="1" w:lastRow="0" w:firstColumn="1" w:lastColumn="0" w:noHBand="0" w:noVBand="1"/>
            </w:tblPr>
            <w:tblGrid>
              <w:gridCol w:w="578"/>
              <w:gridCol w:w="5833"/>
              <w:gridCol w:w="1909"/>
            </w:tblGrid>
            <w:tr w:rsidR="00A104B4" w:rsidRPr="00BE150C" w14:paraId="5CA17658" w14:textId="77777777" w:rsidTr="00906D3F">
              <w:tc>
                <w:tcPr>
                  <w:tcW w:w="578" w:type="dxa"/>
                  <w:shd w:val="clear" w:color="auto" w:fill="005677" w:themeFill="accent1"/>
                </w:tcPr>
                <w:p w14:paraId="4A96EBC4" w14:textId="77777777" w:rsidR="00A104B4" w:rsidRPr="00BE150C" w:rsidRDefault="00A104B4" w:rsidP="00E73BB1">
                  <w:pPr>
                    <w:rPr>
                      <w:b/>
                      <w:color w:val="FFFFFF" w:themeColor="background1"/>
                    </w:rPr>
                  </w:pPr>
                  <w:bookmarkStart w:id="13" w:name="_Toc481139976"/>
                  <w:r w:rsidRPr="00BE150C">
                    <w:rPr>
                      <w:b/>
                      <w:color w:val="FFFFFF" w:themeColor="background1"/>
                    </w:rPr>
                    <w:t>KPI</w:t>
                  </w:r>
                  <w:bookmarkEnd w:id="13"/>
                </w:p>
              </w:tc>
              <w:tc>
                <w:tcPr>
                  <w:tcW w:w="5833" w:type="dxa"/>
                  <w:shd w:val="clear" w:color="auto" w:fill="005677" w:themeFill="accent1"/>
                </w:tcPr>
                <w:p w14:paraId="1ADFA89B" w14:textId="77777777" w:rsidR="00A104B4" w:rsidRPr="00BE150C" w:rsidRDefault="00A104B4" w:rsidP="00E73BB1">
                  <w:pPr>
                    <w:rPr>
                      <w:b/>
                      <w:color w:val="FFFFFF" w:themeColor="background1"/>
                    </w:rPr>
                  </w:pPr>
                  <w:bookmarkStart w:id="14" w:name="_Toc481139977"/>
                  <w:r w:rsidRPr="00BE150C">
                    <w:rPr>
                      <w:b/>
                      <w:color w:val="FFFFFF" w:themeColor="background1"/>
                    </w:rPr>
                    <w:t>Regulator Performance Framework</w:t>
                  </w:r>
                  <w:bookmarkEnd w:id="14"/>
                </w:p>
              </w:tc>
              <w:tc>
                <w:tcPr>
                  <w:tcW w:w="1909" w:type="dxa"/>
                  <w:shd w:val="clear" w:color="auto" w:fill="005677" w:themeFill="accent1"/>
                </w:tcPr>
                <w:p w14:paraId="1153F317" w14:textId="77777777" w:rsidR="00A104B4" w:rsidRPr="00BE150C" w:rsidRDefault="00A104B4" w:rsidP="00E73BB1">
                  <w:pPr>
                    <w:rPr>
                      <w:b/>
                      <w:color w:val="FFFFFF" w:themeColor="background1"/>
                    </w:rPr>
                  </w:pPr>
                  <w:bookmarkStart w:id="15" w:name="_Toc460336511"/>
                  <w:bookmarkStart w:id="16" w:name="_Toc481139978"/>
                  <w:r w:rsidRPr="00BE150C">
                    <w:rPr>
                      <w:b/>
                      <w:color w:val="FFFFFF" w:themeColor="background1"/>
                    </w:rPr>
                    <w:t>Performance Measures</w:t>
                  </w:r>
                  <w:bookmarkEnd w:id="15"/>
                  <w:bookmarkEnd w:id="16"/>
                </w:p>
              </w:tc>
            </w:tr>
            <w:tr w:rsidR="00A104B4" w:rsidRPr="00BE150C" w14:paraId="79D2B374" w14:textId="77777777" w:rsidTr="00A104B4">
              <w:tc>
                <w:tcPr>
                  <w:tcW w:w="578" w:type="dxa"/>
                </w:tcPr>
                <w:p w14:paraId="394608A1" w14:textId="77777777" w:rsidR="00A104B4" w:rsidRPr="00BE150C" w:rsidRDefault="00A104B4" w:rsidP="00970B54">
                  <w:bookmarkStart w:id="17" w:name="_Toc460336512"/>
                  <w:r w:rsidRPr="00BE150C">
                    <w:t>1</w:t>
                  </w:r>
                  <w:bookmarkEnd w:id="17"/>
                </w:p>
              </w:tc>
              <w:tc>
                <w:tcPr>
                  <w:tcW w:w="5833" w:type="dxa"/>
                </w:tcPr>
                <w:p w14:paraId="4EC5C93A" w14:textId="77777777" w:rsidR="00A104B4" w:rsidRPr="00BE150C" w:rsidRDefault="00A104B4" w:rsidP="00970B54">
                  <w:pPr>
                    <w:rPr>
                      <w:szCs w:val="20"/>
                    </w:rPr>
                  </w:pPr>
                  <w:bookmarkStart w:id="18" w:name="_Toc460336513"/>
                  <w:r w:rsidRPr="00BE150C">
                    <w:rPr>
                      <w:szCs w:val="20"/>
                    </w:rPr>
                    <w:t>Regulators do not unnecessarily impede the efficient operation of regulated entities</w:t>
                  </w:r>
                  <w:bookmarkEnd w:id="18"/>
                </w:p>
              </w:tc>
              <w:tc>
                <w:tcPr>
                  <w:tcW w:w="1909" w:type="dxa"/>
                </w:tcPr>
                <w:p w14:paraId="14C58D84" w14:textId="77777777" w:rsidR="00A104B4" w:rsidRPr="00BE150C" w:rsidRDefault="00A104B4" w:rsidP="00970B54">
                  <w:pPr>
                    <w:rPr>
                      <w:szCs w:val="20"/>
                    </w:rPr>
                  </w:pPr>
                  <w:bookmarkStart w:id="19" w:name="_Toc460336514"/>
                  <w:r w:rsidRPr="00BE150C">
                    <w:rPr>
                      <w:szCs w:val="20"/>
                    </w:rPr>
                    <w:t>PM 2, PM 5</w:t>
                  </w:r>
                  <w:bookmarkEnd w:id="19"/>
                </w:p>
              </w:tc>
            </w:tr>
            <w:tr w:rsidR="00A104B4" w:rsidRPr="00BE150C" w14:paraId="08CD589A" w14:textId="77777777" w:rsidTr="00A104B4">
              <w:tc>
                <w:tcPr>
                  <w:tcW w:w="578" w:type="dxa"/>
                </w:tcPr>
                <w:p w14:paraId="233B5351" w14:textId="77777777" w:rsidR="00A104B4" w:rsidRPr="00BE150C" w:rsidRDefault="00A104B4" w:rsidP="00970B54">
                  <w:bookmarkStart w:id="20" w:name="_Toc460336515"/>
                  <w:r w:rsidRPr="00BE150C">
                    <w:t>2</w:t>
                  </w:r>
                  <w:bookmarkEnd w:id="20"/>
                </w:p>
              </w:tc>
              <w:tc>
                <w:tcPr>
                  <w:tcW w:w="5833" w:type="dxa"/>
                </w:tcPr>
                <w:p w14:paraId="35F80CBD" w14:textId="77777777" w:rsidR="00A104B4" w:rsidRPr="00BE150C" w:rsidRDefault="00A104B4" w:rsidP="00970B54">
                  <w:pPr>
                    <w:rPr>
                      <w:szCs w:val="20"/>
                    </w:rPr>
                  </w:pPr>
                  <w:bookmarkStart w:id="21" w:name="_Toc460336516"/>
                  <w:r w:rsidRPr="00BE150C">
                    <w:rPr>
                      <w:szCs w:val="20"/>
                    </w:rPr>
                    <w:t>Communication with regulated entities is clear, targeted and effective</w:t>
                  </w:r>
                  <w:bookmarkEnd w:id="21"/>
                </w:p>
              </w:tc>
              <w:tc>
                <w:tcPr>
                  <w:tcW w:w="1909" w:type="dxa"/>
                </w:tcPr>
                <w:p w14:paraId="080D7EFD" w14:textId="77777777" w:rsidR="00A104B4" w:rsidRPr="00BE150C" w:rsidRDefault="00A104B4" w:rsidP="00970B54">
                  <w:pPr>
                    <w:rPr>
                      <w:szCs w:val="20"/>
                    </w:rPr>
                  </w:pPr>
                  <w:bookmarkStart w:id="22" w:name="_Toc460336517"/>
                  <w:r w:rsidRPr="00BE150C">
                    <w:rPr>
                      <w:szCs w:val="20"/>
                    </w:rPr>
                    <w:t>PM 3, PM 4</w:t>
                  </w:r>
                  <w:bookmarkEnd w:id="22"/>
                </w:p>
              </w:tc>
            </w:tr>
            <w:tr w:rsidR="00A104B4" w:rsidRPr="00BE150C" w14:paraId="1E662264" w14:textId="77777777" w:rsidTr="00A104B4">
              <w:tc>
                <w:tcPr>
                  <w:tcW w:w="578" w:type="dxa"/>
                </w:tcPr>
                <w:p w14:paraId="48CCB142" w14:textId="77777777" w:rsidR="00A104B4" w:rsidRPr="00BE150C" w:rsidRDefault="00A104B4" w:rsidP="00970B54">
                  <w:bookmarkStart w:id="23" w:name="_Toc460336518"/>
                  <w:r w:rsidRPr="00BE150C">
                    <w:t>3</w:t>
                  </w:r>
                  <w:bookmarkEnd w:id="23"/>
                </w:p>
              </w:tc>
              <w:tc>
                <w:tcPr>
                  <w:tcW w:w="5833" w:type="dxa"/>
                </w:tcPr>
                <w:p w14:paraId="6FB91C59" w14:textId="77777777" w:rsidR="00A104B4" w:rsidRPr="00BE150C" w:rsidRDefault="00A104B4" w:rsidP="00970B54">
                  <w:pPr>
                    <w:rPr>
                      <w:szCs w:val="20"/>
                    </w:rPr>
                  </w:pPr>
                  <w:bookmarkStart w:id="24" w:name="_Toc460336519"/>
                  <w:r w:rsidRPr="00BE150C">
                    <w:rPr>
                      <w:szCs w:val="20"/>
                    </w:rPr>
                    <w:t>Actions undertaken by regulators are proportionate to the regulatory risk being managed</w:t>
                  </w:r>
                  <w:bookmarkEnd w:id="24"/>
                </w:p>
              </w:tc>
              <w:tc>
                <w:tcPr>
                  <w:tcW w:w="1909" w:type="dxa"/>
                </w:tcPr>
                <w:p w14:paraId="2B816756" w14:textId="77777777" w:rsidR="00A104B4" w:rsidRPr="00BE150C" w:rsidRDefault="00577D46" w:rsidP="00970B54">
                  <w:pPr>
                    <w:rPr>
                      <w:szCs w:val="20"/>
                    </w:rPr>
                  </w:pPr>
                  <w:bookmarkStart w:id="25" w:name="_Toc460336520"/>
                  <w:r w:rsidRPr="00BE150C">
                    <w:rPr>
                      <w:szCs w:val="20"/>
                    </w:rPr>
                    <w:t>PM 2, PM 5,</w:t>
                  </w:r>
                  <w:bookmarkEnd w:id="25"/>
                </w:p>
              </w:tc>
            </w:tr>
            <w:tr w:rsidR="00A104B4" w:rsidRPr="00BE150C" w14:paraId="193B8ACD" w14:textId="77777777" w:rsidTr="00A104B4">
              <w:tc>
                <w:tcPr>
                  <w:tcW w:w="578" w:type="dxa"/>
                </w:tcPr>
                <w:p w14:paraId="4F420921" w14:textId="77777777" w:rsidR="00A104B4" w:rsidRPr="00BE150C" w:rsidRDefault="00A104B4" w:rsidP="00970B54">
                  <w:bookmarkStart w:id="26" w:name="_Toc460336521"/>
                  <w:r w:rsidRPr="00BE150C">
                    <w:t>4</w:t>
                  </w:r>
                  <w:bookmarkEnd w:id="26"/>
                </w:p>
              </w:tc>
              <w:tc>
                <w:tcPr>
                  <w:tcW w:w="5833" w:type="dxa"/>
                </w:tcPr>
                <w:p w14:paraId="336516AC" w14:textId="77777777" w:rsidR="00A104B4" w:rsidRPr="00BE150C" w:rsidRDefault="00A104B4" w:rsidP="00970B54">
                  <w:pPr>
                    <w:rPr>
                      <w:szCs w:val="20"/>
                    </w:rPr>
                  </w:pPr>
                  <w:bookmarkStart w:id="27" w:name="_Toc460336522"/>
                  <w:r w:rsidRPr="00BE150C">
                    <w:rPr>
                      <w:szCs w:val="20"/>
                    </w:rPr>
                    <w:t>Compliance and monitoring approaches are streamlined and co-ordinated</w:t>
                  </w:r>
                  <w:bookmarkEnd w:id="27"/>
                </w:p>
              </w:tc>
              <w:tc>
                <w:tcPr>
                  <w:tcW w:w="1909" w:type="dxa"/>
                </w:tcPr>
                <w:p w14:paraId="48239C9A" w14:textId="77777777" w:rsidR="00A104B4" w:rsidRPr="00BE150C" w:rsidRDefault="00577D46" w:rsidP="00970B54">
                  <w:pPr>
                    <w:rPr>
                      <w:szCs w:val="20"/>
                    </w:rPr>
                  </w:pPr>
                  <w:bookmarkStart w:id="28" w:name="_Toc460336523"/>
                  <w:r w:rsidRPr="00BE150C">
                    <w:rPr>
                      <w:szCs w:val="20"/>
                    </w:rPr>
                    <w:t>PM 2, PM 5</w:t>
                  </w:r>
                  <w:bookmarkEnd w:id="28"/>
                </w:p>
              </w:tc>
            </w:tr>
            <w:tr w:rsidR="00A104B4" w:rsidRPr="00BE150C" w14:paraId="7CD478FE" w14:textId="77777777" w:rsidTr="00A104B4">
              <w:tc>
                <w:tcPr>
                  <w:tcW w:w="578" w:type="dxa"/>
                </w:tcPr>
                <w:p w14:paraId="1C489F8F" w14:textId="77777777" w:rsidR="00A104B4" w:rsidRPr="00BE150C" w:rsidRDefault="00A104B4" w:rsidP="00970B54">
                  <w:bookmarkStart w:id="29" w:name="_Toc460336524"/>
                  <w:r w:rsidRPr="00BE150C">
                    <w:t>5</w:t>
                  </w:r>
                  <w:bookmarkEnd w:id="29"/>
                </w:p>
              </w:tc>
              <w:tc>
                <w:tcPr>
                  <w:tcW w:w="5833" w:type="dxa"/>
                </w:tcPr>
                <w:p w14:paraId="291DF68F" w14:textId="77777777" w:rsidR="00A104B4" w:rsidRPr="00BE150C" w:rsidRDefault="00A104B4" w:rsidP="00970B54">
                  <w:pPr>
                    <w:rPr>
                      <w:szCs w:val="20"/>
                    </w:rPr>
                  </w:pPr>
                  <w:bookmarkStart w:id="30" w:name="_Toc460336525"/>
                  <w:r w:rsidRPr="00BE150C">
                    <w:rPr>
                      <w:szCs w:val="20"/>
                    </w:rPr>
                    <w:t>Regulators are open and transparent in their dealings with regulated entities</w:t>
                  </w:r>
                  <w:bookmarkEnd w:id="30"/>
                </w:p>
              </w:tc>
              <w:tc>
                <w:tcPr>
                  <w:tcW w:w="1909" w:type="dxa"/>
                </w:tcPr>
                <w:p w14:paraId="7D889BF8" w14:textId="77777777" w:rsidR="00A104B4" w:rsidRPr="00BE150C" w:rsidRDefault="004906F3" w:rsidP="00970B54">
                  <w:pPr>
                    <w:rPr>
                      <w:szCs w:val="20"/>
                    </w:rPr>
                  </w:pPr>
                  <w:bookmarkStart w:id="31" w:name="_Toc460336526"/>
                  <w:r w:rsidRPr="00BE150C">
                    <w:rPr>
                      <w:szCs w:val="20"/>
                    </w:rPr>
                    <w:t>PM 1</w:t>
                  </w:r>
                  <w:bookmarkEnd w:id="31"/>
                </w:p>
              </w:tc>
            </w:tr>
            <w:tr w:rsidR="00A104B4" w:rsidRPr="00BE150C" w14:paraId="4D2B264F" w14:textId="77777777" w:rsidTr="00A104B4">
              <w:tc>
                <w:tcPr>
                  <w:tcW w:w="578" w:type="dxa"/>
                </w:tcPr>
                <w:p w14:paraId="7E32AADF" w14:textId="77777777" w:rsidR="00A104B4" w:rsidRPr="00BE150C" w:rsidRDefault="00A104B4" w:rsidP="00970B54">
                  <w:bookmarkStart w:id="32" w:name="_Toc460336527"/>
                  <w:r w:rsidRPr="00BE150C">
                    <w:t>6</w:t>
                  </w:r>
                  <w:bookmarkEnd w:id="32"/>
                </w:p>
              </w:tc>
              <w:tc>
                <w:tcPr>
                  <w:tcW w:w="5833" w:type="dxa"/>
                </w:tcPr>
                <w:p w14:paraId="78D21DED" w14:textId="77777777" w:rsidR="00A104B4" w:rsidRPr="00BE150C" w:rsidRDefault="00A104B4" w:rsidP="00970B54">
                  <w:pPr>
                    <w:rPr>
                      <w:szCs w:val="20"/>
                    </w:rPr>
                  </w:pPr>
                  <w:bookmarkStart w:id="33" w:name="_Toc460336528"/>
                  <w:r w:rsidRPr="00BE150C">
                    <w:rPr>
                      <w:szCs w:val="20"/>
                    </w:rPr>
                    <w:t>Regulators actively contribute to the continuous improvement of regulatory frameworks</w:t>
                  </w:r>
                  <w:bookmarkEnd w:id="33"/>
                </w:p>
              </w:tc>
              <w:tc>
                <w:tcPr>
                  <w:tcW w:w="1909" w:type="dxa"/>
                </w:tcPr>
                <w:p w14:paraId="2FD3031C" w14:textId="77777777" w:rsidR="00A104B4" w:rsidRPr="00BE150C" w:rsidRDefault="00577D46" w:rsidP="00970B54">
                  <w:pPr>
                    <w:rPr>
                      <w:szCs w:val="20"/>
                    </w:rPr>
                  </w:pPr>
                  <w:r w:rsidRPr="00BE150C">
                    <w:rPr>
                      <w:szCs w:val="20"/>
                    </w:rPr>
                    <w:t>PM 1, PM 4, PM 5</w:t>
                  </w:r>
                </w:p>
              </w:tc>
            </w:tr>
          </w:tbl>
          <w:p w14:paraId="0B697613" w14:textId="77777777" w:rsidR="00393890" w:rsidRPr="00BE150C" w:rsidRDefault="00393890" w:rsidP="00970B54">
            <w:pPr>
              <w:pStyle w:val="Heading5"/>
              <w:spacing w:before="0"/>
              <w:outlineLvl w:val="4"/>
            </w:pPr>
          </w:p>
          <w:p w14:paraId="67E3746B" w14:textId="07201DB8" w:rsidR="00D34470" w:rsidRPr="00BE150C" w:rsidRDefault="00A57B71" w:rsidP="00970B54">
            <w:pPr>
              <w:spacing w:after="0"/>
              <w:rPr>
                <w:bCs/>
              </w:rPr>
            </w:pPr>
            <w:r w:rsidRPr="00BE150C">
              <w:t>As at 30 June 2017, t</w:t>
            </w:r>
            <w:r w:rsidR="00F2211C" w:rsidRPr="00BE150C">
              <w:t>he Authority, and the</w:t>
            </w:r>
            <w:r w:rsidR="00EE5D6F" w:rsidRPr="00BE150C">
              <w:t xml:space="preserve"> Jobs</w:t>
            </w:r>
            <w:r w:rsidR="00F2211C" w:rsidRPr="00BE150C">
              <w:t xml:space="preserve"> Act, have </w:t>
            </w:r>
            <w:r w:rsidR="00413DAE" w:rsidRPr="00BE150C">
              <w:t>operated</w:t>
            </w:r>
            <w:r w:rsidR="00F2211C" w:rsidRPr="00BE150C">
              <w:t xml:space="preserve"> for </w:t>
            </w:r>
            <w:r w:rsidRPr="00BE150C">
              <w:t xml:space="preserve">three and </w:t>
            </w:r>
            <w:r w:rsidR="005C069F" w:rsidRPr="00BE150C">
              <w:t xml:space="preserve">a </w:t>
            </w:r>
            <w:r w:rsidRPr="00BE150C">
              <w:t>half</w:t>
            </w:r>
            <w:r w:rsidR="008860F4" w:rsidRPr="00BE150C">
              <w:t xml:space="preserve"> </w:t>
            </w:r>
            <w:r w:rsidR="00F2211C" w:rsidRPr="00BE150C">
              <w:t xml:space="preserve">years, </w:t>
            </w:r>
            <w:r w:rsidR="002C6A4C" w:rsidRPr="00BE150C">
              <w:t>with</w:t>
            </w:r>
            <w:r w:rsidR="00F2211C" w:rsidRPr="00BE150C">
              <w:t xml:space="preserve"> a </w:t>
            </w:r>
            <w:r w:rsidR="00E97753" w:rsidRPr="00BE150C">
              <w:t xml:space="preserve">legislated </w:t>
            </w:r>
            <w:r w:rsidR="00F2211C" w:rsidRPr="00BE150C">
              <w:t xml:space="preserve">five year review </w:t>
            </w:r>
            <w:r w:rsidR="005C069F" w:rsidRPr="00BE150C">
              <w:t xml:space="preserve">of the Jobs Act’s operation </w:t>
            </w:r>
            <w:r w:rsidR="00F2211C" w:rsidRPr="00BE150C">
              <w:t>due in 2018. As such, the</w:t>
            </w:r>
            <w:r w:rsidR="00AD584A" w:rsidRPr="00BE150C">
              <w:t xml:space="preserve"> approaches to meeting the</w:t>
            </w:r>
            <w:r w:rsidR="00F2211C" w:rsidRPr="00BE150C">
              <w:t xml:space="preserve"> measures listed ab</w:t>
            </w:r>
            <w:r w:rsidR="00906D3F" w:rsidRPr="00BE150C">
              <w:t xml:space="preserve">ove </w:t>
            </w:r>
            <w:r w:rsidR="00F2211C" w:rsidRPr="00BE150C">
              <w:t xml:space="preserve">may be refined </w:t>
            </w:r>
            <w:r w:rsidR="00413DAE" w:rsidRPr="00BE150C">
              <w:t xml:space="preserve">for </w:t>
            </w:r>
            <w:r w:rsidR="00F2211C" w:rsidRPr="00BE150C">
              <w:t>future assessments.</w:t>
            </w:r>
            <w:r w:rsidR="00E97753" w:rsidRPr="00BE150C">
              <w:t xml:space="preserve"> </w:t>
            </w:r>
          </w:p>
        </w:tc>
      </w:tr>
    </w:tbl>
    <w:p w14:paraId="49271D62" w14:textId="31A02E43" w:rsidR="00B12E3E" w:rsidRPr="00BE150C" w:rsidRDefault="00B12E3E" w:rsidP="00970B54"/>
    <w:p w14:paraId="691B9262" w14:textId="77777777" w:rsidR="00B12E3E" w:rsidRPr="00BE150C" w:rsidRDefault="00B12E3E">
      <w:pPr>
        <w:spacing w:after="200"/>
      </w:pPr>
      <w:r w:rsidRPr="00BE150C">
        <w:br w:type="page"/>
      </w:r>
    </w:p>
    <w:p w14:paraId="12BE866F" w14:textId="77777777" w:rsidR="00EA4131" w:rsidRPr="00BE150C" w:rsidRDefault="00C81ADD" w:rsidP="00B12E3E">
      <w:pPr>
        <w:pStyle w:val="Heading1"/>
        <w:spacing w:before="0" w:line="240" w:lineRule="auto"/>
        <w:ind w:left="431" w:hanging="431"/>
      </w:pPr>
      <w:bookmarkStart w:id="34" w:name="_Toc481139979"/>
      <w:r w:rsidRPr="00BE150C">
        <w:t>Assessment</w:t>
      </w:r>
      <w:bookmarkEnd w:id="34"/>
    </w:p>
    <w:p w14:paraId="0518E50F" w14:textId="77777777" w:rsidR="00F73A97" w:rsidRPr="00BE150C" w:rsidRDefault="00F73A97" w:rsidP="00B12E3E">
      <w:pPr>
        <w:spacing w:after="0" w:line="240" w:lineRule="auto"/>
      </w:pP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396C2B" w:rsidRPr="00BE150C" w14:paraId="2B669098" w14:textId="77777777" w:rsidTr="00482466">
        <w:tc>
          <w:tcPr>
            <w:tcW w:w="8544" w:type="dxa"/>
            <w:shd w:val="clear" w:color="auto" w:fill="005677" w:themeFill="accent1"/>
          </w:tcPr>
          <w:p w14:paraId="32380D64" w14:textId="77777777" w:rsidR="00396C2B" w:rsidRPr="00BE150C" w:rsidRDefault="00396C2B" w:rsidP="00970B54">
            <w:pPr>
              <w:pStyle w:val="Heading2"/>
              <w:ind w:left="556" w:hanging="556"/>
              <w:outlineLvl w:val="1"/>
            </w:pPr>
            <w:bookmarkStart w:id="35" w:name="_Toc481139980"/>
            <w:r w:rsidRPr="00BE150C">
              <w:t>Common resources</w:t>
            </w:r>
            <w:bookmarkEnd w:id="35"/>
          </w:p>
        </w:tc>
      </w:tr>
      <w:tr w:rsidR="00396C2B" w:rsidRPr="00BE150C" w14:paraId="2173F029" w14:textId="77777777" w:rsidTr="00482466">
        <w:trPr>
          <w:trHeight w:val="2250"/>
        </w:trPr>
        <w:tc>
          <w:tcPr>
            <w:tcW w:w="8544" w:type="dxa"/>
          </w:tcPr>
          <w:p w14:paraId="18C5D3D7" w14:textId="70718F01" w:rsidR="009904E2" w:rsidRPr="00BE150C" w:rsidRDefault="009904E2" w:rsidP="00970B54">
            <w:r w:rsidRPr="00BE150C">
              <w:t>The</w:t>
            </w:r>
            <w:r w:rsidR="00A57B71" w:rsidRPr="00BE150C">
              <w:t xml:space="preserve"> </w:t>
            </w:r>
            <w:r w:rsidRPr="00BE150C">
              <w:t>Authority is a small regulator so most evidence collected is qualitative and survey-based.</w:t>
            </w:r>
            <w:r w:rsidR="006A26AB" w:rsidRPr="00BE150C">
              <w:t xml:space="preserve"> </w:t>
            </w:r>
            <w:r w:rsidR="00EE5D6F" w:rsidRPr="00BE150C">
              <w:t>While a stakeholder survey was conducted in 2015-16, a</w:t>
            </w:r>
            <w:r w:rsidR="006A26AB" w:rsidRPr="00BE150C">
              <w:t xml:space="preserve"> survey was not conducted in 2016-17 </w:t>
            </w:r>
            <w:r w:rsidR="00FE3B1D" w:rsidRPr="00BE150C">
              <w:t>as</w:t>
            </w:r>
            <w:r w:rsidR="006A26AB" w:rsidRPr="00BE150C">
              <w:t xml:space="preserve"> the</w:t>
            </w:r>
            <w:r w:rsidR="00A57B71" w:rsidRPr="00BE150C">
              <w:t xml:space="preserve"> </w:t>
            </w:r>
            <w:r w:rsidR="006A26AB" w:rsidRPr="00BE150C">
              <w:t>Authority focus</w:t>
            </w:r>
            <w:r w:rsidR="00A57B71" w:rsidRPr="00BE150C">
              <w:t>sed</w:t>
            </w:r>
            <w:r w:rsidR="006A26AB" w:rsidRPr="00BE150C">
              <w:t xml:space="preserve"> on</w:t>
            </w:r>
            <w:r w:rsidR="00A57B71" w:rsidRPr="00BE150C">
              <w:t xml:space="preserve"> considering and</w:t>
            </w:r>
            <w:r w:rsidR="006A26AB" w:rsidRPr="00BE150C">
              <w:t xml:space="preserve"> addressing specific feedback</w:t>
            </w:r>
            <w:r w:rsidR="00EE5D6F" w:rsidRPr="00BE150C">
              <w:t xml:space="preserve"> gathered in </w:t>
            </w:r>
            <w:r w:rsidR="00F73A97" w:rsidRPr="00BE150C">
              <w:t xml:space="preserve">the </w:t>
            </w:r>
            <w:r w:rsidR="00EE5D6F" w:rsidRPr="00BE150C">
              <w:t>previous survey</w:t>
            </w:r>
            <w:r w:rsidR="006A26AB" w:rsidRPr="00BE150C">
              <w:t xml:space="preserve">. </w:t>
            </w:r>
            <w:r w:rsidR="008875AB" w:rsidRPr="00BE150C">
              <w:t xml:space="preserve">Given the </w:t>
            </w:r>
            <w:r w:rsidR="005C069F" w:rsidRPr="00BE150C">
              <w:t xml:space="preserve">relatively </w:t>
            </w:r>
            <w:r w:rsidR="008875AB" w:rsidRPr="00BE150C">
              <w:t>small number of proponents</w:t>
            </w:r>
            <w:r w:rsidR="00F66396" w:rsidRPr="00BE150C">
              <w:t xml:space="preserve"> and AIP stakeholders</w:t>
            </w:r>
            <w:r w:rsidR="008875AB" w:rsidRPr="00BE150C">
              <w:t>, t</w:t>
            </w:r>
            <w:r w:rsidR="00FE3B1D" w:rsidRPr="00BE150C">
              <w:t>he</w:t>
            </w:r>
            <w:r w:rsidR="003A0138" w:rsidRPr="00BE150C">
              <w:t xml:space="preserve"> </w:t>
            </w:r>
            <w:r w:rsidR="00FE3B1D" w:rsidRPr="00BE150C">
              <w:t xml:space="preserve">Authority will </w:t>
            </w:r>
            <w:r w:rsidR="008875AB" w:rsidRPr="00BE150C">
              <w:t>review</w:t>
            </w:r>
            <w:r w:rsidR="00F66396" w:rsidRPr="00BE150C">
              <w:t xml:space="preserve"> </w:t>
            </w:r>
            <w:r w:rsidR="008875AB" w:rsidRPr="00BE150C">
              <w:t xml:space="preserve">the frequency and timing of conducting </w:t>
            </w:r>
            <w:r w:rsidR="006B7192" w:rsidRPr="00BE150C">
              <w:t>subsequent</w:t>
            </w:r>
            <w:r w:rsidR="00241448" w:rsidRPr="00BE150C">
              <w:t xml:space="preserve"> stakeholder</w:t>
            </w:r>
            <w:r w:rsidR="003A0138" w:rsidRPr="00BE150C">
              <w:t xml:space="preserve"> surveys </w:t>
            </w:r>
            <w:r w:rsidR="008875AB" w:rsidRPr="00BE150C">
              <w:t xml:space="preserve">to ensure that </w:t>
            </w:r>
            <w:r w:rsidR="00386560" w:rsidRPr="00BE150C">
              <w:t>stakeholders’</w:t>
            </w:r>
            <w:r w:rsidR="006B7192" w:rsidRPr="00BE150C">
              <w:t xml:space="preserve"> </w:t>
            </w:r>
            <w:r w:rsidR="008875AB" w:rsidRPr="00BE150C">
              <w:t>feedback</w:t>
            </w:r>
            <w:r w:rsidR="00386560" w:rsidRPr="00BE150C">
              <w:t xml:space="preserve"> </w:t>
            </w:r>
            <w:r w:rsidR="00F66396" w:rsidRPr="00BE150C">
              <w:t>takes</w:t>
            </w:r>
            <w:r w:rsidR="006B7192" w:rsidRPr="00BE150C">
              <w:t xml:space="preserve"> </w:t>
            </w:r>
            <w:r w:rsidR="00386560" w:rsidRPr="00BE150C">
              <w:t>into account recent improvements.</w:t>
            </w:r>
            <w:r w:rsidR="006B7192" w:rsidRPr="00BE150C">
              <w:t xml:space="preserve"> </w:t>
            </w:r>
            <w:r w:rsidR="00FE3B1D" w:rsidRPr="00BE150C">
              <w:t xml:space="preserve"> </w:t>
            </w:r>
          </w:p>
          <w:p w14:paraId="785C908E" w14:textId="1888BED9" w:rsidR="00396C2B" w:rsidRPr="00BE150C" w:rsidRDefault="00BA3EF3" w:rsidP="00970B54">
            <w:r w:rsidRPr="00BE150C">
              <w:t xml:space="preserve">A number of </w:t>
            </w:r>
            <w:r w:rsidR="005B0F4B" w:rsidRPr="00BE150C">
              <w:t>resources</w:t>
            </w:r>
            <w:r w:rsidR="005C069F" w:rsidRPr="00BE150C">
              <w:t xml:space="preserve"> </w:t>
            </w:r>
            <w:r w:rsidRPr="00BE150C">
              <w:t xml:space="preserve">were used to </w:t>
            </w:r>
            <w:r w:rsidR="00E97753" w:rsidRPr="00BE150C">
              <w:t>inform the</w:t>
            </w:r>
            <w:r w:rsidR="006A26AB" w:rsidRPr="00BE150C">
              <w:t xml:space="preserve"> 2016-17</w:t>
            </w:r>
            <w:r w:rsidR="00E97753" w:rsidRPr="00BE150C">
              <w:t xml:space="preserve"> self-</w:t>
            </w:r>
            <w:r w:rsidRPr="00BE150C">
              <w:t>assess</w:t>
            </w:r>
            <w:r w:rsidR="00E97753" w:rsidRPr="00BE150C">
              <w:t>ment of</w:t>
            </w:r>
            <w:r w:rsidRPr="00BE150C">
              <w:t xml:space="preserve"> the</w:t>
            </w:r>
            <w:r w:rsidR="00E00C40" w:rsidRPr="00BE150C">
              <w:t xml:space="preserve"> </w:t>
            </w:r>
            <w:r w:rsidRPr="00BE150C">
              <w:t>Authority. They include</w:t>
            </w:r>
            <w:r w:rsidR="00396C2B" w:rsidRPr="00BE150C">
              <w:t>:</w:t>
            </w:r>
          </w:p>
          <w:p w14:paraId="537979E3" w14:textId="2AC685DF" w:rsidR="00396C2B" w:rsidRPr="00BE150C" w:rsidRDefault="00396C2B" w:rsidP="00970B54">
            <w:pPr>
              <w:pStyle w:val="ListParagraph"/>
              <w:numPr>
                <w:ilvl w:val="0"/>
                <w:numId w:val="7"/>
              </w:numPr>
              <w:rPr>
                <w:sz w:val="20"/>
                <w:szCs w:val="20"/>
              </w:rPr>
            </w:pPr>
            <w:r w:rsidRPr="00BE150C">
              <w:rPr>
                <w:sz w:val="20"/>
                <w:szCs w:val="20"/>
              </w:rPr>
              <w:t>the notific</w:t>
            </w:r>
            <w:r w:rsidR="00BA3EF3" w:rsidRPr="00BE150C">
              <w:rPr>
                <w:sz w:val="20"/>
                <w:szCs w:val="20"/>
              </w:rPr>
              <w:t>ations register: recording</w:t>
            </w:r>
            <w:r w:rsidRPr="00BE150C">
              <w:rPr>
                <w:sz w:val="20"/>
                <w:szCs w:val="20"/>
              </w:rPr>
              <w:t xml:space="preserve"> project details, </w:t>
            </w:r>
            <w:r w:rsidR="00BA3EF3" w:rsidRPr="00BE150C">
              <w:rPr>
                <w:sz w:val="20"/>
                <w:szCs w:val="20"/>
              </w:rPr>
              <w:t>project milestone dates</w:t>
            </w:r>
            <w:r w:rsidRPr="00BE150C">
              <w:rPr>
                <w:sz w:val="20"/>
                <w:szCs w:val="20"/>
              </w:rPr>
              <w:t>, responsib</w:t>
            </w:r>
            <w:r w:rsidR="00BA3EF3" w:rsidRPr="00BE150C">
              <w:rPr>
                <w:sz w:val="20"/>
                <w:szCs w:val="20"/>
              </w:rPr>
              <w:t>le officers, Authority</w:t>
            </w:r>
            <w:r w:rsidR="00241448" w:rsidRPr="00BE150C">
              <w:rPr>
                <w:sz w:val="20"/>
                <w:szCs w:val="20"/>
              </w:rPr>
              <w:t>’s</w:t>
            </w:r>
            <w:r w:rsidR="00BA3EF3" w:rsidRPr="00BE150C">
              <w:rPr>
                <w:sz w:val="20"/>
                <w:szCs w:val="20"/>
              </w:rPr>
              <w:t xml:space="preserve"> decision</w:t>
            </w:r>
            <w:r w:rsidRPr="00BE150C">
              <w:rPr>
                <w:sz w:val="20"/>
                <w:szCs w:val="20"/>
              </w:rPr>
              <w:t xml:space="preserve"> dates </w:t>
            </w:r>
            <w:r w:rsidR="00BA3EF3" w:rsidRPr="00BE150C">
              <w:rPr>
                <w:sz w:val="20"/>
                <w:szCs w:val="20"/>
              </w:rPr>
              <w:t>including</w:t>
            </w:r>
            <w:r w:rsidRPr="00BE150C">
              <w:rPr>
                <w:sz w:val="20"/>
                <w:szCs w:val="20"/>
              </w:rPr>
              <w:t xml:space="preserve"> exceptions granted</w:t>
            </w:r>
          </w:p>
          <w:p w14:paraId="7645EAE7" w14:textId="368047C5" w:rsidR="00396C2B" w:rsidRPr="00BE150C" w:rsidRDefault="00396C2B" w:rsidP="00970B54">
            <w:pPr>
              <w:pStyle w:val="ListParagraph"/>
              <w:numPr>
                <w:ilvl w:val="0"/>
                <w:numId w:val="7"/>
              </w:numPr>
              <w:rPr>
                <w:sz w:val="20"/>
                <w:szCs w:val="20"/>
              </w:rPr>
            </w:pPr>
            <w:r w:rsidRPr="00BE150C">
              <w:rPr>
                <w:sz w:val="20"/>
                <w:szCs w:val="20"/>
              </w:rPr>
              <w:t>the compliance monitoring</w:t>
            </w:r>
            <w:r w:rsidR="00E00C40" w:rsidRPr="00BE150C">
              <w:rPr>
                <w:sz w:val="20"/>
                <w:szCs w:val="20"/>
              </w:rPr>
              <w:t xml:space="preserve"> </w:t>
            </w:r>
            <w:r w:rsidR="007915B5" w:rsidRPr="00BE150C">
              <w:rPr>
                <w:sz w:val="20"/>
                <w:szCs w:val="20"/>
              </w:rPr>
              <w:t>database</w:t>
            </w:r>
            <w:r w:rsidR="00133195" w:rsidRPr="00BE150C">
              <w:rPr>
                <w:sz w:val="20"/>
                <w:szCs w:val="20"/>
              </w:rPr>
              <w:t>: tracking</w:t>
            </w:r>
            <w:r w:rsidR="00F71CD8" w:rsidRPr="00BE150C">
              <w:rPr>
                <w:sz w:val="20"/>
                <w:szCs w:val="20"/>
              </w:rPr>
              <w:t xml:space="preserve"> projects</w:t>
            </w:r>
            <w:r w:rsidRPr="00BE150C">
              <w:rPr>
                <w:sz w:val="20"/>
                <w:szCs w:val="20"/>
              </w:rPr>
              <w:t>, proponent details, industry information and letters sent to potential major project</w:t>
            </w:r>
            <w:r w:rsidR="00216834" w:rsidRPr="00BE150C">
              <w:rPr>
                <w:sz w:val="20"/>
                <w:szCs w:val="20"/>
              </w:rPr>
              <w:t xml:space="preserve"> proponents</w:t>
            </w:r>
          </w:p>
          <w:p w14:paraId="7351A044" w14:textId="7214E2CB" w:rsidR="00396C2B" w:rsidRPr="00BE150C" w:rsidRDefault="002C6A4C" w:rsidP="00970B54">
            <w:pPr>
              <w:pStyle w:val="ListParagraph"/>
              <w:numPr>
                <w:ilvl w:val="0"/>
                <w:numId w:val="7"/>
              </w:numPr>
              <w:rPr>
                <w:sz w:val="20"/>
                <w:szCs w:val="20"/>
              </w:rPr>
            </w:pPr>
            <w:r w:rsidRPr="00BE150C">
              <w:rPr>
                <w:sz w:val="20"/>
                <w:szCs w:val="20"/>
              </w:rPr>
              <w:t>guidance</w:t>
            </w:r>
            <w:r w:rsidR="00396C2B" w:rsidRPr="00BE150C">
              <w:rPr>
                <w:sz w:val="20"/>
                <w:szCs w:val="20"/>
              </w:rPr>
              <w:t xml:space="preserve"> documents: instructional documents </w:t>
            </w:r>
            <w:r w:rsidR="00B4129E" w:rsidRPr="00BE150C">
              <w:rPr>
                <w:sz w:val="20"/>
                <w:szCs w:val="20"/>
              </w:rPr>
              <w:t xml:space="preserve">guiding </w:t>
            </w:r>
            <w:r w:rsidR="00396C2B" w:rsidRPr="00BE150C">
              <w:rPr>
                <w:sz w:val="20"/>
                <w:szCs w:val="20"/>
              </w:rPr>
              <w:t>proponents through the AIP process, including plan preparation and compliance reporting</w:t>
            </w:r>
          </w:p>
          <w:p w14:paraId="1D7E56C1" w14:textId="01296DDC" w:rsidR="00396C2B" w:rsidRPr="00BE150C" w:rsidRDefault="00396C2B" w:rsidP="00970B54">
            <w:pPr>
              <w:pStyle w:val="ListParagraph"/>
              <w:numPr>
                <w:ilvl w:val="0"/>
                <w:numId w:val="7"/>
              </w:numPr>
              <w:rPr>
                <w:sz w:val="20"/>
                <w:szCs w:val="20"/>
              </w:rPr>
            </w:pPr>
            <w:r w:rsidRPr="00BE150C">
              <w:rPr>
                <w:sz w:val="20"/>
                <w:szCs w:val="20"/>
              </w:rPr>
              <w:t xml:space="preserve">the AIP inbox: email communication </w:t>
            </w:r>
            <w:r w:rsidR="00A70AA5" w:rsidRPr="00BE150C">
              <w:rPr>
                <w:sz w:val="20"/>
                <w:szCs w:val="20"/>
              </w:rPr>
              <w:t>received</w:t>
            </w:r>
            <w:r w:rsidRPr="00BE150C">
              <w:rPr>
                <w:sz w:val="20"/>
                <w:szCs w:val="20"/>
              </w:rPr>
              <w:t xml:space="preserve"> and sent from </w:t>
            </w:r>
            <w:hyperlink r:id="rId15" w:tgtFrame="_blank" w:history="1">
              <w:r w:rsidRPr="00BE150C">
                <w:rPr>
                  <w:rStyle w:val="Hyperlink"/>
                  <w:sz w:val="20"/>
                  <w:szCs w:val="20"/>
                </w:rPr>
                <w:t>aip@industry.gov.au</w:t>
              </w:r>
            </w:hyperlink>
            <w:r w:rsidR="00BA3EF3" w:rsidRPr="00BE150C">
              <w:rPr>
                <w:sz w:val="20"/>
                <w:szCs w:val="20"/>
              </w:rPr>
              <w:t>—</w:t>
            </w:r>
            <w:r w:rsidRPr="00BE150C">
              <w:rPr>
                <w:sz w:val="20"/>
                <w:szCs w:val="20"/>
              </w:rPr>
              <w:t xml:space="preserve">the </w:t>
            </w:r>
            <w:r w:rsidR="00F71CD8" w:rsidRPr="00BE150C">
              <w:rPr>
                <w:sz w:val="20"/>
                <w:szCs w:val="20"/>
              </w:rPr>
              <w:t xml:space="preserve">generic </w:t>
            </w:r>
            <w:r w:rsidRPr="00BE150C">
              <w:rPr>
                <w:sz w:val="20"/>
                <w:szCs w:val="20"/>
              </w:rPr>
              <w:t>email address for</w:t>
            </w:r>
            <w:r w:rsidR="00B4129E" w:rsidRPr="00BE150C">
              <w:rPr>
                <w:sz w:val="20"/>
                <w:szCs w:val="20"/>
              </w:rPr>
              <w:t xml:space="preserve"> </w:t>
            </w:r>
            <w:r w:rsidR="00F71CD8" w:rsidRPr="00BE150C">
              <w:rPr>
                <w:sz w:val="20"/>
                <w:szCs w:val="20"/>
              </w:rPr>
              <w:t xml:space="preserve">proponents to contact the </w:t>
            </w:r>
            <w:r w:rsidRPr="00BE150C">
              <w:rPr>
                <w:sz w:val="20"/>
                <w:szCs w:val="20"/>
              </w:rPr>
              <w:t>A</w:t>
            </w:r>
            <w:r w:rsidR="00BA3EF3" w:rsidRPr="00BE150C">
              <w:rPr>
                <w:sz w:val="20"/>
                <w:szCs w:val="20"/>
              </w:rPr>
              <w:t>uthority</w:t>
            </w:r>
            <w:r w:rsidRPr="00BE150C">
              <w:rPr>
                <w:sz w:val="20"/>
                <w:szCs w:val="20"/>
              </w:rPr>
              <w:t xml:space="preserve"> </w:t>
            </w:r>
            <w:r w:rsidR="00F71CD8" w:rsidRPr="00BE150C">
              <w:rPr>
                <w:sz w:val="20"/>
                <w:szCs w:val="20"/>
              </w:rPr>
              <w:t xml:space="preserve">and for </w:t>
            </w:r>
            <w:r w:rsidRPr="00BE150C">
              <w:rPr>
                <w:sz w:val="20"/>
                <w:szCs w:val="20"/>
              </w:rPr>
              <w:t>staff to use when contacting existing and potential proponents</w:t>
            </w:r>
          </w:p>
          <w:p w14:paraId="12D2DBF2" w14:textId="1FD48DA8" w:rsidR="00396C2B" w:rsidRPr="00BE150C" w:rsidRDefault="00396C2B" w:rsidP="00970B54">
            <w:pPr>
              <w:pStyle w:val="ListParagraph"/>
              <w:numPr>
                <w:ilvl w:val="0"/>
                <w:numId w:val="7"/>
              </w:numPr>
              <w:rPr>
                <w:sz w:val="20"/>
                <w:szCs w:val="20"/>
              </w:rPr>
            </w:pPr>
            <w:r w:rsidRPr="00BE150C">
              <w:rPr>
                <w:sz w:val="20"/>
                <w:szCs w:val="20"/>
              </w:rPr>
              <w:t>the AIP website</w:t>
            </w:r>
            <w:r w:rsidR="00BA3EF3" w:rsidRPr="00BE150C">
              <w:rPr>
                <w:sz w:val="20"/>
                <w:szCs w:val="20"/>
              </w:rPr>
              <w:t xml:space="preserve"> </w:t>
            </w:r>
            <w:hyperlink r:id="rId16" w:history="1">
              <w:r w:rsidR="00F73A97" w:rsidRPr="00BE150C">
                <w:rPr>
                  <w:rStyle w:val="Hyperlink"/>
                  <w:sz w:val="20"/>
                  <w:szCs w:val="20"/>
                </w:rPr>
                <w:t>www.industry.gov.au/aip</w:t>
              </w:r>
            </w:hyperlink>
            <w:r w:rsidR="00BA3EF3" w:rsidRPr="00BE150C">
              <w:rPr>
                <w:sz w:val="20"/>
                <w:szCs w:val="20"/>
              </w:rPr>
              <w:t>:</w:t>
            </w:r>
            <w:r w:rsidRPr="00BE150C">
              <w:rPr>
                <w:sz w:val="20"/>
                <w:szCs w:val="20"/>
              </w:rPr>
              <w:t xml:space="preserve"> where information about the scheme, public notices and public resources (i.e. user guides, templates, FAQs) are published</w:t>
            </w:r>
          </w:p>
          <w:p w14:paraId="5DA31558" w14:textId="311C490A" w:rsidR="00554660" w:rsidRPr="00BE150C" w:rsidRDefault="00396C2B" w:rsidP="00970B54">
            <w:pPr>
              <w:pStyle w:val="ListParagraph"/>
              <w:numPr>
                <w:ilvl w:val="0"/>
                <w:numId w:val="7"/>
              </w:numPr>
              <w:rPr>
                <w:sz w:val="20"/>
                <w:szCs w:val="20"/>
              </w:rPr>
            </w:pPr>
            <w:r w:rsidRPr="00BE150C">
              <w:rPr>
                <w:sz w:val="20"/>
                <w:szCs w:val="20"/>
              </w:rPr>
              <w:t>project files: electronic and hard copy files kept on all major projects</w:t>
            </w:r>
            <w:r w:rsidR="00A70AA5" w:rsidRPr="00BE150C">
              <w:rPr>
                <w:sz w:val="20"/>
                <w:szCs w:val="20"/>
              </w:rPr>
              <w:t>, documenting</w:t>
            </w:r>
            <w:r w:rsidRPr="00BE150C">
              <w:rPr>
                <w:sz w:val="20"/>
                <w:szCs w:val="20"/>
              </w:rPr>
              <w:t xml:space="preserve"> </w:t>
            </w:r>
            <w:r w:rsidR="004D24AD" w:rsidRPr="00BE150C">
              <w:rPr>
                <w:sz w:val="20"/>
                <w:szCs w:val="20"/>
              </w:rPr>
              <w:t>regulatory processes</w:t>
            </w:r>
            <w:r w:rsidR="00277BE2" w:rsidRPr="00BE150C">
              <w:rPr>
                <w:sz w:val="20"/>
                <w:szCs w:val="20"/>
              </w:rPr>
              <w:t>, interactions</w:t>
            </w:r>
            <w:r w:rsidR="004D24AD" w:rsidRPr="00BE150C">
              <w:rPr>
                <w:sz w:val="20"/>
                <w:szCs w:val="20"/>
              </w:rPr>
              <w:t xml:space="preserve"> and </w:t>
            </w:r>
            <w:r w:rsidRPr="00BE150C">
              <w:rPr>
                <w:sz w:val="20"/>
                <w:szCs w:val="20"/>
              </w:rPr>
              <w:t>project progress</w:t>
            </w:r>
          </w:p>
          <w:p w14:paraId="3E4C7E5F" w14:textId="3203A599" w:rsidR="00396C2B" w:rsidRPr="00BE150C" w:rsidRDefault="00554660" w:rsidP="00970B54">
            <w:pPr>
              <w:pStyle w:val="ListParagraph"/>
              <w:numPr>
                <w:ilvl w:val="0"/>
                <w:numId w:val="7"/>
              </w:numPr>
              <w:rPr>
                <w:sz w:val="20"/>
                <w:szCs w:val="20"/>
              </w:rPr>
            </w:pPr>
            <w:r w:rsidRPr="00BE150C">
              <w:rPr>
                <w:sz w:val="20"/>
                <w:szCs w:val="20"/>
              </w:rPr>
              <w:t xml:space="preserve">2015-16 stakeholder survey </w:t>
            </w:r>
            <w:r w:rsidR="00B4129E" w:rsidRPr="00BE150C">
              <w:rPr>
                <w:sz w:val="20"/>
                <w:szCs w:val="20"/>
              </w:rPr>
              <w:t>results</w:t>
            </w:r>
            <w:r w:rsidR="00241448" w:rsidRPr="00BE150C">
              <w:rPr>
                <w:sz w:val="20"/>
                <w:szCs w:val="20"/>
              </w:rPr>
              <w:t>.</w:t>
            </w:r>
          </w:p>
          <w:p w14:paraId="604FA316" w14:textId="08B70B2C" w:rsidR="00E97753" w:rsidRPr="00BE150C" w:rsidRDefault="00483D04" w:rsidP="00970B54">
            <w:pPr>
              <w:rPr>
                <w:szCs w:val="20"/>
              </w:rPr>
            </w:pPr>
            <w:r w:rsidRPr="00BE150C">
              <w:rPr>
                <w:szCs w:val="20"/>
              </w:rPr>
              <w:t xml:space="preserve">The limitation of </w:t>
            </w:r>
            <w:r w:rsidR="00A51967" w:rsidRPr="00BE150C">
              <w:rPr>
                <w:szCs w:val="20"/>
              </w:rPr>
              <w:t>relying</w:t>
            </w:r>
            <w:r w:rsidRPr="00BE150C">
              <w:rPr>
                <w:szCs w:val="20"/>
              </w:rPr>
              <w:t xml:space="preserve"> on qualitative data for assessment is that it does not serve well as a baseline for longitudinal monitoring. </w:t>
            </w:r>
            <w:r w:rsidR="00B4129E" w:rsidRPr="00BE150C">
              <w:rPr>
                <w:szCs w:val="20"/>
              </w:rPr>
              <w:t>D</w:t>
            </w:r>
            <w:r w:rsidRPr="00BE150C">
              <w:rPr>
                <w:szCs w:val="20"/>
              </w:rPr>
              <w:t>evelop</w:t>
            </w:r>
            <w:r w:rsidR="00B4129E" w:rsidRPr="00BE150C">
              <w:rPr>
                <w:szCs w:val="20"/>
              </w:rPr>
              <w:t>ment of</w:t>
            </w:r>
            <w:r w:rsidRPr="00BE150C">
              <w:rPr>
                <w:szCs w:val="20"/>
              </w:rPr>
              <w:t xml:space="preserve"> a more quantitative monitoring approach for a small number of regulated entities is</w:t>
            </w:r>
            <w:r w:rsidR="00B4129E" w:rsidRPr="00BE150C">
              <w:rPr>
                <w:szCs w:val="20"/>
              </w:rPr>
              <w:t xml:space="preserve"> not practical as</w:t>
            </w:r>
            <w:r w:rsidRPr="00BE150C">
              <w:rPr>
                <w:szCs w:val="20"/>
              </w:rPr>
              <w:t xml:space="preserve"> it will likely suffer from exaggerated effects of small changes and anomalies. </w:t>
            </w:r>
          </w:p>
          <w:p w14:paraId="1826BED7" w14:textId="2AEE6FA5" w:rsidR="006F7BE9" w:rsidRPr="00BE150C" w:rsidRDefault="00387E69" w:rsidP="00970B54">
            <w:r w:rsidRPr="00BE150C">
              <w:rPr>
                <w:szCs w:val="20"/>
              </w:rPr>
              <w:t>In 2016-17, t</w:t>
            </w:r>
            <w:r w:rsidR="00386560" w:rsidRPr="00BE150C">
              <w:rPr>
                <w:szCs w:val="20"/>
              </w:rPr>
              <w:t>he</w:t>
            </w:r>
            <w:r w:rsidR="00B4129E" w:rsidRPr="00BE150C">
              <w:rPr>
                <w:szCs w:val="20"/>
              </w:rPr>
              <w:t xml:space="preserve"> </w:t>
            </w:r>
            <w:r w:rsidR="00386560" w:rsidRPr="00BE150C">
              <w:rPr>
                <w:szCs w:val="20"/>
              </w:rPr>
              <w:t xml:space="preserve">Authority continued </w:t>
            </w:r>
            <w:r w:rsidR="0041276F" w:rsidRPr="00BE150C">
              <w:rPr>
                <w:szCs w:val="20"/>
              </w:rPr>
              <w:t>with t</w:t>
            </w:r>
            <w:r w:rsidR="00483D04" w:rsidRPr="00BE150C">
              <w:rPr>
                <w:szCs w:val="20"/>
              </w:rPr>
              <w:t>he qualitative approach along with ongoing monitoring of feedback (both structured under a com</w:t>
            </w:r>
            <w:r w:rsidR="00AB6FB2" w:rsidRPr="00BE150C">
              <w:rPr>
                <w:szCs w:val="20"/>
              </w:rPr>
              <w:t>munications strategy and from ‘</w:t>
            </w:r>
            <w:r w:rsidR="00483D04" w:rsidRPr="00BE150C">
              <w:rPr>
                <w:szCs w:val="20"/>
              </w:rPr>
              <w:t>transactions’ with regulated entities</w:t>
            </w:r>
            <w:r w:rsidR="00AB6FB2" w:rsidRPr="00BE150C">
              <w:rPr>
                <w:szCs w:val="20"/>
              </w:rPr>
              <w:t>)</w:t>
            </w:r>
            <w:r w:rsidR="00483D04" w:rsidRPr="00BE150C">
              <w:rPr>
                <w:szCs w:val="20"/>
              </w:rPr>
              <w:t>.</w:t>
            </w:r>
          </w:p>
        </w:tc>
      </w:tr>
    </w:tbl>
    <w:p w14:paraId="77D11541" w14:textId="77777777" w:rsidR="00396C2B" w:rsidRPr="00BE150C" w:rsidRDefault="00396C2B" w:rsidP="00B12E3E">
      <w:pPr>
        <w:spacing w:after="0" w:line="240" w:lineRule="auto"/>
      </w:pP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116B1" w:rsidRPr="00BE150C" w14:paraId="6D5267CE" w14:textId="77777777" w:rsidTr="007E53F5">
        <w:tc>
          <w:tcPr>
            <w:tcW w:w="8544" w:type="dxa"/>
            <w:shd w:val="clear" w:color="auto" w:fill="005677" w:themeFill="accent1"/>
          </w:tcPr>
          <w:p w14:paraId="2B295FF1" w14:textId="77777777" w:rsidR="009116B1" w:rsidRPr="00BE150C" w:rsidRDefault="009116B1" w:rsidP="00970B54">
            <w:pPr>
              <w:pStyle w:val="Heading2"/>
              <w:ind w:left="556" w:hanging="556"/>
              <w:outlineLvl w:val="1"/>
            </w:pPr>
            <w:bookmarkStart w:id="36" w:name="_Toc481139981"/>
            <w:r w:rsidRPr="00BE150C">
              <w:t xml:space="preserve">KPI </w:t>
            </w:r>
            <w:r w:rsidR="00E0139A" w:rsidRPr="00BE150C">
              <w:t>1:</w:t>
            </w:r>
            <w:r w:rsidR="002F6C60" w:rsidRPr="00BE150C">
              <w:t xml:space="preserve"> </w:t>
            </w:r>
            <w:r w:rsidR="002F6C60" w:rsidRPr="00BE150C">
              <w:rPr>
                <w:szCs w:val="22"/>
              </w:rPr>
              <w:t>Regulators do not unnecessarily impede the efficient operation of regulated entities</w:t>
            </w:r>
            <w:bookmarkEnd w:id="36"/>
          </w:p>
        </w:tc>
      </w:tr>
      <w:tr w:rsidR="00EA4131" w:rsidRPr="00BE150C" w14:paraId="533D58C2" w14:textId="77777777" w:rsidTr="007E53F5">
        <w:trPr>
          <w:trHeight w:val="2250"/>
        </w:trPr>
        <w:tc>
          <w:tcPr>
            <w:tcW w:w="8544" w:type="dxa"/>
          </w:tcPr>
          <w:p w14:paraId="4BC317E8" w14:textId="2FFCDD04" w:rsidR="00C4315B" w:rsidRPr="00BE150C" w:rsidRDefault="00C4315B" w:rsidP="00970B54">
            <w:pPr>
              <w:rPr>
                <w:b/>
                <w:u w:val="single"/>
              </w:rPr>
            </w:pPr>
            <w:r w:rsidRPr="00BE150C">
              <w:rPr>
                <w:b/>
                <w:u w:val="single"/>
              </w:rPr>
              <w:t>KPI expectations and performance measures</w:t>
            </w:r>
          </w:p>
          <w:p w14:paraId="0D654014" w14:textId="77777777" w:rsidR="005777C8" w:rsidRPr="00BE150C" w:rsidRDefault="00396C2B" w:rsidP="00970B54">
            <w:r w:rsidRPr="00BE150C">
              <w:t xml:space="preserve">KPI 1 </w:t>
            </w:r>
            <w:r w:rsidR="00BA3EF3" w:rsidRPr="00BE150C">
              <w:t>addresses</w:t>
            </w:r>
            <w:r w:rsidR="005777C8" w:rsidRPr="00BE150C">
              <w:t xml:space="preserve"> whether current regulation is achieving its outcome without unnecessarily restricting or burden</w:t>
            </w:r>
            <w:r w:rsidR="00393890" w:rsidRPr="00BE150C">
              <w:t>ing</w:t>
            </w:r>
            <w:r w:rsidR="005777C8" w:rsidRPr="00BE150C">
              <w:t xml:space="preserve"> regulated entities. Where appropriate</w:t>
            </w:r>
            <w:r w:rsidR="00983E05" w:rsidRPr="00BE150C">
              <w:t>, regulators also recognise the</w:t>
            </w:r>
            <w:r w:rsidR="005777C8" w:rsidRPr="00BE150C">
              <w:t xml:space="preserve"> need to adapt approaches to particular stakeholders.</w:t>
            </w:r>
          </w:p>
          <w:p w14:paraId="0057E4A9" w14:textId="60344D11" w:rsidR="00F74CA3" w:rsidRPr="00BE150C" w:rsidRDefault="00A51967" w:rsidP="00970B54">
            <w:r w:rsidRPr="00BE150C">
              <w:t>This</w:t>
            </w:r>
            <w:r w:rsidR="00F74CA3" w:rsidRPr="00BE150C">
              <w:t xml:space="preserve"> KPI is linked to risk-based compliance (PM2) and continuous improvement (PM5). These measures were used to assess against this KPI as it addresses whether current regulation is achieving its outcome without unnecessarily restricting or burdening regulated entities. Where appropriate, regulators also recognise the need to adapt approaches to particular stakeholders.</w:t>
            </w:r>
          </w:p>
          <w:p w14:paraId="46EBCD02" w14:textId="77777777" w:rsidR="00FD0D74" w:rsidRPr="00BE150C" w:rsidRDefault="00FD0D74" w:rsidP="00970B54">
            <w:pPr>
              <w:pStyle w:val="CommentText"/>
              <w:rPr>
                <w:sz w:val="20"/>
                <w:szCs w:val="22"/>
              </w:rPr>
            </w:pPr>
            <w:r w:rsidRPr="00BE150C">
              <w:rPr>
                <w:sz w:val="20"/>
                <w:szCs w:val="22"/>
              </w:rPr>
              <w:t>Measures used for this KPI:</w:t>
            </w:r>
          </w:p>
          <w:p w14:paraId="5F24A69C" w14:textId="7BB5B62E" w:rsidR="006F7BE9" w:rsidRPr="00BE150C" w:rsidRDefault="006F7BE9" w:rsidP="00970B54">
            <w:pPr>
              <w:pStyle w:val="ListParagraph"/>
              <w:numPr>
                <w:ilvl w:val="0"/>
                <w:numId w:val="10"/>
              </w:numPr>
              <w:rPr>
                <w:sz w:val="20"/>
              </w:rPr>
            </w:pPr>
            <w:r w:rsidRPr="00BE150C">
              <w:rPr>
                <w:sz w:val="20"/>
              </w:rPr>
              <w:t>Risk-based compliance (PM 2): While the</w:t>
            </w:r>
            <w:r w:rsidR="0030685A" w:rsidRPr="00BE150C">
              <w:rPr>
                <w:sz w:val="20"/>
              </w:rPr>
              <w:t xml:space="preserve"> Jobs</w:t>
            </w:r>
            <w:r w:rsidRPr="00BE150C">
              <w:rPr>
                <w:sz w:val="20"/>
              </w:rPr>
              <w:t xml:space="preserve"> Act is broadly prescriptive regarding requirements, the approach of the Authority has been, particularly for compliance, to only require sufficient reporting to identify potential problems which can then be further pursued. </w:t>
            </w:r>
          </w:p>
          <w:p w14:paraId="1C189194" w14:textId="0C0F52A5" w:rsidR="006F7BE9" w:rsidRPr="00BE150C" w:rsidRDefault="006F7BE9" w:rsidP="00970B54">
            <w:pPr>
              <w:pStyle w:val="ListParagraph"/>
              <w:numPr>
                <w:ilvl w:val="0"/>
                <w:numId w:val="10"/>
              </w:numPr>
              <w:rPr>
                <w:sz w:val="20"/>
              </w:rPr>
            </w:pPr>
            <w:r w:rsidRPr="00BE150C">
              <w:rPr>
                <w:sz w:val="20"/>
              </w:rPr>
              <w:t xml:space="preserve">Continuous improvement (PM 5): The multiple sourcing of feedback both in and outside of the self-assessment and the proactive development of an improvement programme evidence a strong culture of working with industry to improve implementation. </w:t>
            </w:r>
          </w:p>
          <w:p w14:paraId="09F28FCD" w14:textId="2847E2F4" w:rsidR="00C4315B" w:rsidRPr="00BE150C" w:rsidRDefault="00C4315B" w:rsidP="00970B54">
            <w:pPr>
              <w:rPr>
                <w:b/>
                <w:u w:val="single"/>
              </w:rPr>
            </w:pPr>
            <w:r w:rsidRPr="00BE150C">
              <w:rPr>
                <w:b/>
                <w:u w:val="single"/>
              </w:rPr>
              <w:t>Authority’s approach</w:t>
            </w:r>
          </w:p>
          <w:p w14:paraId="7595AB9C" w14:textId="18F41A24" w:rsidR="00F74CA3" w:rsidRPr="00BE150C" w:rsidRDefault="00F74CA3" w:rsidP="00970B54">
            <w:r w:rsidRPr="00BE150C">
              <w:t>The</w:t>
            </w:r>
            <w:r w:rsidR="0030685A" w:rsidRPr="00BE150C">
              <w:t xml:space="preserve"> </w:t>
            </w:r>
            <w:r w:rsidRPr="00BE150C">
              <w:t>Authority has reduced regulatory burden to entities by designing documents, such as user guides for</w:t>
            </w:r>
            <w:r w:rsidR="00A23945" w:rsidRPr="00BE150C">
              <w:t xml:space="preserve"> AIP</w:t>
            </w:r>
            <w:r w:rsidRPr="00BE150C">
              <w:t xml:space="preserve"> plan preparation and compliance reporting, that reflect the requirements of the legislation. Authority staff meet </w:t>
            </w:r>
            <w:r w:rsidR="00662403" w:rsidRPr="00BE150C">
              <w:t>fortnightly</w:t>
            </w:r>
            <w:r w:rsidR="0030685A" w:rsidRPr="00BE150C">
              <w:t>, as well as via ad hoc meetings,</w:t>
            </w:r>
            <w:r w:rsidR="00662403" w:rsidRPr="00BE150C">
              <w:t xml:space="preserve"> </w:t>
            </w:r>
            <w:r w:rsidRPr="00BE150C">
              <w:t xml:space="preserve">to discuss Authority business (including processes, best practice and feedback) aimed at improving processes. </w:t>
            </w:r>
            <w:r w:rsidR="00011746" w:rsidRPr="00BE150C">
              <w:t>In 2016-17, s</w:t>
            </w:r>
            <w:r w:rsidR="007B4E7E" w:rsidRPr="00BE150C">
              <w:t>taff’s experience with implementing the Jobs Act</w:t>
            </w:r>
            <w:r w:rsidR="0030685A" w:rsidRPr="00BE150C">
              <w:t>,</w:t>
            </w:r>
            <w:r w:rsidR="007B4E7E" w:rsidRPr="00BE150C">
              <w:t xml:space="preserve"> including responding to proponents’ questions and providing feedback on draft AIP plans</w:t>
            </w:r>
            <w:r w:rsidR="0030685A" w:rsidRPr="00BE150C">
              <w:t>,</w:t>
            </w:r>
            <w:r w:rsidR="007B4E7E" w:rsidRPr="00BE150C">
              <w:t xml:space="preserve"> has </w:t>
            </w:r>
            <w:r w:rsidR="007C353B" w:rsidRPr="00BE150C">
              <w:t xml:space="preserve">confirmed </w:t>
            </w:r>
            <w:r w:rsidR="007B4E7E" w:rsidRPr="00BE150C">
              <w:t>the</w:t>
            </w:r>
            <w:r w:rsidR="0030685A" w:rsidRPr="00BE150C">
              <w:t xml:space="preserve"> need</w:t>
            </w:r>
            <w:r w:rsidR="007B4E7E" w:rsidRPr="00BE150C">
              <w:t xml:space="preserve"> for some improvements to the</w:t>
            </w:r>
            <w:r w:rsidR="0030685A" w:rsidRPr="00BE150C">
              <w:t xml:space="preserve"> AIP plan</w:t>
            </w:r>
            <w:r w:rsidR="007B4E7E" w:rsidRPr="00BE150C">
              <w:t xml:space="preserve"> template</w:t>
            </w:r>
            <w:r w:rsidR="00CE1F04" w:rsidRPr="00BE150C">
              <w:t xml:space="preserve"> </w:t>
            </w:r>
            <w:r w:rsidR="0030685A" w:rsidRPr="00BE150C">
              <w:t>and supporting documents</w:t>
            </w:r>
            <w:r w:rsidR="007B4E7E" w:rsidRPr="00BE150C">
              <w:t xml:space="preserve"> to increase clarity, reduce the level of draft AIP plan feedback and respond to emerging issues. </w:t>
            </w:r>
          </w:p>
          <w:p w14:paraId="09E57F81" w14:textId="5742B105" w:rsidR="00F74CA3" w:rsidRPr="00BE150C" w:rsidRDefault="00011746" w:rsidP="00970B54">
            <w:r w:rsidRPr="00BE150C">
              <w:t>When proponents notify the</w:t>
            </w:r>
            <w:r w:rsidR="001C366A" w:rsidRPr="00BE150C">
              <w:t xml:space="preserve"> </w:t>
            </w:r>
            <w:r w:rsidRPr="00BE150C">
              <w:t>Authority of their major projects, t</w:t>
            </w:r>
            <w:r w:rsidR="00F74CA3" w:rsidRPr="00BE150C">
              <w:t>he Authority will negotiate with proponents on the timing for submission of a draft AIP plan (</w:t>
            </w:r>
            <w:r w:rsidRPr="00BE150C">
              <w:t xml:space="preserve">based on </w:t>
            </w:r>
            <w:r w:rsidR="00F74CA3" w:rsidRPr="00BE150C">
              <w:t>the</w:t>
            </w:r>
            <w:r w:rsidR="007A699D" w:rsidRPr="00BE150C">
              <w:t xml:space="preserve"> estimated</w:t>
            </w:r>
            <w:r w:rsidR="00F74CA3" w:rsidRPr="00BE150C">
              <w:t xml:space="preserve"> trigger date</w:t>
            </w:r>
            <w:r w:rsidRPr="00BE150C">
              <w:t xml:space="preserve"> of the project</w:t>
            </w:r>
            <w:r w:rsidR="00F74CA3" w:rsidRPr="00BE150C">
              <w:t xml:space="preserve">) </w:t>
            </w:r>
            <w:r w:rsidR="00062C6A" w:rsidRPr="00BE150C">
              <w:t xml:space="preserve">and </w:t>
            </w:r>
            <w:r w:rsidR="00F74CA3" w:rsidRPr="00BE150C">
              <w:t>agree on a date that balances proponent and supplier interests.</w:t>
            </w:r>
          </w:p>
          <w:p w14:paraId="445926D8" w14:textId="67D800C0" w:rsidR="00F74CA3" w:rsidRPr="00BE150C" w:rsidRDefault="00F74CA3" w:rsidP="00970B54">
            <w:r w:rsidRPr="00BE150C">
              <w:t>All major project proponents who have submitted draft AIP plans receive feedback</w:t>
            </w:r>
            <w:r w:rsidR="005E170A" w:rsidRPr="00BE150C">
              <w:t xml:space="preserve"> from </w:t>
            </w:r>
            <w:r w:rsidRPr="00BE150C">
              <w:t>Authority staff</w:t>
            </w:r>
            <w:r w:rsidR="005E170A" w:rsidRPr="00BE150C">
              <w:t xml:space="preserve"> who</w:t>
            </w:r>
            <w:r w:rsidRPr="00BE150C">
              <w:t xml:space="preserve"> provide tailored advice via email, phone and occasionally in person. </w:t>
            </w:r>
            <w:r w:rsidR="00011746" w:rsidRPr="00BE150C">
              <w:t xml:space="preserve">The </w:t>
            </w:r>
            <w:r w:rsidRPr="00BE150C">
              <w:t>Authority</w:t>
            </w:r>
            <w:r w:rsidR="00011746" w:rsidRPr="00BE150C">
              <w:t>’s</w:t>
            </w:r>
            <w:r w:rsidRPr="00BE150C">
              <w:t xml:space="preserve"> expectations are available to stakeholders </w:t>
            </w:r>
            <w:r w:rsidR="007C353B" w:rsidRPr="00BE150C">
              <w:t>in the user guide</w:t>
            </w:r>
            <w:r w:rsidRPr="00BE150C">
              <w:t>.</w:t>
            </w:r>
          </w:p>
          <w:p w14:paraId="1C33B6E7" w14:textId="75E51AFD" w:rsidR="00011746" w:rsidRPr="00BE150C" w:rsidRDefault="00061A9F" w:rsidP="00970B54">
            <w:pPr>
              <w:rPr>
                <w:szCs w:val="24"/>
              </w:rPr>
            </w:pPr>
            <w:r w:rsidRPr="00BE150C">
              <w:t>Section 18(10) of t</w:t>
            </w:r>
            <w:r w:rsidR="00F74CA3" w:rsidRPr="00BE150C">
              <w:t>he</w:t>
            </w:r>
            <w:r w:rsidR="00BA4563" w:rsidRPr="00BE150C">
              <w:t xml:space="preserve"> Jobs</w:t>
            </w:r>
            <w:r w:rsidR="00F74CA3" w:rsidRPr="00BE150C">
              <w:t xml:space="preserve"> Act specifies that the Authority must take all reasonable steps to approve or refuse AIP plans within 30 days of submission. The 30 day timeframe is publicised in the AIP guidance document</w:t>
            </w:r>
            <w:r w:rsidR="00011746" w:rsidRPr="00BE150C">
              <w:t>s</w:t>
            </w:r>
            <w:r w:rsidR="00F74CA3" w:rsidRPr="00BE150C">
              <w:t xml:space="preserve"> available on the website, and is easily accessible to stakeholders. A review of submitted AIP plans</w:t>
            </w:r>
            <w:r w:rsidR="00011746" w:rsidRPr="00BE150C">
              <w:t>, including resubmissions,</w:t>
            </w:r>
            <w:r w:rsidR="00F74CA3" w:rsidRPr="00BE150C">
              <w:t xml:space="preserve"> indicates the Authority</w:t>
            </w:r>
            <w:r w:rsidR="005E170A" w:rsidRPr="00BE150C">
              <w:t xml:space="preserve"> has</w:t>
            </w:r>
            <w:r w:rsidR="00F74CA3" w:rsidRPr="00BE150C">
              <w:t xml:space="preserve"> approve</w:t>
            </w:r>
            <w:r w:rsidR="005E170A" w:rsidRPr="00BE150C">
              <w:t>d</w:t>
            </w:r>
            <w:r w:rsidR="00F74CA3" w:rsidRPr="00BE150C">
              <w:t xml:space="preserve"> AIP plans </w:t>
            </w:r>
            <w:r w:rsidR="00B51F45" w:rsidRPr="00BE150C">
              <w:t>well within the legislated time</w:t>
            </w:r>
            <w:r w:rsidR="00F74CA3" w:rsidRPr="00BE150C">
              <w:t>frame</w:t>
            </w:r>
            <w:r w:rsidR="005E170A" w:rsidRPr="00BE150C">
              <w:t xml:space="preserve"> in 2016-17</w:t>
            </w:r>
            <w:r w:rsidR="00F74CA3" w:rsidRPr="00BE150C">
              <w:t>. There is no formal approval process for compliance reports</w:t>
            </w:r>
            <w:r w:rsidR="00B51F45" w:rsidRPr="00BE150C">
              <w:t>,</w:t>
            </w:r>
            <w:r w:rsidR="007C353B" w:rsidRPr="00BE150C">
              <w:t xml:space="preserve"> however the 30 day timeframe is used</w:t>
            </w:r>
            <w:r w:rsidR="00F74CA3" w:rsidRPr="00BE150C">
              <w:t>.</w:t>
            </w:r>
          </w:p>
          <w:p w14:paraId="41B3AEF1" w14:textId="1D893901" w:rsidR="00011746" w:rsidRPr="00BE150C" w:rsidRDefault="00C4315B" w:rsidP="00970B54">
            <w:pPr>
              <w:rPr>
                <w:b/>
                <w:szCs w:val="24"/>
                <w:u w:val="single"/>
              </w:rPr>
            </w:pPr>
            <w:r w:rsidRPr="00BE150C">
              <w:rPr>
                <w:b/>
                <w:szCs w:val="24"/>
                <w:u w:val="single"/>
              </w:rPr>
              <w:t xml:space="preserve">2015-16 </w:t>
            </w:r>
            <w:r w:rsidR="00C27F5E" w:rsidRPr="00BE150C">
              <w:rPr>
                <w:b/>
                <w:szCs w:val="24"/>
                <w:u w:val="single"/>
              </w:rPr>
              <w:t>s</w:t>
            </w:r>
            <w:r w:rsidRPr="00BE150C">
              <w:rPr>
                <w:b/>
                <w:szCs w:val="24"/>
                <w:u w:val="single"/>
              </w:rPr>
              <w:t>urvey results</w:t>
            </w:r>
          </w:p>
          <w:p w14:paraId="0589AFD7" w14:textId="25AE2EAC" w:rsidR="00C4315B" w:rsidRPr="00BE150C" w:rsidRDefault="00DF2698" w:rsidP="00970B54">
            <w:pPr>
              <w:rPr>
                <w:szCs w:val="24"/>
              </w:rPr>
            </w:pPr>
            <w:r w:rsidRPr="00BE150C">
              <w:rPr>
                <w:szCs w:val="24"/>
              </w:rPr>
              <w:t>Respo</w:t>
            </w:r>
            <w:r w:rsidR="004B5944" w:rsidRPr="00BE150C">
              <w:rPr>
                <w:szCs w:val="24"/>
              </w:rPr>
              <w:t>nses to this KPI included uncertainty regarding notifications, the obligations of the Jobs Act on smaller companies, the value of undertaking the AIP process and that the AIP plan template is onerous and repetitive.</w:t>
            </w:r>
          </w:p>
          <w:p w14:paraId="1A1DA721" w14:textId="3FB5BCA2" w:rsidR="00C4315B" w:rsidRPr="00BE150C" w:rsidRDefault="00C4315B" w:rsidP="00970B54">
            <w:pPr>
              <w:rPr>
                <w:b/>
                <w:szCs w:val="24"/>
                <w:u w:val="single"/>
              </w:rPr>
            </w:pPr>
            <w:r w:rsidRPr="00BE150C">
              <w:rPr>
                <w:b/>
                <w:szCs w:val="24"/>
                <w:u w:val="single"/>
              </w:rPr>
              <w:t xml:space="preserve">Improvements </w:t>
            </w:r>
            <w:r w:rsidR="00EE77CB" w:rsidRPr="00BE150C">
              <w:rPr>
                <w:b/>
                <w:szCs w:val="24"/>
                <w:u w:val="single"/>
              </w:rPr>
              <w:t>and activities</w:t>
            </w:r>
            <w:r w:rsidRPr="00BE150C">
              <w:rPr>
                <w:b/>
                <w:szCs w:val="24"/>
                <w:u w:val="single"/>
              </w:rPr>
              <w:t xml:space="preserve"> in 2016-17</w:t>
            </w:r>
          </w:p>
          <w:p w14:paraId="4F15882B" w14:textId="5E9C3BCC" w:rsidR="00C27F5E" w:rsidRPr="00BE150C" w:rsidRDefault="004B5944" w:rsidP="00970B54">
            <w:pPr>
              <w:rPr>
                <w:szCs w:val="24"/>
              </w:rPr>
            </w:pPr>
            <w:r w:rsidRPr="00BE150C">
              <w:rPr>
                <w:szCs w:val="24"/>
              </w:rPr>
              <w:t>The Authority is implementing a communication</w:t>
            </w:r>
            <w:r w:rsidR="00FD1F85" w:rsidRPr="00BE150C">
              <w:rPr>
                <w:szCs w:val="24"/>
              </w:rPr>
              <w:t>s</w:t>
            </w:r>
            <w:r w:rsidRPr="00BE150C">
              <w:rPr>
                <w:szCs w:val="24"/>
              </w:rPr>
              <w:t xml:space="preserve"> strategy focussing on clarifying the purpose of the </w:t>
            </w:r>
            <w:r w:rsidR="00990EE7" w:rsidRPr="00BE150C">
              <w:rPr>
                <w:szCs w:val="24"/>
              </w:rPr>
              <w:t xml:space="preserve">Jobs </w:t>
            </w:r>
            <w:r w:rsidRPr="00BE150C">
              <w:rPr>
                <w:szCs w:val="24"/>
              </w:rPr>
              <w:t xml:space="preserve">Act, how proponents can meet compliance obligations and methods of communication to ensure regulated entities can understand and meet best practice. </w:t>
            </w:r>
          </w:p>
          <w:p w14:paraId="77B15C0F" w14:textId="41929439" w:rsidR="007F0804" w:rsidRPr="00BE150C" w:rsidRDefault="004B5944" w:rsidP="00970B54">
            <w:r w:rsidRPr="00BE150C">
              <w:t xml:space="preserve">In response to the 2015-16 stakeholder survey and </w:t>
            </w:r>
            <w:r w:rsidR="007F0804" w:rsidRPr="00BE150C">
              <w:t xml:space="preserve">Authority </w:t>
            </w:r>
            <w:r w:rsidRPr="00BE150C">
              <w:t xml:space="preserve">staff’s </w:t>
            </w:r>
            <w:r w:rsidR="007F0804" w:rsidRPr="00BE150C">
              <w:t xml:space="preserve">feedback, </w:t>
            </w:r>
            <w:r w:rsidRPr="00BE150C">
              <w:t>improvements</w:t>
            </w:r>
            <w:r w:rsidR="00990EE7" w:rsidRPr="00BE150C">
              <w:t xml:space="preserve"> were </w:t>
            </w:r>
            <w:r w:rsidR="007C353B" w:rsidRPr="00BE150C">
              <w:t xml:space="preserve">made </w:t>
            </w:r>
            <w:r w:rsidRPr="00BE150C">
              <w:t xml:space="preserve">to the wording of the AIP plan template, </w:t>
            </w:r>
            <w:r w:rsidR="00990EE7" w:rsidRPr="00BE150C">
              <w:t xml:space="preserve">AIP plan </w:t>
            </w:r>
            <w:r w:rsidRPr="00BE150C">
              <w:t>summ</w:t>
            </w:r>
            <w:r w:rsidR="00990EE7" w:rsidRPr="00BE150C">
              <w:t>ary templates, user guide and Frequently Asked Questions</w:t>
            </w:r>
            <w:r w:rsidR="00FD1F85" w:rsidRPr="00BE150C">
              <w:t xml:space="preserve"> (FAQ)</w:t>
            </w:r>
            <w:r w:rsidR="00990EE7" w:rsidRPr="00BE150C">
              <w:t xml:space="preserve"> documents</w:t>
            </w:r>
            <w:r w:rsidR="007F0804" w:rsidRPr="00BE150C">
              <w:t>.</w:t>
            </w:r>
            <w:r w:rsidRPr="00BE150C">
              <w:t xml:space="preserve"> </w:t>
            </w:r>
            <w:r w:rsidR="007C353B" w:rsidRPr="00BE150C">
              <w:t xml:space="preserve">They provide greater clarity on requirements and address common errors in completing the templates. </w:t>
            </w:r>
            <w:r w:rsidR="007F0804" w:rsidRPr="00BE150C">
              <w:t xml:space="preserve">Amendments are compliant with the AIP plan rules in the Jobs Act and do not represent any reduction of proponents’ </w:t>
            </w:r>
            <w:r w:rsidR="00990EE7" w:rsidRPr="00BE150C">
              <w:t xml:space="preserve">Jobs Act </w:t>
            </w:r>
            <w:r w:rsidR="007F0804" w:rsidRPr="00BE150C">
              <w:t xml:space="preserve">obligations. </w:t>
            </w:r>
            <w:r w:rsidR="00CE1F04" w:rsidRPr="00BE150C">
              <w:t>However, due to the need to cover off all the requirements of the AIP plan rules, t</w:t>
            </w:r>
            <w:r w:rsidR="007F0804" w:rsidRPr="00BE150C">
              <w:t>here continues to be some repetition in the questions in the AIP plan template</w:t>
            </w:r>
            <w:r w:rsidR="00CE1F04" w:rsidRPr="00BE150C">
              <w:t>.</w:t>
            </w:r>
            <w:r w:rsidR="007F0804" w:rsidRPr="00BE150C">
              <w:t xml:space="preserve"> </w:t>
            </w:r>
          </w:p>
          <w:p w14:paraId="5B75DA1C" w14:textId="3B708CD8" w:rsidR="00FD0D74" w:rsidRPr="00BE150C" w:rsidRDefault="004B5944" w:rsidP="00970B54">
            <w:pPr>
              <w:rPr>
                <w:szCs w:val="24"/>
              </w:rPr>
            </w:pPr>
            <w:r w:rsidRPr="00BE150C">
              <w:t>These updated documents are available at the AIP website and the</w:t>
            </w:r>
            <w:r w:rsidR="00990EE7" w:rsidRPr="00BE150C">
              <w:t xml:space="preserve"> </w:t>
            </w:r>
            <w:r w:rsidRPr="00BE150C">
              <w:t xml:space="preserve">Authority will monitor the </w:t>
            </w:r>
            <w:r w:rsidR="00325FB1" w:rsidRPr="00BE150C">
              <w:t>performance</w:t>
            </w:r>
            <w:r w:rsidR="00C34343" w:rsidRPr="00BE150C">
              <w:t>/effect</w:t>
            </w:r>
            <w:r w:rsidRPr="00BE150C">
              <w:t xml:space="preserve"> of these impro</w:t>
            </w:r>
            <w:r w:rsidR="00133195" w:rsidRPr="00BE150C">
              <w:t>vements on regulated entities.</w:t>
            </w:r>
          </w:p>
        </w:tc>
      </w:tr>
    </w:tbl>
    <w:p w14:paraId="7382FC97" w14:textId="77777777" w:rsidR="0098655C" w:rsidRPr="00BE150C" w:rsidRDefault="0098655C" w:rsidP="00970B54"/>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8655C" w:rsidRPr="00BE150C" w14:paraId="28B6A233" w14:textId="77777777" w:rsidTr="0098655C">
        <w:tc>
          <w:tcPr>
            <w:tcW w:w="8544" w:type="dxa"/>
            <w:shd w:val="clear" w:color="auto" w:fill="005677" w:themeFill="accent1"/>
          </w:tcPr>
          <w:p w14:paraId="03211F33" w14:textId="77777777" w:rsidR="0098655C" w:rsidRPr="00BE150C" w:rsidRDefault="0098655C" w:rsidP="00970B54">
            <w:pPr>
              <w:pStyle w:val="Heading2"/>
              <w:outlineLvl w:val="1"/>
            </w:pPr>
            <w:bookmarkStart w:id="37" w:name="_Toc455036862"/>
            <w:bookmarkStart w:id="38" w:name="_Toc481139982"/>
            <w:r w:rsidRPr="00BE150C">
              <w:t>KPI 2</w:t>
            </w:r>
            <w:bookmarkEnd w:id="37"/>
            <w:r w:rsidR="002F6C60" w:rsidRPr="00BE150C">
              <w:t xml:space="preserve">: </w:t>
            </w:r>
            <w:r w:rsidR="002F6C60" w:rsidRPr="00BE150C">
              <w:rPr>
                <w:szCs w:val="22"/>
              </w:rPr>
              <w:t>Communication with regulated entities is clear, targeted and effective</w:t>
            </w:r>
            <w:bookmarkEnd w:id="38"/>
          </w:p>
        </w:tc>
      </w:tr>
      <w:tr w:rsidR="0098655C" w:rsidRPr="00BE150C" w14:paraId="3C91E83E" w14:textId="77777777" w:rsidTr="0098655C">
        <w:trPr>
          <w:trHeight w:val="1966"/>
        </w:trPr>
        <w:tc>
          <w:tcPr>
            <w:tcW w:w="8544" w:type="dxa"/>
          </w:tcPr>
          <w:p w14:paraId="55CA03BA" w14:textId="31F60EA4" w:rsidR="008C505D" w:rsidRPr="00BE150C" w:rsidRDefault="008C505D" w:rsidP="00970B54">
            <w:pPr>
              <w:rPr>
                <w:b/>
                <w:u w:val="single"/>
              </w:rPr>
            </w:pPr>
            <w:r w:rsidRPr="00BE150C">
              <w:rPr>
                <w:b/>
                <w:u w:val="single"/>
              </w:rPr>
              <w:t>KPI expectations and performance measures</w:t>
            </w:r>
          </w:p>
          <w:p w14:paraId="01793AA0" w14:textId="77777777" w:rsidR="00DB5B35" w:rsidRPr="00BE150C" w:rsidRDefault="00DB5B35" w:rsidP="00970B54">
            <w:r w:rsidRPr="00BE150C">
              <w:t>KP</w:t>
            </w:r>
            <w:r w:rsidR="00B6666B" w:rsidRPr="00BE150C">
              <w:t xml:space="preserve">I </w:t>
            </w:r>
            <w:r w:rsidRPr="00BE150C">
              <w:t xml:space="preserve">2 </w:t>
            </w:r>
            <w:r w:rsidR="00526FED" w:rsidRPr="00BE150C">
              <w:t>addresses</w:t>
            </w:r>
            <w:r w:rsidRPr="00BE150C">
              <w:t xml:space="preserve"> whether regulators are communicating in such a way that regulated entities understand </w:t>
            </w:r>
            <w:r w:rsidR="00B6666B" w:rsidRPr="00BE150C">
              <w:t>regulatory obligations</w:t>
            </w:r>
            <w:r w:rsidRPr="00BE150C">
              <w:t>.</w:t>
            </w:r>
          </w:p>
          <w:p w14:paraId="22CACA2B" w14:textId="77777777" w:rsidR="0013135A" w:rsidRPr="00BE150C" w:rsidRDefault="0013135A" w:rsidP="00970B54">
            <w:r w:rsidRPr="00BE150C">
              <w:t xml:space="preserve">This KPI is linked to </w:t>
            </w:r>
            <w:r w:rsidRPr="00BE150C">
              <w:rPr>
                <w:szCs w:val="20"/>
              </w:rPr>
              <w:t>clarity of expectations and decision-making (PM 3) and stakeholder engagement (PM 4)</w:t>
            </w:r>
            <w:r w:rsidRPr="00BE150C">
              <w:rPr>
                <w:b/>
                <w:szCs w:val="20"/>
              </w:rPr>
              <w:t xml:space="preserve">. </w:t>
            </w:r>
            <w:r w:rsidRPr="00BE150C">
              <w:t>These measures were used to assess against this KPI as it addresses whether regulators are communicating in such a way that regulated entities understand regulatory obligations and how to meet them.</w:t>
            </w:r>
          </w:p>
          <w:p w14:paraId="58BA9662" w14:textId="77777777" w:rsidR="008D4ACD" w:rsidRPr="00BE150C" w:rsidRDefault="008D4ACD" w:rsidP="00970B54">
            <w:pPr>
              <w:pStyle w:val="CommentText"/>
              <w:rPr>
                <w:sz w:val="20"/>
                <w:szCs w:val="22"/>
              </w:rPr>
            </w:pPr>
            <w:r w:rsidRPr="00BE150C">
              <w:rPr>
                <w:sz w:val="20"/>
                <w:szCs w:val="22"/>
              </w:rPr>
              <w:t>Measures used for this KPI:</w:t>
            </w:r>
          </w:p>
          <w:p w14:paraId="09280CE0" w14:textId="36E2F2DF" w:rsidR="008D4ACD" w:rsidRPr="00BE150C" w:rsidRDefault="008D4ACD" w:rsidP="00970B54">
            <w:pPr>
              <w:pStyle w:val="ListParagraph"/>
              <w:numPr>
                <w:ilvl w:val="0"/>
                <w:numId w:val="11"/>
              </w:numPr>
              <w:rPr>
                <w:sz w:val="20"/>
              </w:rPr>
            </w:pPr>
            <w:r w:rsidRPr="00BE150C">
              <w:rPr>
                <w:sz w:val="20"/>
              </w:rPr>
              <w:t>Clarity of expectations and decision-making (PM 3): Regulated entities are clear as to the expectations of the Authority on requirements under the</w:t>
            </w:r>
            <w:r w:rsidR="007C0B80" w:rsidRPr="00BE150C">
              <w:rPr>
                <w:sz w:val="20"/>
              </w:rPr>
              <w:t xml:space="preserve"> Jobs</w:t>
            </w:r>
            <w:r w:rsidRPr="00BE150C">
              <w:rPr>
                <w:sz w:val="20"/>
              </w:rPr>
              <w:t xml:space="preserve"> </w:t>
            </w:r>
            <w:r w:rsidR="00A37E6D" w:rsidRPr="00BE150C">
              <w:rPr>
                <w:sz w:val="20"/>
              </w:rPr>
              <w:t>Act</w:t>
            </w:r>
            <w:r w:rsidRPr="00BE150C">
              <w:rPr>
                <w:sz w:val="20"/>
              </w:rPr>
              <w:t>. In addition</w:t>
            </w:r>
            <w:r w:rsidR="009E6B32" w:rsidRPr="00BE150C">
              <w:rPr>
                <w:sz w:val="20"/>
              </w:rPr>
              <w:t>,</w:t>
            </w:r>
            <w:r w:rsidRPr="00BE150C">
              <w:rPr>
                <w:sz w:val="20"/>
              </w:rPr>
              <w:t xml:space="preserve"> entities are provided with informative and clear advice as to reasons for an adverse decision given to them including avenues of appeal.</w:t>
            </w:r>
          </w:p>
          <w:p w14:paraId="6082B24F" w14:textId="77777777" w:rsidR="008D4ACD" w:rsidRPr="00BE150C" w:rsidRDefault="008D4ACD" w:rsidP="00970B54">
            <w:pPr>
              <w:pStyle w:val="ListParagraph"/>
              <w:numPr>
                <w:ilvl w:val="0"/>
                <w:numId w:val="11"/>
              </w:numPr>
              <w:rPr>
                <w:sz w:val="20"/>
              </w:rPr>
            </w:pPr>
            <w:r w:rsidRPr="00BE150C">
              <w:rPr>
                <w:sz w:val="20"/>
              </w:rPr>
              <w:t>Stakeholder engagement (PM 4): Evidence of targeted, effective and relevant engagement with stakeholders to gain feedback or input on policy or administration changes, organisational improvements and better understanding of the regulatory cost impact.</w:t>
            </w:r>
          </w:p>
          <w:p w14:paraId="08EA03DE" w14:textId="77777777" w:rsidR="008C505D" w:rsidRPr="00BE150C" w:rsidRDefault="008C505D" w:rsidP="00970B54">
            <w:pPr>
              <w:rPr>
                <w:b/>
                <w:u w:val="single"/>
              </w:rPr>
            </w:pPr>
            <w:r w:rsidRPr="00BE150C">
              <w:rPr>
                <w:b/>
                <w:u w:val="single"/>
              </w:rPr>
              <w:t>Authority’s approach</w:t>
            </w:r>
          </w:p>
          <w:p w14:paraId="10FF5EBD" w14:textId="60ADBA5D" w:rsidR="00526FED" w:rsidRPr="00BE150C" w:rsidRDefault="00526FED" w:rsidP="00970B54">
            <w:r w:rsidRPr="00BE150C">
              <w:t xml:space="preserve">All major project proponents who have submitted draft AIP plans </w:t>
            </w:r>
            <w:r w:rsidR="0036078A" w:rsidRPr="00BE150C">
              <w:t>receive</w:t>
            </w:r>
            <w:r w:rsidRPr="00BE150C">
              <w:t xml:space="preserve"> feedback. Authority</w:t>
            </w:r>
            <w:r w:rsidR="0036078A" w:rsidRPr="00BE150C">
              <w:t xml:space="preserve"> staff provide</w:t>
            </w:r>
            <w:r w:rsidRPr="00BE150C">
              <w:t xml:space="preserve"> tailored advice via email, phone and occasionally in person. </w:t>
            </w:r>
            <w:r w:rsidR="007C0B80" w:rsidRPr="00BE150C">
              <w:t xml:space="preserve">The </w:t>
            </w:r>
            <w:r w:rsidR="00B6666B" w:rsidRPr="00BE150C">
              <w:t>Authority</w:t>
            </w:r>
            <w:r w:rsidR="007C0B80" w:rsidRPr="00BE150C">
              <w:t>’s</w:t>
            </w:r>
            <w:r w:rsidR="00B6666B" w:rsidRPr="00BE150C">
              <w:t xml:space="preserve"> expectations are available to stakeholders </w:t>
            </w:r>
            <w:r w:rsidR="009E6B32" w:rsidRPr="00BE150C">
              <w:t>in the user guide</w:t>
            </w:r>
            <w:r w:rsidR="00B6666B" w:rsidRPr="00BE150C">
              <w:t>.</w:t>
            </w:r>
          </w:p>
          <w:p w14:paraId="2FE22A90" w14:textId="3963A0EC" w:rsidR="005B126E" w:rsidRPr="00BE150C" w:rsidRDefault="005B126E" w:rsidP="00970B54">
            <w:r w:rsidRPr="00BE150C">
              <w:t>As mentioned above, the</w:t>
            </w:r>
            <w:r w:rsidR="007C0B80" w:rsidRPr="00BE150C">
              <w:t xml:space="preserve"> </w:t>
            </w:r>
            <w:r w:rsidRPr="00BE150C">
              <w:t>Authority has a website which outlines the requirements of the legislation. The website also houses a number of user guides to assist proponents in meeting obligations under the</w:t>
            </w:r>
            <w:r w:rsidR="007C0B80" w:rsidRPr="00BE150C">
              <w:t xml:space="preserve"> Jobs</w:t>
            </w:r>
            <w:r w:rsidRPr="00BE150C">
              <w:t xml:space="preserve"> </w:t>
            </w:r>
            <w:r w:rsidR="00A37E6D" w:rsidRPr="00BE150C">
              <w:t>Act</w:t>
            </w:r>
            <w:r w:rsidRPr="00BE150C">
              <w:t>. Respondents to the</w:t>
            </w:r>
            <w:r w:rsidR="007C0B80" w:rsidRPr="00BE150C">
              <w:t xml:space="preserve"> 2015-16</w:t>
            </w:r>
            <w:r w:rsidRPr="00BE150C">
              <w:t xml:space="preserve"> stakeholder survey suggested the development of </w:t>
            </w:r>
            <w:r w:rsidR="00983E05" w:rsidRPr="00BE150C">
              <w:t>example</w:t>
            </w:r>
            <w:r w:rsidRPr="00BE150C">
              <w:t xml:space="preserve"> AIP plans and </w:t>
            </w:r>
            <w:r w:rsidR="005E338F" w:rsidRPr="00BE150C">
              <w:t xml:space="preserve">compliance </w:t>
            </w:r>
            <w:r w:rsidRPr="00BE150C">
              <w:t>reports would provide additional assistance in meeting</w:t>
            </w:r>
            <w:r w:rsidR="009E6B32" w:rsidRPr="00BE150C">
              <w:t xml:space="preserve"> the</w:t>
            </w:r>
            <w:r w:rsidRPr="00BE150C">
              <w:t xml:space="preserve"> Authority</w:t>
            </w:r>
            <w:r w:rsidR="009E6B32" w:rsidRPr="00BE150C">
              <w:t>’s</w:t>
            </w:r>
            <w:r w:rsidRPr="00BE150C">
              <w:t xml:space="preserve"> expectations.</w:t>
            </w:r>
            <w:r w:rsidR="00701E72" w:rsidRPr="00BE150C">
              <w:t xml:space="preserve"> This idea</w:t>
            </w:r>
            <w:r w:rsidR="007C0B80" w:rsidRPr="00BE150C">
              <w:t xml:space="preserve"> was considered but given that</w:t>
            </w:r>
            <w:r w:rsidR="00701E72" w:rsidRPr="00BE150C">
              <w:t xml:space="preserve"> projects </w:t>
            </w:r>
            <w:r w:rsidR="00646EE1" w:rsidRPr="00BE150C">
              <w:t>covered</w:t>
            </w:r>
            <w:r w:rsidR="00701E72" w:rsidRPr="00BE150C">
              <w:t xml:space="preserve"> under the</w:t>
            </w:r>
            <w:r w:rsidR="007C0B80" w:rsidRPr="00BE150C">
              <w:t xml:space="preserve"> Jobs</w:t>
            </w:r>
            <w:r w:rsidR="00701E72" w:rsidRPr="00BE150C">
              <w:t xml:space="preserve"> </w:t>
            </w:r>
            <w:r w:rsidR="00A37E6D" w:rsidRPr="00BE150C">
              <w:t>Act</w:t>
            </w:r>
            <w:r w:rsidR="00701E72" w:rsidRPr="00BE150C">
              <w:t xml:space="preserve"> are quite varied</w:t>
            </w:r>
            <w:r w:rsidR="007C0B80" w:rsidRPr="00BE150C">
              <w:t xml:space="preserve">, </w:t>
            </w:r>
            <w:r w:rsidR="00A422F3" w:rsidRPr="00BE150C">
              <w:t>it will</w:t>
            </w:r>
            <w:r w:rsidR="00701E72" w:rsidRPr="00BE150C">
              <w:t xml:space="preserve"> be difficult</w:t>
            </w:r>
            <w:r w:rsidR="00FC3B27" w:rsidRPr="00BE150C">
              <w:t xml:space="preserve"> and of little value</w:t>
            </w:r>
            <w:r w:rsidR="00701E72" w:rsidRPr="00BE150C">
              <w:t xml:space="preserve"> to provide an example that will assist all projects.</w:t>
            </w:r>
          </w:p>
          <w:p w14:paraId="1287AF1B" w14:textId="64B19D4A" w:rsidR="00A841A3" w:rsidRPr="00BE150C" w:rsidRDefault="00983E05" w:rsidP="00970B54">
            <w:r w:rsidRPr="00BE150C">
              <w:t xml:space="preserve">Throughout the project, </w:t>
            </w:r>
            <w:r w:rsidR="00F231CF" w:rsidRPr="00BE150C">
              <w:t>Authority staff interact with regulated entities to build understanding and provide appropriate advice. Phone and email contact details are available on the AIP website. When a proponent contacts the Authority, a case manager</w:t>
            </w:r>
            <w:r w:rsidRPr="00BE150C">
              <w:t xml:space="preserve"> is allocated</w:t>
            </w:r>
            <w:r w:rsidR="00F231CF" w:rsidRPr="00BE150C">
              <w:t>, however any member of the Authority staff can respond to calls and enquiries received on the</w:t>
            </w:r>
            <w:r w:rsidR="00D0468B" w:rsidRPr="00BE150C">
              <w:t xml:space="preserve"> AIP</w:t>
            </w:r>
            <w:r w:rsidR="00F231CF" w:rsidRPr="00BE150C">
              <w:t xml:space="preserve"> hotline or </w:t>
            </w:r>
            <w:r w:rsidR="00D0468B" w:rsidRPr="00BE150C">
              <w:t>AIP in</w:t>
            </w:r>
            <w:r w:rsidR="00F231CF" w:rsidRPr="00BE150C">
              <w:t>box. Contact details are also provided in written communication sent from the Authority when notifying major projects of potential obligations under the</w:t>
            </w:r>
            <w:r w:rsidR="00D0468B" w:rsidRPr="00BE150C">
              <w:t xml:space="preserve"> Jobs</w:t>
            </w:r>
            <w:r w:rsidR="00F231CF" w:rsidRPr="00BE150C">
              <w:t xml:space="preserve"> </w:t>
            </w:r>
            <w:r w:rsidR="00A37E6D" w:rsidRPr="00BE150C">
              <w:t>Act</w:t>
            </w:r>
            <w:r w:rsidR="00F231CF" w:rsidRPr="00BE150C">
              <w:t>. This demonstrates openness to communication from the</w:t>
            </w:r>
            <w:r w:rsidR="00D0468B" w:rsidRPr="00BE150C">
              <w:t xml:space="preserve"> </w:t>
            </w:r>
            <w:r w:rsidR="00F231CF" w:rsidRPr="00BE150C">
              <w:t xml:space="preserve">Authority. </w:t>
            </w:r>
          </w:p>
          <w:p w14:paraId="7A555BA6" w14:textId="211D5D27" w:rsidR="00DB5B35" w:rsidRPr="00BE150C" w:rsidRDefault="00E25FBA" w:rsidP="00970B54">
            <w:r w:rsidRPr="00BE150C">
              <w:t xml:space="preserve">As required by </w:t>
            </w:r>
            <w:r w:rsidR="0073046D" w:rsidRPr="00BE150C">
              <w:t>s</w:t>
            </w:r>
            <w:r w:rsidRPr="00BE150C">
              <w:t>ection 23 of the</w:t>
            </w:r>
            <w:r w:rsidR="00D0468B" w:rsidRPr="00BE150C">
              <w:t xml:space="preserve"> Jobs</w:t>
            </w:r>
            <w:r w:rsidRPr="00BE150C">
              <w:t xml:space="preserve"> </w:t>
            </w:r>
            <w:r w:rsidR="00A37E6D" w:rsidRPr="00BE150C">
              <w:t>Act</w:t>
            </w:r>
            <w:r w:rsidRPr="00BE150C">
              <w:t>, t</w:t>
            </w:r>
            <w:r w:rsidR="00396C2B" w:rsidRPr="00BE150C">
              <w:t>he</w:t>
            </w:r>
            <w:r w:rsidR="00A841A3" w:rsidRPr="00BE150C">
              <w:t xml:space="preserve"> Authority </w:t>
            </w:r>
            <w:r w:rsidRPr="00BE150C">
              <w:t xml:space="preserve">maintains a register of all approved AIP plans in force along with </w:t>
            </w:r>
            <w:r w:rsidR="00A841A3" w:rsidRPr="00BE150C">
              <w:t xml:space="preserve">the </w:t>
            </w:r>
            <w:r w:rsidR="00396C2B" w:rsidRPr="00BE150C">
              <w:t>dates</w:t>
            </w:r>
            <w:r w:rsidR="00BF39B2" w:rsidRPr="00BE150C">
              <w:t xml:space="preserve"> when</w:t>
            </w:r>
            <w:r w:rsidR="00396C2B" w:rsidRPr="00BE150C">
              <w:t xml:space="preserve"> </w:t>
            </w:r>
            <w:r w:rsidR="000E70A0" w:rsidRPr="00BE150C">
              <w:t xml:space="preserve">notifications, </w:t>
            </w:r>
            <w:r w:rsidR="00396C2B" w:rsidRPr="00BE150C">
              <w:t xml:space="preserve">plans and </w:t>
            </w:r>
            <w:r w:rsidR="000E70A0" w:rsidRPr="00BE150C">
              <w:t xml:space="preserve">compliance </w:t>
            </w:r>
            <w:r w:rsidR="00396C2B" w:rsidRPr="00BE150C">
              <w:t xml:space="preserve">reports </w:t>
            </w:r>
            <w:r w:rsidR="0036078A" w:rsidRPr="00BE150C">
              <w:t xml:space="preserve">are </w:t>
            </w:r>
            <w:r w:rsidR="00B6666B" w:rsidRPr="00BE150C">
              <w:t xml:space="preserve">received and </w:t>
            </w:r>
            <w:r w:rsidR="000E70A0" w:rsidRPr="00BE150C">
              <w:t xml:space="preserve">the </w:t>
            </w:r>
            <w:r w:rsidR="00B6666B" w:rsidRPr="00BE150C">
              <w:t xml:space="preserve">date of </w:t>
            </w:r>
            <w:r w:rsidR="00BF76D3" w:rsidRPr="00BE150C">
              <w:t xml:space="preserve">the </w:t>
            </w:r>
            <w:r w:rsidR="0036078A" w:rsidRPr="00BE150C">
              <w:t>Authority</w:t>
            </w:r>
            <w:r w:rsidR="000E70A0" w:rsidRPr="00BE150C">
              <w:t>’s</w:t>
            </w:r>
            <w:r w:rsidR="00A841A3" w:rsidRPr="00BE150C">
              <w:t xml:space="preserve"> </w:t>
            </w:r>
            <w:r w:rsidR="00396C2B" w:rsidRPr="00BE150C">
              <w:t xml:space="preserve">response. </w:t>
            </w:r>
            <w:r w:rsidR="00A841A3" w:rsidRPr="00BE150C">
              <w:t xml:space="preserve">The Authority has implemented an internal policy of </w:t>
            </w:r>
            <w:r w:rsidR="00F231CF" w:rsidRPr="00BE150C">
              <w:t>resolving</w:t>
            </w:r>
            <w:r w:rsidR="00A841A3" w:rsidRPr="00BE150C">
              <w:t xml:space="preserve"> enquiries within </w:t>
            </w:r>
            <w:r w:rsidR="00BF39B2" w:rsidRPr="00BE150C">
              <w:t xml:space="preserve">10 </w:t>
            </w:r>
            <w:r w:rsidR="00396C2B" w:rsidRPr="00BE150C">
              <w:t>business days.</w:t>
            </w:r>
            <w:r w:rsidR="00BF39B2" w:rsidRPr="00BE150C">
              <w:t xml:space="preserve"> In 2016-17</w:t>
            </w:r>
            <w:r w:rsidR="00BC2ED1" w:rsidRPr="00BE150C">
              <w:t>, Authority</w:t>
            </w:r>
            <w:r w:rsidR="0036078A" w:rsidRPr="00BE150C">
              <w:t xml:space="preserve"> staff</w:t>
            </w:r>
            <w:r w:rsidR="00BC2ED1" w:rsidRPr="00BE150C">
              <w:t xml:space="preserve"> </w:t>
            </w:r>
            <w:r w:rsidR="009E6B32" w:rsidRPr="00BE150C">
              <w:t>had</w:t>
            </w:r>
            <w:r w:rsidR="00701E72" w:rsidRPr="00BE150C">
              <w:t xml:space="preserve"> a 100% success rate responding within</w:t>
            </w:r>
            <w:r w:rsidR="00BC2ED1" w:rsidRPr="00BE150C">
              <w:t xml:space="preserve"> </w:t>
            </w:r>
            <w:r w:rsidR="00701E72" w:rsidRPr="00BE150C">
              <w:t xml:space="preserve">the required </w:t>
            </w:r>
            <w:r w:rsidR="00BC2ED1" w:rsidRPr="00BE150C">
              <w:t xml:space="preserve">timeframe. All </w:t>
            </w:r>
            <w:r w:rsidR="00396C2B" w:rsidRPr="00BE150C">
              <w:t>major project</w:t>
            </w:r>
            <w:r w:rsidR="00BC2ED1" w:rsidRPr="00BE150C">
              <w:t xml:space="preserve"> AIP plan submissions</w:t>
            </w:r>
            <w:r w:rsidR="00BF39B2" w:rsidRPr="00BE150C">
              <w:t>, including resubmissions,</w:t>
            </w:r>
            <w:r w:rsidR="00396C2B" w:rsidRPr="00BE150C">
              <w:t xml:space="preserve"> listed in the register </w:t>
            </w:r>
            <w:r w:rsidR="009E6B32" w:rsidRPr="00BE150C">
              <w:t>were</w:t>
            </w:r>
            <w:r w:rsidR="00396C2B" w:rsidRPr="00BE150C">
              <w:t xml:space="preserve"> </w:t>
            </w:r>
            <w:r w:rsidR="00BC2ED1" w:rsidRPr="00BE150C">
              <w:t xml:space="preserve">approved or refused </w:t>
            </w:r>
            <w:r w:rsidR="00396C2B" w:rsidRPr="00BE150C">
              <w:t>within the 30 day</w:t>
            </w:r>
            <w:r w:rsidR="00BC2ED1" w:rsidRPr="00BE150C">
              <w:t xml:space="preserve"> timeframe</w:t>
            </w:r>
            <w:r w:rsidR="00396C2B" w:rsidRPr="00BE150C">
              <w:t xml:space="preserve">. </w:t>
            </w:r>
          </w:p>
          <w:p w14:paraId="37A9DC07" w14:textId="14CF2CEE" w:rsidR="00396C2B" w:rsidRPr="00BE150C" w:rsidRDefault="00396C2B" w:rsidP="00970B54">
            <w:r w:rsidRPr="00BE150C">
              <w:t>The</w:t>
            </w:r>
            <w:r w:rsidR="008761BE" w:rsidRPr="00BE150C">
              <w:t xml:space="preserve"> </w:t>
            </w:r>
            <w:r w:rsidRPr="00BE150C">
              <w:t xml:space="preserve">Authority demonstrates accountability and transparency </w:t>
            </w:r>
            <w:r w:rsidR="0036078A" w:rsidRPr="00BE150C">
              <w:t>through its</w:t>
            </w:r>
            <w:r w:rsidR="00DB5B35" w:rsidRPr="00BE150C">
              <w:t xml:space="preserve"> legislated</w:t>
            </w:r>
            <w:r w:rsidR="00F82086" w:rsidRPr="00BE150C">
              <w:t xml:space="preserve"> </w:t>
            </w:r>
            <w:r w:rsidRPr="00BE150C">
              <w:t>annual report</w:t>
            </w:r>
            <w:r w:rsidR="00F82086" w:rsidRPr="00BE150C">
              <w:t xml:space="preserve"> (</w:t>
            </w:r>
            <w:r w:rsidR="0073046D" w:rsidRPr="00BE150C">
              <w:t>s</w:t>
            </w:r>
            <w:r w:rsidR="00F82086" w:rsidRPr="00BE150C">
              <w:t>ection 83 of the</w:t>
            </w:r>
            <w:r w:rsidR="00F84FD6" w:rsidRPr="00BE150C">
              <w:t xml:space="preserve"> Jobs</w:t>
            </w:r>
            <w:r w:rsidR="00F82086" w:rsidRPr="00BE150C">
              <w:t xml:space="preserve"> Act). At the end of each financial year, a report on the operations of the Authority </w:t>
            </w:r>
            <w:r w:rsidR="00983E05" w:rsidRPr="00BE150C">
              <w:t>must be provided</w:t>
            </w:r>
            <w:r w:rsidR="00B6666B" w:rsidRPr="00BE150C">
              <w:t xml:space="preserve"> to the Minister for presentation to the Parliament</w:t>
            </w:r>
            <w:r w:rsidRPr="00BE150C">
              <w:t xml:space="preserve">. </w:t>
            </w:r>
            <w:r w:rsidR="000E70A0" w:rsidRPr="00BE150C">
              <w:t>The Authority’s</w:t>
            </w:r>
            <w:r w:rsidRPr="00BE150C">
              <w:t xml:space="preserve"> annual report </w:t>
            </w:r>
            <w:r w:rsidR="000E70A0" w:rsidRPr="00BE150C">
              <w:t xml:space="preserve">is published as an appendix to the department’s </w:t>
            </w:r>
            <w:r w:rsidR="008761BE" w:rsidRPr="00BE150C">
              <w:t>a</w:t>
            </w:r>
            <w:r w:rsidR="000E70A0" w:rsidRPr="00BE150C">
              <w:t xml:space="preserve">nnual </w:t>
            </w:r>
            <w:r w:rsidR="008761BE" w:rsidRPr="00BE150C">
              <w:t>r</w:t>
            </w:r>
            <w:r w:rsidR="000E70A0" w:rsidRPr="00BE150C">
              <w:t xml:space="preserve">eport and </w:t>
            </w:r>
            <w:r w:rsidR="00391A52" w:rsidRPr="00BE150C">
              <w:t>is available</w:t>
            </w:r>
            <w:r w:rsidRPr="00BE150C">
              <w:t xml:space="preserve"> on the department</w:t>
            </w:r>
            <w:r w:rsidR="00AC19EC" w:rsidRPr="00BE150C">
              <w:t>’s</w:t>
            </w:r>
            <w:r w:rsidRPr="00BE150C">
              <w:t xml:space="preserve"> website.</w:t>
            </w:r>
            <w:r w:rsidR="00CE1124" w:rsidRPr="00BE150C">
              <w:t xml:space="preserve"> The 2016-17 annual report will be published as part of the department’s annual report by October 2017.  </w:t>
            </w:r>
          </w:p>
          <w:p w14:paraId="51DF1200" w14:textId="705AE747" w:rsidR="00FD0D74" w:rsidRPr="00BE150C" w:rsidRDefault="008C505D" w:rsidP="00970B54">
            <w:pPr>
              <w:rPr>
                <w:b/>
                <w:szCs w:val="24"/>
                <w:u w:val="single"/>
              </w:rPr>
            </w:pPr>
            <w:r w:rsidRPr="00BE150C">
              <w:rPr>
                <w:b/>
                <w:szCs w:val="24"/>
                <w:u w:val="single"/>
              </w:rPr>
              <w:t xml:space="preserve">2015-16 </w:t>
            </w:r>
            <w:r w:rsidR="00533C17" w:rsidRPr="00BE150C">
              <w:rPr>
                <w:b/>
                <w:szCs w:val="24"/>
                <w:u w:val="single"/>
              </w:rPr>
              <w:t>s</w:t>
            </w:r>
            <w:r w:rsidRPr="00BE150C">
              <w:rPr>
                <w:b/>
                <w:szCs w:val="24"/>
                <w:u w:val="single"/>
              </w:rPr>
              <w:t>urvey results</w:t>
            </w:r>
          </w:p>
          <w:p w14:paraId="688C3B25" w14:textId="2D91DCA6" w:rsidR="008C505D" w:rsidRPr="00BE150C" w:rsidRDefault="008C505D" w:rsidP="00970B54">
            <w:pPr>
              <w:rPr>
                <w:szCs w:val="24"/>
              </w:rPr>
            </w:pPr>
            <w:r w:rsidRPr="00BE150C">
              <w:rPr>
                <w:szCs w:val="24"/>
              </w:rPr>
              <w:t xml:space="preserve">Responses to this KPI included suggestions to make available a mock-up AIP plan </w:t>
            </w:r>
            <w:r w:rsidR="00A61DA6" w:rsidRPr="00BE150C">
              <w:rPr>
                <w:szCs w:val="24"/>
              </w:rPr>
              <w:t xml:space="preserve">and </w:t>
            </w:r>
            <w:r w:rsidRPr="00BE150C">
              <w:rPr>
                <w:szCs w:val="24"/>
              </w:rPr>
              <w:t xml:space="preserve">compliance report to assist </w:t>
            </w:r>
            <w:r w:rsidR="00463148" w:rsidRPr="00BE150C">
              <w:rPr>
                <w:szCs w:val="24"/>
              </w:rPr>
              <w:t>proponents</w:t>
            </w:r>
            <w:r w:rsidRPr="00BE150C">
              <w:rPr>
                <w:szCs w:val="24"/>
              </w:rPr>
              <w:t xml:space="preserve"> in meeting the</w:t>
            </w:r>
            <w:r w:rsidR="00463148" w:rsidRPr="00BE150C">
              <w:rPr>
                <w:szCs w:val="24"/>
              </w:rPr>
              <w:t xml:space="preserve"> </w:t>
            </w:r>
            <w:r w:rsidRPr="00BE150C">
              <w:rPr>
                <w:szCs w:val="24"/>
              </w:rPr>
              <w:t xml:space="preserve">Authority’s expectations, a flow </w:t>
            </w:r>
            <w:r w:rsidR="00463148" w:rsidRPr="00BE150C">
              <w:rPr>
                <w:szCs w:val="24"/>
              </w:rPr>
              <w:t>chart which outlines</w:t>
            </w:r>
            <w:r w:rsidRPr="00BE150C">
              <w:rPr>
                <w:szCs w:val="24"/>
              </w:rPr>
              <w:t xml:space="preserve"> the AIP plan decision-making process, </w:t>
            </w:r>
            <w:r w:rsidR="00463148" w:rsidRPr="00BE150C">
              <w:rPr>
                <w:szCs w:val="24"/>
              </w:rPr>
              <w:t>the need for active marketing of AIP and</w:t>
            </w:r>
            <w:r w:rsidRPr="00BE150C">
              <w:rPr>
                <w:szCs w:val="24"/>
              </w:rPr>
              <w:t xml:space="preserve"> industry specific forums.  </w:t>
            </w:r>
          </w:p>
          <w:p w14:paraId="19AEF8D1" w14:textId="0448E4AE" w:rsidR="008C505D" w:rsidRPr="00BE150C" w:rsidRDefault="008C505D" w:rsidP="00970B54">
            <w:pPr>
              <w:rPr>
                <w:b/>
                <w:szCs w:val="24"/>
                <w:u w:val="single"/>
              </w:rPr>
            </w:pPr>
            <w:r w:rsidRPr="00BE150C">
              <w:rPr>
                <w:b/>
                <w:szCs w:val="24"/>
                <w:u w:val="single"/>
              </w:rPr>
              <w:t>Improvements</w:t>
            </w:r>
            <w:r w:rsidR="00EE77CB" w:rsidRPr="00BE150C">
              <w:rPr>
                <w:b/>
                <w:szCs w:val="24"/>
                <w:u w:val="single"/>
              </w:rPr>
              <w:t xml:space="preserve"> and activities</w:t>
            </w:r>
            <w:r w:rsidRPr="00BE150C">
              <w:rPr>
                <w:b/>
                <w:szCs w:val="24"/>
                <w:u w:val="single"/>
              </w:rPr>
              <w:t xml:space="preserve"> in 2016-17</w:t>
            </w:r>
          </w:p>
          <w:p w14:paraId="68AB21AF" w14:textId="0660FC01" w:rsidR="008C505D" w:rsidRPr="00BE150C" w:rsidRDefault="008C505D" w:rsidP="00970B54">
            <w:r w:rsidRPr="00BE150C">
              <w:rPr>
                <w:szCs w:val="24"/>
              </w:rPr>
              <w:t>The Authority is implementing a communication</w:t>
            </w:r>
            <w:r w:rsidR="00463148" w:rsidRPr="00BE150C">
              <w:rPr>
                <w:szCs w:val="24"/>
              </w:rPr>
              <w:t>s</w:t>
            </w:r>
            <w:r w:rsidRPr="00BE150C">
              <w:rPr>
                <w:szCs w:val="24"/>
              </w:rPr>
              <w:t xml:space="preserve"> strategy. </w:t>
            </w:r>
            <w:r w:rsidRPr="00BE150C">
              <w:t>In response to the 2015-16 stakeholder survey and Authority staff’s feedback,</w:t>
            </w:r>
            <w:r w:rsidR="004D1250" w:rsidRPr="00BE150C">
              <w:t xml:space="preserve"> a new AIP process map that outlines the decision-making process has been developed and published on the AIP website. </w:t>
            </w:r>
          </w:p>
          <w:p w14:paraId="3EAE01D6" w14:textId="7E8B6A5F" w:rsidR="00757A3E" w:rsidRPr="00BE150C" w:rsidRDefault="00757A3E" w:rsidP="00970B54">
            <w:r w:rsidRPr="00BE150C">
              <w:t xml:space="preserve">Authority staff participated in </w:t>
            </w:r>
            <w:r w:rsidR="007F075E" w:rsidRPr="00BE150C">
              <w:t xml:space="preserve">three </w:t>
            </w:r>
            <w:r w:rsidRPr="00BE150C">
              <w:t>meetings</w:t>
            </w:r>
            <w:r w:rsidR="00463148" w:rsidRPr="00BE150C">
              <w:t>,</w:t>
            </w:r>
            <w:r w:rsidR="00DC2BF1" w:rsidRPr="00BE150C">
              <w:t xml:space="preserve"> organised by the Major Project</w:t>
            </w:r>
            <w:r w:rsidR="009E6B32" w:rsidRPr="00BE150C">
              <w:t>s</w:t>
            </w:r>
            <w:r w:rsidR="00DC2BF1" w:rsidRPr="00BE150C">
              <w:t xml:space="preserve"> Facilitation Agency</w:t>
            </w:r>
            <w:r w:rsidR="00463148" w:rsidRPr="00BE150C">
              <w:t>,</w:t>
            </w:r>
            <w:r w:rsidRPr="00BE150C">
              <w:t xml:space="preserve"> with potential proponents in 2016-17 to communicate </w:t>
            </w:r>
            <w:r w:rsidR="00DD5666" w:rsidRPr="00BE150C">
              <w:t xml:space="preserve">Jobs Act </w:t>
            </w:r>
            <w:r w:rsidRPr="00BE150C">
              <w:t>obligations</w:t>
            </w:r>
            <w:r w:rsidR="00DD5666" w:rsidRPr="00BE150C">
              <w:t>, AIP plan requirements and AIP</w:t>
            </w:r>
            <w:r w:rsidR="00463148" w:rsidRPr="00BE150C">
              <w:t xml:space="preserve"> plan</w:t>
            </w:r>
            <w:r w:rsidR="00DD5666" w:rsidRPr="00BE150C">
              <w:t xml:space="preserve"> approval process.</w:t>
            </w:r>
            <w:r w:rsidRPr="00BE150C">
              <w:t xml:space="preserve"> </w:t>
            </w:r>
            <w:r w:rsidR="00DD5666" w:rsidRPr="00BE150C">
              <w:t>During these meetings, proponents’ project-specific queries were discussed and staff provided targeted responses, providing clarity and expectations of the</w:t>
            </w:r>
            <w:r w:rsidR="007F075E" w:rsidRPr="00BE150C">
              <w:t xml:space="preserve"> </w:t>
            </w:r>
            <w:r w:rsidR="00DD5666" w:rsidRPr="00BE150C">
              <w:t>Authority. Staff also provided ongoing support by following up with proponents via emails</w:t>
            </w:r>
            <w:r w:rsidR="007F075E" w:rsidRPr="00BE150C">
              <w:t xml:space="preserve"> and telephone</w:t>
            </w:r>
            <w:r w:rsidR="00DD5666" w:rsidRPr="00BE150C">
              <w:t xml:space="preserve"> after </w:t>
            </w:r>
            <w:r w:rsidR="00463148" w:rsidRPr="00BE150C">
              <w:t xml:space="preserve">the </w:t>
            </w:r>
            <w:r w:rsidR="00DD5666" w:rsidRPr="00BE150C">
              <w:t>meetings, providing information resources to assist proponents in developing their AIP plans</w:t>
            </w:r>
            <w:r w:rsidR="006C57E8" w:rsidRPr="00BE150C">
              <w:t xml:space="preserve"> and answer</w:t>
            </w:r>
            <w:r w:rsidR="00463148" w:rsidRPr="00BE150C">
              <w:t xml:space="preserve"> any</w:t>
            </w:r>
            <w:r w:rsidR="006C57E8" w:rsidRPr="00BE150C">
              <w:t xml:space="preserve"> further queries they may have.</w:t>
            </w:r>
          </w:p>
          <w:p w14:paraId="746A6E59" w14:textId="6A678062" w:rsidR="005D3307" w:rsidRPr="00BE150C" w:rsidRDefault="007F075E" w:rsidP="00970B54">
            <w:r w:rsidRPr="00BE150C">
              <w:t>Authority s</w:t>
            </w:r>
            <w:r w:rsidR="005D3307" w:rsidRPr="00BE150C">
              <w:t xml:space="preserve">taff also attended </w:t>
            </w:r>
            <w:r w:rsidR="005E338F" w:rsidRPr="00BE150C">
              <w:t xml:space="preserve">four </w:t>
            </w:r>
            <w:r w:rsidR="005D3307" w:rsidRPr="00BE150C">
              <w:t xml:space="preserve">conferences for land infrastructure, mine, oil and gas projects to engage with proponents, SMEs, industry associations and/or state government to discuss Jobs Act obligations, the objective of AIP plans and </w:t>
            </w:r>
            <w:r w:rsidR="00DB52E8" w:rsidRPr="00BE150C">
              <w:t>promote</w:t>
            </w:r>
            <w:r w:rsidR="005D3307" w:rsidRPr="00BE150C">
              <w:t xml:space="preserve"> awareness</w:t>
            </w:r>
            <w:r w:rsidR="001E161B" w:rsidRPr="00BE150C">
              <w:t xml:space="preserve"> of the Jobs Act and</w:t>
            </w:r>
            <w:r w:rsidR="00896822" w:rsidRPr="00BE150C">
              <w:t xml:space="preserve"> the </w:t>
            </w:r>
            <w:r w:rsidR="001E161B" w:rsidRPr="00BE150C">
              <w:t>Authority</w:t>
            </w:r>
            <w:r w:rsidR="005D3307" w:rsidRPr="00BE150C">
              <w:t xml:space="preserve"> for future projects.</w:t>
            </w:r>
            <w:r w:rsidR="00896822" w:rsidRPr="00BE150C">
              <w:t xml:space="preserve"> These conferences also provided an opportunity for Authority staff to develop industry specific knowledge on procurement practices.</w:t>
            </w:r>
            <w:r w:rsidR="005D3307" w:rsidRPr="00BE150C">
              <w:t xml:space="preserve">   </w:t>
            </w:r>
          </w:p>
          <w:p w14:paraId="0A6AC19A" w14:textId="6076C569" w:rsidR="003F3BF5" w:rsidRPr="00BE150C" w:rsidRDefault="003F3BF5" w:rsidP="00970B54">
            <w:r w:rsidRPr="00BE150C">
              <w:t>The Authority also has a Jobs Act fact sheet pub</w:t>
            </w:r>
            <w:r w:rsidR="009E6B32" w:rsidRPr="00BE150C">
              <w:t>lished on the Major Projects</w:t>
            </w:r>
            <w:r w:rsidRPr="00BE150C">
              <w:t xml:space="preserve"> Facilitation Agency’s website as part of the agency’s tools and resources to provide a useful summary of Australian Government regulations that commonly apply to major project developments in Australia. The Jobs Act fact sheet provides </w:t>
            </w:r>
            <w:r w:rsidR="001F3329" w:rsidRPr="00BE150C">
              <w:t>information on the application of the Jobs Act and AIP plan approval requirements. The fact sheet also provides AIP contact details and direct</w:t>
            </w:r>
            <w:r w:rsidR="005E338F" w:rsidRPr="00BE150C">
              <w:t>s</w:t>
            </w:r>
            <w:r w:rsidR="001F3329" w:rsidRPr="00BE150C">
              <w:t xml:space="preserve"> stakeholders to the AIP website for more information. </w:t>
            </w:r>
          </w:p>
        </w:tc>
      </w:tr>
    </w:tbl>
    <w:p w14:paraId="44876E50" w14:textId="77777777" w:rsidR="007E53F5" w:rsidRPr="00BE150C" w:rsidRDefault="007E53F5" w:rsidP="00B12E3E">
      <w:pPr>
        <w:spacing w:after="0" w:line="240" w:lineRule="auto"/>
      </w:pP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8655C" w:rsidRPr="00BE150C" w14:paraId="43F6B899" w14:textId="77777777" w:rsidTr="0098655C">
        <w:tc>
          <w:tcPr>
            <w:tcW w:w="8544" w:type="dxa"/>
            <w:shd w:val="clear" w:color="auto" w:fill="005677" w:themeFill="accent1"/>
          </w:tcPr>
          <w:p w14:paraId="6B735E54" w14:textId="77777777" w:rsidR="0098655C" w:rsidRPr="00BE150C" w:rsidRDefault="0098655C" w:rsidP="00970B54">
            <w:pPr>
              <w:pStyle w:val="Heading2"/>
              <w:outlineLvl w:val="1"/>
            </w:pPr>
            <w:bookmarkStart w:id="39" w:name="_Toc455036863"/>
            <w:bookmarkStart w:id="40" w:name="_Toc481139983"/>
            <w:r w:rsidRPr="00BE150C">
              <w:t>KPI 3</w:t>
            </w:r>
            <w:bookmarkEnd w:id="39"/>
            <w:r w:rsidR="002F6C60" w:rsidRPr="00BE150C">
              <w:t xml:space="preserve">: </w:t>
            </w:r>
            <w:r w:rsidR="002F6C60" w:rsidRPr="00BE150C">
              <w:rPr>
                <w:szCs w:val="22"/>
              </w:rPr>
              <w:t>Actions undertaken by regulators are proportionate to the regulatory risk being managed</w:t>
            </w:r>
            <w:bookmarkEnd w:id="40"/>
          </w:p>
        </w:tc>
      </w:tr>
      <w:tr w:rsidR="0098655C" w:rsidRPr="00BE150C" w14:paraId="4F5640D6" w14:textId="77777777" w:rsidTr="0098655C">
        <w:trPr>
          <w:trHeight w:val="2330"/>
        </w:trPr>
        <w:tc>
          <w:tcPr>
            <w:tcW w:w="8544" w:type="dxa"/>
          </w:tcPr>
          <w:p w14:paraId="61722BC9" w14:textId="77777777" w:rsidR="00A142D3" w:rsidRPr="00BE150C" w:rsidRDefault="00A142D3" w:rsidP="00970B54">
            <w:pPr>
              <w:rPr>
                <w:b/>
                <w:u w:val="single"/>
              </w:rPr>
            </w:pPr>
            <w:r w:rsidRPr="00BE150C">
              <w:rPr>
                <w:b/>
                <w:u w:val="single"/>
              </w:rPr>
              <w:t>KPI expectations and performance measures</w:t>
            </w:r>
          </w:p>
          <w:p w14:paraId="6B1497A0" w14:textId="77777777" w:rsidR="00291795" w:rsidRPr="00BE150C" w:rsidRDefault="00983E05" w:rsidP="00970B54">
            <w:r w:rsidRPr="00BE150C">
              <w:t>KPI 3 ensures a risk–</w:t>
            </w:r>
            <w:r w:rsidR="00291795" w:rsidRPr="00BE150C">
              <w:t xml:space="preserve">based </w:t>
            </w:r>
            <w:r w:rsidR="00F644B9" w:rsidRPr="00BE150C">
              <w:t xml:space="preserve">approach </w:t>
            </w:r>
            <w:r w:rsidR="00291795" w:rsidRPr="00BE150C">
              <w:t xml:space="preserve">is undertaken to promote </w:t>
            </w:r>
            <w:r w:rsidRPr="00BE150C">
              <w:t>the</w:t>
            </w:r>
            <w:r w:rsidR="00291795" w:rsidRPr="00BE150C">
              <w:t xml:space="preserve"> effective use of resources and improve </w:t>
            </w:r>
            <w:r w:rsidRPr="00BE150C">
              <w:t>regulatory framework effectiveness</w:t>
            </w:r>
            <w:r w:rsidR="00291795" w:rsidRPr="00BE150C">
              <w:t>.</w:t>
            </w:r>
          </w:p>
          <w:p w14:paraId="1009D15C" w14:textId="77777777" w:rsidR="0013135A" w:rsidRPr="00BE150C" w:rsidRDefault="0013135A" w:rsidP="00970B54">
            <w:r w:rsidRPr="00BE150C">
              <w:t>This KPI is linked to risk-based compliance (PM2) and continuous improvement (PM5). These measures were used to assess against this KPI to ensure a risk–based approach is undertaken to promote the effective use of resources and improve regulatory framework effectiveness.</w:t>
            </w:r>
          </w:p>
          <w:p w14:paraId="63B17031" w14:textId="77777777" w:rsidR="006F7BE9" w:rsidRPr="00BE150C" w:rsidRDefault="006F7BE9" w:rsidP="00970B54">
            <w:pPr>
              <w:pStyle w:val="CommentText"/>
              <w:rPr>
                <w:sz w:val="20"/>
                <w:szCs w:val="22"/>
              </w:rPr>
            </w:pPr>
            <w:r w:rsidRPr="00BE150C">
              <w:rPr>
                <w:sz w:val="20"/>
                <w:szCs w:val="22"/>
              </w:rPr>
              <w:t>Measures used for this KPI:</w:t>
            </w:r>
          </w:p>
          <w:p w14:paraId="2929E35D" w14:textId="77777777" w:rsidR="008D4ACD" w:rsidRPr="00BE150C" w:rsidRDefault="008D4ACD" w:rsidP="00970B54">
            <w:pPr>
              <w:pStyle w:val="ListParagraph"/>
              <w:numPr>
                <w:ilvl w:val="0"/>
                <w:numId w:val="13"/>
              </w:numPr>
              <w:rPr>
                <w:sz w:val="20"/>
              </w:rPr>
            </w:pPr>
            <w:r w:rsidRPr="00BE150C">
              <w:rPr>
                <w:sz w:val="20"/>
              </w:rPr>
              <w:t xml:space="preserve">Risk-based compliance (PM 2): Evidence of implementing risk-based approaches and streamlined compliance approaches. </w:t>
            </w:r>
          </w:p>
          <w:p w14:paraId="47043F46" w14:textId="77777777" w:rsidR="008D4ACD" w:rsidRPr="00BE150C" w:rsidRDefault="008D4ACD" w:rsidP="00970B54">
            <w:pPr>
              <w:pStyle w:val="CommentText"/>
              <w:numPr>
                <w:ilvl w:val="0"/>
                <w:numId w:val="13"/>
              </w:numPr>
              <w:rPr>
                <w:sz w:val="20"/>
                <w:szCs w:val="22"/>
              </w:rPr>
            </w:pPr>
            <w:r w:rsidRPr="00BE150C">
              <w:rPr>
                <w:sz w:val="20"/>
                <w:szCs w:val="22"/>
              </w:rPr>
              <w:t>Continuous improvement (PM 5): Evidence of a continuous improvement culture through changing practices in response to staff feedback, stakeholder suggestions, and internal or external reviews.</w:t>
            </w:r>
          </w:p>
          <w:p w14:paraId="75DB25D8" w14:textId="77777777" w:rsidR="00A142D3" w:rsidRPr="00BE150C" w:rsidRDefault="00A142D3" w:rsidP="00970B54">
            <w:pPr>
              <w:rPr>
                <w:b/>
                <w:u w:val="single"/>
              </w:rPr>
            </w:pPr>
            <w:r w:rsidRPr="00BE150C">
              <w:rPr>
                <w:b/>
                <w:u w:val="single"/>
              </w:rPr>
              <w:t>Authority’s approach</w:t>
            </w:r>
          </w:p>
          <w:p w14:paraId="08FC4E21" w14:textId="78F77EAF" w:rsidR="00B17F19" w:rsidRPr="00BE150C" w:rsidRDefault="00122C7E" w:rsidP="00970B54">
            <w:r w:rsidRPr="00BE150C">
              <w:t>When proponents notify the Authority of their major projects, t</w:t>
            </w:r>
            <w:r w:rsidR="00B17F19" w:rsidRPr="00BE150C">
              <w:t>he</w:t>
            </w:r>
            <w:r w:rsidRPr="00BE150C">
              <w:t xml:space="preserve"> </w:t>
            </w:r>
            <w:r w:rsidR="00B17F19" w:rsidRPr="00BE150C">
              <w:t>Authority will negotiate with proponents on the timing for submission of a draft AIP plan (</w:t>
            </w:r>
            <w:r w:rsidR="00E91D0B" w:rsidRPr="00BE150C">
              <w:t xml:space="preserve">based on </w:t>
            </w:r>
            <w:r w:rsidR="00B17F19" w:rsidRPr="00BE150C">
              <w:t>the</w:t>
            </w:r>
            <w:r w:rsidR="00106565" w:rsidRPr="00BE150C">
              <w:t xml:space="preserve"> estimated</w:t>
            </w:r>
            <w:r w:rsidR="00B17F19" w:rsidRPr="00BE150C">
              <w:t xml:space="preserve"> trigger date</w:t>
            </w:r>
            <w:r w:rsidR="00E91D0B" w:rsidRPr="00BE150C">
              <w:t xml:space="preserve"> of the project</w:t>
            </w:r>
            <w:r w:rsidR="00B17F19" w:rsidRPr="00BE150C">
              <w:t xml:space="preserve">) </w:t>
            </w:r>
            <w:r w:rsidRPr="00BE150C">
              <w:t xml:space="preserve">and </w:t>
            </w:r>
            <w:r w:rsidR="00B17F19" w:rsidRPr="00BE150C">
              <w:t xml:space="preserve">agree on </w:t>
            </w:r>
            <w:r w:rsidR="00983E05" w:rsidRPr="00BE150C">
              <w:t>a date that balances proponent and supplier</w:t>
            </w:r>
            <w:r w:rsidR="00B17F19" w:rsidRPr="00BE150C">
              <w:t xml:space="preserve"> interests. </w:t>
            </w:r>
          </w:p>
          <w:p w14:paraId="524DF877" w14:textId="6164A32E" w:rsidR="00F644B9" w:rsidRPr="00BE150C" w:rsidRDefault="00CB7694" w:rsidP="00970B54">
            <w:r w:rsidRPr="00BE150C">
              <w:t xml:space="preserve">The Authority </w:t>
            </w:r>
            <w:r w:rsidR="00AC19EC" w:rsidRPr="00BE150C">
              <w:t xml:space="preserve">provides support </w:t>
            </w:r>
            <w:r w:rsidR="00D23A66" w:rsidRPr="00BE150C">
              <w:t>to project</w:t>
            </w:r>
            <w:r w:rsidRPr="00BE150C">
              <w:t xml:space="preserve"> proponents in the development of</w:t>
            </w:r>
            <w:r w:rsidR="00983E05" w:rsidRPr="00BE150C">
              <w:t xml:space="preserve"> </w:t>
            </w:r>
            <w:r w:rsidR="00AC19EC" w:rsidRPr="00BE150C">
              <w:t>AIP</w:t>
            </w:r>
            <w:r w:rsidRPr="00BE150C">
              <w:t xml:space="preserve"> plans</w:t>
            </w:r>
            <w:r w:rsidR="00983E05" w:rsidRPr="00BE150C">
              <w:t>,</w:t>
            </w:r>
            <w:r w:rsidR="00AC19EC" w:rsidRPr="00BE150C">
              <w:t xml:space="preserve"> taking into consideration the particular characteristics of each project</w:t>
            </w:r>
            <w:r w:rsidR="00133CE4" w:rsidRPr="00BE150C">
              <w:t>.</w:t>
            </w:r>
            <w:r w:rsidR="00B17F19" w:rsidRPr="00BE150C">
              <w:t xml:space="preserve"> </w:t>
            </w:r>
            <w:r w:rsidRPr="00BE150C">
              <w:t xml:space="preserve">This </w:t>
            </w:r>
            <w:r w:rsidR="00133CE4" w:rsidRPr="00BE150C">
              <w:t xml:space="preserve">helps </w:t>
            </w:r>
            <w:r w:rsidRPr="00BE150C">
              <w:t xml:space="preserve">project proponents </w:t>
            </w:r>
            <w:r w:rsidR="00983E05" w:rsidRPr="00BE150C">
              <w:t xml:space="preserve">tailor </w:t>
            </w:r>
            <w:r w:rsidR="00133CE4" w:rsidRPr="00BE150C">
              <w:t>AIP activities appropriately taking into account the size and scope of the project</w:t>
            </w:r>
            <w:r w:rsidR="0009283D" w:rsidRPr="00BE150C">
              <w:t xml:space="preserve"> while </w:t>
            </w:r>
            <w:r w:rsidR="00D23A66" w:rsidRPr="00BE150C">
              <w:t>avoiding unnecessary</w:t>
            </w:r>
            <w:r w:rsidRPr="00BE150C">
              <w:t xml:space="preserve"> compliance burdens. </w:t>
            </w:r>
            <w:r w:rsidR="00F644B9" w:rsidRPr="00BE150C">
              <w:t>When a project proponent submits a</w:t>
            </w:r>
            <w:r w:rsidR="0009283D" w:rsidRPr="00BE150C">
              <w:t xml:space="preserve"> draft</w:t>
            </w:r>
            <w:r w:rsidR="00F644B9" w:rsidRPr="00BE150C">
              <w:t xml:space="preserve"> AIP plan</w:t>
            </w:r>
            <w:r w:rsidR="0009283D" w:rsidRPr="00BE150C">
              <w:t xml:space="preserve"> to the Authority</w:t>
            </w:r>
            <w:r w:rsidR="00F644B9" w:rsidRPr="00BE150C">
              <w:t xml:space="preserve">, the case manager prepares </w:t>
            </w:r>
            <w:r w:rsidR="0009283D" w:rsidRPr="00BE150C">
              <w:t xml:space="preserve">any </w:t>
            </w:r>
            <w:r w:rsidR="00983E05" w:rsidRPr="00BE150C">
              <w:t xml:space="preserve">required </w:t>
            </w:r>
            <w:r w:rsidR="00F644B9" w:rsidRPr="00BE150C">
              <w:t xml:space="preserve">feedback </w:t>
            </w:r>
            <w:r w:rsidR="00755ADC" w:rsidRPr="00BE150C">
              <w:t>which is</w:t>
            </w:r>
            <w:r w:rsidR="00F644B9" w:rsidRPr="00BE150C">
              <w:t xml:space="preserve"> quality </w:t>
            </w:r>
            <w:r w:rsidR="00755ADC" w:rsidRPr="00BE150C">
              <w:t>checked</w:t>
            </w:r>
            <w:r w:rsidR="00F644B9" w:rsidRPr="00BE150C">
              <w:t xml:space="preserve"> </w:t>
            </w:r>
            <w:r w:rsidR="00755ADC" w:rsidRPr="00BE150C">
              <w:t>by another</w:t>
            </w:r>
            <w:r w:rsidR="00F644B9" w:rsidRPr="00BE150C">
              <w:t xml:space="preserve"> </w:t>
            </w:r>
            <w:r w:rsidR="00755ADC" w:rsidRPr="00BE150C">
              <w:t>team member</w:t>
            </w:r>
            <w:r w:rsidR="00F036E3" w:rsidRPr="00BE150C">
              <w:t>.</w:t>
            </w:r>
          </w:p>
          <w:p w14:paraId="1441DB14" w14:textId="3AC71481" w:rsidR="006F000A" w:rsidRPr="00BE150C" w:rsidRDefault="00F036E3" w:rsidP="00970B54">
            <w:r w:rsidRPr="00BE150C">
              <w:t xml:space="preserve">Following the approval of an AIP plan, </w:t>
            </w:r>
            <w:r w:rsidR="001F0F30" w:rsidRPr="00BE150C">
              <w:t>project</w:t>
            </w:r>
            <w:r w:rsidR="0009283D" w:rsidRPr="00BE150C">
              <w:t xml:space="preserve"> proponent</w:t>
            </w:r>
            <w:r w:rsidR="001F0F30" w:rsidRPr="00BE150C">
              <w:t>s must submit</w:t>
            </w:r>
            <w:r w:rsidR="00755ADC" w:rsidRPr="00BE150C">
              <w:t xml:space="preserve"> to the Authority</w:t>
            </w:r>
            <w:r w:rsidR="001F0F30" w:rsidRPr="00BE150C">
              <w:t xml:space="preserve"> </w:t>
            </w:r>
            <w:r w:rsidR="00646EE1" w:rsidRPr="00BE150C">
              <w:t xml:space="preserve">       </w:t>
            </w:r>
            <w:r w:rsidR="001F0F30" w:rsidRPr="00BE150C">
              <w:t>six-monthly compliance reports</w:t>
            </w:r>
            <w:r w:rsidR="00F644B9" w:rsidRPr="00BE150C">
              <w:t xml:space="preserve"> during the project phase of the project, and the first two years of the operations phase</w:t>
            </w:r>
            <w:r w:rsidR="001F0F30" w:rsidRPr="00BE150C">
              <w:t>.</w:t>
            </w:r>
            <w:r w:rsidR="00755ADC" w:rsidRPr="00BE150C">
              <w:t xml:space="preserve"> Proponents report on </w:t>
            </w:r>
            <w:r w:rsidR="00D23A66" w:rsidRPr="00BE150C">
              <w:t>AIP activities</w:t>
            </w:r>
            <w:r w:rsidR="0009283D" w:rsidRPr="00BE150C">
              <w:t xml:space="preserve"> undertaken, contracts awarded and </w:t>
            </w:r>
            <w:r w:rsidR="00755ADC" w:rsidRPr="00BE150C">
              <w:t>outcomes</w:t>
            </w:r>
            <w:r w:rsidR="0009283D" w:rsidRPr="00BE150C">
              <w:t xml:space="preserve"> for Australian suppliers</w:t>
            </w:r>
            <w:r w:rsidR="00755ADC" w:rsidRPr="00BE150C">
              <w:t>.</w:t>
            </w:r>
            <w:r w:rsidR="001F0F30" w:rsidRPr="00BE150C">
              <w:t xml:space="preserve"> </w:t>
            </w:r>
            <w:r w:rsidR="00B47AEC" w:rsidRPr="00BE150C">
              <w:t>The</w:t>
            </w:r>
            <w:r w:rsidR="00E91D0B" w:rsidRPr="00BE150C">
              <w:t xml:space="preserve"> </w:t>
            </w:r>
            <w:r w:rsidR="00B47AEC" w:rsidRPr="00BE150C">
              <w:t>Authority reviews each report</w:t>
            </w:r>
            <w:r w:rsidR="001F36C7" w:rsidRPr="00BE150C">
              <w:t xml:space="preserve"> and the evidences provided</w:t>
            </w:r>
            <w:r w:rsidR="00B47AEC" w:rsidRPr="00BE150C">
              <w:t xml:space="preserve"> and seek</w:t>
            </w:r>
            <w:r w:rsidR="00E91D0B" w:rsidRPr="00BE150C">
              <w:t>s</w:t>
            </w:r>
            <w:r w:rsidR="00B47AEC" w:rsidRPr="00BE150C">
              <w:t xml:space="preserve"> clarification if required.</w:t>
            </w:r>
            <w:r w:rsidR="00E91D0B" w:rsidRPr="00BE150C">
              <w:t xml:space="preserve"> Once a report is accepted, the Authority notifies the proponent in a letter advising the decision and the date of the next compliance report.</w:t>
            </w:r>
            <w:r w:rsidR="00B47AEC" w:rsidRPr="00BE150C">
              <w:t xml:space="preserve"> </w:t>
            </w:r>
            <w:r w:rsidR="00D23A66" w:rsidRPr="00BE150C">
              <w:t>The Authority</w:t>
            </w:r>
            <w:r w:rsidR="00E91D0B" w:rsidRPr="00BE150C">
              <w:t xml:space="preserve"> also</w:t>
            </w:r>
            <w:r w:rsidR="00B47AEC" w:rsidRPr="00BE150C">
              <w:t xml:space="preserve"> </w:t>
            </w:r>
            <w:r w:rsidR="00755ADC" w:rsidRPr="00BE150C">
              <w:t>records</w:t>
            </w:r>
            <w:r w:rsidR="001F0F30" w:rsidRPr="00BE150C">
              <w:t xml:space="preserve"> </w:t>
            </w:r>
            <w:r w:rsidR="00755ADC" w:rsidRPr="00BE150C">
              <w:t xml:space="preserve">expected dates </w:t>
            </w:r>
            <w:r w:rsidR="00D23A66" w:rsidRPr="00BE150C">
              <w:t>for the</w:t>
            </w:r>
            <w:r w:rsidR="00755ADC" w:rsidRPr="00BE150C">
              <w:t xml:space="preserve"> reports</w:t>
            </w:r>
            <w:r w:rsidR="007B4B80" w:rsidRPr="00BE150C">
              <w:t xml:space="preserve"> in the n</w:t>
            </w:r>
            <w:r w:rsidR="00E91D0B" w:rsidRPr="00BE150C">
              <w:t>otifications register</w:t>
            </w:r>
            <w:r w:rsidR="00755ADC" w:rsidRPr="00BE150C">
              <w:t>, with Authority</w:t>
            </w:r>
            <w:r w:rsidR="003A7940" w:rsidRPr="00BE150C">
              <w:t xml:space="preserve"> staff</w:t>
            </w:r>
            <w:r w:rsidR="00755ADC" w:rsidRPr="00BE150C">
              <w:t xml:space="preserve"> notifying pro</w:t>
            </w:r>
            <w:r w:rsidR="003A7940" w:rsidRPr="00BE150C">
              <w:t>ponents</w:t>
            </w:r>
            <w:r w:rsidR="00755ADC" w:rsidRPr="00BE150C">
              <w:t xml:space="preserve"> in advance </w:t>
            </w:r>
            <w:r w:rsidR="003A7940" w:rsidRPr="00BE150C">
              <w:t>on upcoming deadlines</w:t>
            </w:r>
            <w:r w:rsidR="001F0F30" w:rsidRPr="00BE150C">
              <w:t>.</w:t>
            </w:r>
            <w:r w:rsidR="00B47AEC" w:rsidRPr="00BE150C">
              <w:t xml:space="preserve"> </w:t>
            </w:r>
            <w:r w:rsidR="00E91D0B" w:rsidRPr="00BE150C">
              <w:t xml:space="preserve">In 2016-17, the Authority </w:t>
            </w:r>
            <w:r w:rsidR="007B4B80" w:rsidRPr="00BE150C">
              <w:t>received, reviewed and</w:t>
            </w:r>
            <w:r w:rsidR="00E91D0B" w:rsidRPr="00BE150C">
              <w:t xml:space="preserve"> accepted 20 compliance reports.</w:t>
            </w:r>
          </w:p>
          <w:p w14:paraId="3D7E4CAE" w14:textId="563A8C9F" w:rsidR="001F0F30" w:rsidRPr="00BE150C" w:rsidRDefault="006F000A" w:rsidP="00970B54">
            <w:r w:rsidRPr="00BE150C">
              <w:t>Proponents may apply to the</w:t>
            </w:r>
            <w:r w:rsidR="00E91D0B" w:rsidRPr="00BE150C">
              <w:t xml:space="preserve"> </w:t>
            </w:r>
            <w:r w:rsidRPr="00BE150C">
              <w:t xml:space="preserve">Authority to extend a compliance reporting period when a project has been delayed and AIP activities have been put on hold. Where the scope of a project is changed such that </w:t>
            </w:r>
            <w:r w:rsidR="00983E05" w:rsidRPr="00BE150C">
              <w:t xml:space="preserve">the </w:t>
            </w:r>
            <w:r w:rsidRPr="00BE150C">
              <w:t>capital value falls below the $500 million threshold</w:t>
            </w:r>
            <w:r w:rsidR="00E91D0B" w:rsidRPr="00BE150C">
              <w:t xml:space="preserve">, or if the project has been cancelled or deferred </w:t>
            </w:r>
            <w:r w:rsidR="004942F9" w:rsidRPr="00BE150C">
              <w:t>indefinitely</w:t>
            </w:r>
            <w:r w:rsidRPr="00BE150C">
              <w:t>, the proponent may withdraw its AIP plan. A proponent m</w:t>
            </w:r>
            <w:r w:rsidR="00983E05" w:rsidRPr="00BE150C">
              <w:t>ay make minor alterations to an</w:t>
            </w:r>
            <w:r w:rsidRPr="00BE150C">
              <w:t xml:space="preserve"> approved AIP plan (such as change of project contact name) without </w:t>
            </w:r>
            <w:r w:rsidR="00983E05" w:rsidRPr="00BE150C">
              <w:t>the requirement</w:t>
            </w:r>
            <w:r w:rsidRPr="00BE150C">
              <w:t xml:space="preserve"> to submit a new plan for approval.</w:t>
            </w:r>
            <w:r w:rsidR="00EB6525" w:rsidRPr="00BE150C">
              <w:t xml:space="preserve"> The </w:t>
            </w:r>
            <w:r w:rsidR="0048600E" w:rsidRPr="00BE150C">
              <w:t>FAQ</w:t>
            </w:r>
            <w:r w:rsidR="004942F9" w:rsidRPr="00BE150C">
              <w:t xml:space="preserve"> document</w:t>
            </w:r>
            <w:r w:rsidR="00EB6525" w:rsidRPr="00BE150C">
              <w:t xml:space="preserve"> on the AIP website has been updated to include additional questions to assist proponents to address these changes appropriately. </w:t>
            </w:r>
            <w:r w:rsidRPr="00BE150C">
              <w:t xml:space="preserve"> </w:t>
            </w:r>
          </w:p>
          <w:p w14:paraId="315094D1" w14:textId="71328ED5" w:rsidR="0013135A" w:rsidRPr="00BE150C" w:rsidRDefault="0013135A" w:rsidP="00970B54">
            <w:r w:rsidRPr="00BE150C">
              <w:t>The</w:t>
            </w:r>
            <w:r w:rsidR="007B4B80" w:rsidRPr="00BE150C">
              <w:t xml:space="preserve"> </w:t>
            </w:r>
            <w:r w:rsidRPr="00BE150C">
              <w:t>Authority acknowledges that states and territories have local industry participation plan requirements. Under</w:t>
            </w:r>
            <w:r w:rsidR="00DC01D6" w:rsidRPr="00BE150C">
              <w:t xml:space="preserve"> section 17(5) of</w:t>
            </w:r>
            <w:r w:rsidRPr="00BE150C">
              <w:t xml:space="preserve"> the</w:t>
            </w:r>
            <w:r w:rsidR="007B4B80" w:rsidRPr="00BE150C">
              <w:t xml:space="preserve"> Jobs</w:t>
            </w:r>
            <w:r w:rsidRPr="00BE150C">
              <w:t xml:space="preserve"> Act, a project proponent </w:t>
            </w:r>
            <w:r w:rsidR="003C2244" w:rsidRPr="00BE150C">
              <w:t>may</w:t>
            </w:r>
            <w:r w:rsidRPr="00BE150C">
              <w:t xml:space="preserve"> gain an exception </w:t>
            </w:r>
            <w:r w:rsidR="003C2244" w:rsidRPr="00BE150C">
              <w:t>to giving a draft</w:t>
            </w:r>
            <w:r w:rsidRPr="00BE150C">
              <w:t xml:space="preserve"> AIP plan to the</w:t>
            </w:r>
            <w:r w:rsidR="007B4B80" w:rsidRPr="00BE150C">
              <w:t xml:space="preserve"> </w:t>
            </w:r>
            <w:r w:rsidRPr="00BE150C">
              <w:t xml:space="preserve">Authority if a plan has been prepared for a state or territory that complies with the conditions specified in the legislative rules. </w:t>
            </w:r>
            <w:r w:rsidR="008C3BD9" w:rsidRPr="00BE150C">
              <w:t>In 2016-17 the Authority accepted that five major projects had met the requirements under the Australian Jobs</w:t>
            </w:r>
            <w:r w:rsidR="00356E42" w:rsidRPr="00BE150C">
              <w:t xml:space="preserve"> (Australian Industry Participation) Rule 2014 for an exception to providing a draft AIP plan.</w:t>
            </w:r>
          </w:p>
          <w:p w14:paraId="7B69D516" w14:textId="506A5109" w:rsidR="00FD0D74" w:rsidRPr="00BE150C" w:rsidRDefault="00201508" w:rsidP="00970B54">
            <w:r w:rsidRPr="00BE150C">
              <w:t>As at 30 June 2017,</w:t>
            </w:r>
            <w:r w:rsidR="00C60B6E" w:rsidRPr="00BE150C">
              <w:t xml:space="preserve"> </w:t>
            </w:r>
            <w:r w:rsidR="00B82251" w:rsidRPr="00BE150C">
              <w:t xml:space="preserve">seven </w:t>
            </w:r>
            <w:r w:rsidR="00C60B6E" w:rsidRPr="00BE150C">
              <w:t xml:space="preserve">exceptions </w:t>
            </w:r>
            <w:r w:rsidR="00235790" w:rsidRPr="00BE150C">
              <w:t xml:space="preserve">have been </w:t>
            </w:r>
            <w:r w:rsidR="00F922DE" w:rsidRPr="00BE150C">
              <w:t>accepted</w:t>
            </w:r>
            <w:r w:rsidR="00235790" w:rsidRPr="00BE150C">
              <w:t xml:space="preserve">, removing the requirement </w:t>
            </w:r>
            <w:r w:rsidR="00721DAE" w:rsidRPr="00BE150C">
              <w:t xml:space="preserve">for proponents to </w:t>
            </w:r>
            <w:r w:rsidR="00235790" w:rsidRPr="00BE150C">
              <w:t>lodge an AIP plan</w:t>
            </w:r>
            <w:r w:rsidR="00721DAE" w:rsidRPr="00BE150C">
              <w:t xml:space="preserve"> and thus avoiding duplication and reducing regulatory burden on proponents.</w:t>
            </w:r>
            <w:r w:rsidR="00C60B6E" w:rsidRPr="00BE150C">
              <w:t xml:space="preserve"> </w:t>
            </w:r>
            <w:r w:rsidR="00721DAE" w:rsidRPr="00BE150C">
              <w:t>T</w:t>
            </w:r>
            <w:r w:rsidR="00C60B6E" w:rsidRPr="00BE150C">
              <w:t>he</w:t>
            </w:r>
            <w:r w:rsidR="00864CD7" w:rsidRPr="00BE150C">
              <w:t xml:space="preserve"> Authority has been </w:t>
            </w:r>
            <w:r w:rsidR="00F922DE" w:rsidRPr="00BE150C">
              <w:t xml:space="preserve">advised that </w:t>
            </w:r>
            <w:r w:rsidR="00235790" w:rsidRPr="00BE150C">
              <w:t>exceptions</w:t>
            </w:r>
            <w:r w:rsidR="00F922DE" w:rsidRPr="00BE150C">
              <w:t xml:space="preserve"> may be sought</w:t>
            </w:r>
            <w:r w:rsidR="00235790" w:rsidRPr="00BE150C">
              <w:t xml:space="preserve"> in</w:t>
            </w:r>
            <w:r w:rsidR="00755ADC" w:rsidRPr="00BE150C">
              <w:t xml:space="preserve"> 201</w:t>
            </w:r>
            <w:r w:rsidR="00B82251" w:rsidRPr="00BE150C">
              <w:t>7</w:t>
            </w:r>
            <w:r w:rsidR="00755ADC" w:rsidRPr="00BE150C">
              <w:t>–</w:t>
            </w:r>
            <w:r w:rsidR="00C60B6E" w:rsidRPr="00BE150C">
              <w:t>1</w:t>
            </w:r>
            <w:r w:rsidR="00B82251" w:rsidRPr="00BE150C">
              <w:t>8</w:t>
            </w:r>
            <w:r w:rsidR="00F922DE" w:rsidRPr="00BE150C">
              <w:t xml:space="preserve"> for two further projects</w:t>
            </w:r>
            <w:r w:rsidR="00C60B6E" w:rsidRPr="00BE150C">
              <w:t>.</w:t>
            </w:r>
            <w:r w:rsidR="005875FC" w:rsidRPr="00BE150C">
              <w:t xml:space="preserve"> Currently, all states and territories</w:t>
            </w:r>
            <w:r w:rsidR="00476967" w:rsidRPr="00BE150C">
              <w:t>,</w:t>
            </w:r>
            <w:r w:rsidR="005875FC" w:rsidRPr="00BE150C">
              <w:t xml:space="preserve"> with the e</w:t>
            </w:r>
            <w:r w:rsidR="00F036E3" w:rsidRPr="00BE150C">
              <w:t>xception of New South Wales</w:t>
            </w:r>
            <w:r w:rsidR="005875FC" w:rsidRPr="00BE150C">
              <w:t>, have local industry participation plan submission requirements</w:t>
            </w:r>
            <w:r w:rsidR="00F24450" w:rsidRPr="00BE150C">
              <w:t xml:space="preserve"> for certain projects</w:t>
            </w:r>
            <w:r w:rsidR="005875FC" w:rsidRPr="00BE150C">
              <w:t>.</w:t>
            </w:r>
          </w:p>
          <w:p w14:paraId="08378F3A" w14:textId="380CB896" w:rsidR="00A142D3" w:rsidRPr="00BE150C" w:rsidRDefault="00A142D3" w:rsidP="00970B54">
            <w:pPr>
              <w:rPr>
                <w:b/>
                <w:szCs w:val="24"/>
                <w:u w:val="single"/>
              </w:rPr>
            </w:pPr>
            <w:r w:rsidRPr="00BE150C">
              <w:rPr>
                <w:b/>
                <w:szCs w:val="24"/>
                <w:u w:val="single"/>
              </w:rPr>
              <w:t xml:space="preserve">2015-16 </w:t>
            </w:r>
            <w:r w:rsidR="00AE63EC" w:rsidRPr="00BE150C">
              <w:rPr>
                <w:b/>
                <w:szCs w:val="24"/>
                <w:u w:val="single"/>
              </w:rPr>
              <w:t>s</w:t>
            </w:r>
            <w:r w:rsidRPr="00BE150C">
              <w:rPr>
                <w:b/>
                <w:szCs w:val="24"/>
                <w:u w:val="single"/>
              </w:rPr>
              <w:t>urvey results</w:t>
            </w:r>
          </w:p>
          <w:p w14:paraId="020FB93B" w14:textId="69115C66" w:rsidR="00C92051" w:rsidRPr="00BE150C" w:rsidRDefault="00221334" w:rsidP="00970B54">
            <w:pPr>
              <w:rPr>
                <w:szCs w:val="20"/>
              </w:rPr>
            </w:pPr>
            <w:r w:rsidRPr="00BE150C">
              <w:rPr>
                <w:szCs w:val="20"/>
              </w:rPr>
              <w:t>Responses included</w:t>
            </w:r>
            <w:r w:rsidR="00C92051" w:rsidRPr="00BE150C">
              <w:rPr>
                <w:szCs w:val="20"/>
              </w:rPr>
              <w:t xml:space="preserve"> difficulty with</w:t>
            </w:r>
            <w:r w:rsidRPr="00BE150C">
              <w:rPr>
                <w:szCs w:val="20"/>
              </w:rPr>
              <w:t xml:space="preserve"> de</w:t>
            </w:r>
            <w:r w:rsidR="00721DAE" w:rsidRPr="00BE150C">
              <w:rPr>
                <w:szCs w:val="20"/>
              </w:rPr>
              <w:t>termining notification timeline and</w:t>
            </w:r>
            <w:r w:rsidRPr="00BE150C">
              <w:rPr>
                <w:szCs w:val="20"/>
              </w:rPr>
              <w:t xml:space="preserve"> interpreting the requirements of the legislation</w:t>
            </w:r>
            <w:r w:rsidR="003A00F3" w:rsidRPr="00BE150C">
              <w:rPr>
                <w:szCs w:val="20"/>
              </w:rPr>
              <w:t>.</w:t>
            </w:r>
          </w:p>
          <w:p w14:paraId="565FB76B" w14:textId="77777777" w:rsidR="00A142D3" w:rsidRPr="00BE150C" w:rsidRDefault="00A142D3" w:rsidP="00970B54">
            <w:pPr>
              <w:rPr>
                <w:b/>
                <w:szCs w:val="24"/>
                <w:u w:val="single"/>
              </w:rPr>
            </w:pPr>
            <w:r w:rsidRPr="00BE150C">
              <w:rPr>
                <w:b/>
                <w:szCs w:val="24"/>
                <w:u w:val="single"/>
              </w:rPr>
              <w:t>Improvements and activities in 2016-17</w:t>
            </w:r>
          </w:p>
          <w:p w14:paraId="19463C43" w14:textId="1F3187F5" w:rsidR="00721DAE" w:rsidRPr="00BE150C" w:rsidRDefault="00E97587" w:rsidP="00970B54">
            <w:r w:rsidRPr="00BE150C">
              <w:rPr>
                <w:szCs w:val="24"/>
              </w:rPr>
              <w:t>The Authority is implementing a communication</w:t>
            </w:r>
            <w:r w:rsidR="00F67374" w:rsidRPr="00BE150C">
              <w:rPr>
                <w:szCs w:val="24"/>
              </w:rPr>
              <w:t>s</w:t>
            </w:r>
            <w:r w:rsidRPr="00BE150C">
              <w:rPr>
                <w:szCs w:val="24"/>
              </w:rPr>
              <w:t xml:space="preserve"> strategy. </w:t>
            </w:r>
            <w:r w:rsidRPr="00BE150C">
              <w:t xml:space="preserve">In response to the 2015-16 stakeholder survey and Authority staff’s feedback from interaction with proponents, the </w:t>
            </w:r>
            <w:r w:rsidR="0048600E" w:rsidRPr="00BE150C">
              <w:t>FAQ</w:t>
            </w:r>
            <w:r w:rsidR="00F67374" w:rsidRPr="00BE150C">
              <w:t xml:space="preserve"> document</w:t>
            </w:r>
            <w:r w:rsidRPr="00BE150C">
              <w:t xml:space="preserve"> on the AIP website has been revised to include additional questions to assist proponents in understanding the requirements of the legislation, the AIP</w:t>
            </w:r>
            <w:r w:rsidR="00F67374" w:rsidRPr="00BE150C">
              <w:t xml:space="preserve"> plan</w:t>
            </w:r>
            <w:r w:rsidRPr="00BE150C">
              <w:t xml:space="preserve"> approval process and compliance requirements. </w:t>
            </w:r>
            <w:r w:rsidR="00B10EE9" w:rsidRPr="00BE150C">
              <w:t>An AIP process map has also been developed to provide an overview of the decision-making process according to the legislation</w:t>
            </w:r>
            <w:r w:rsidR="00817A17" w:rsidRPr="00BE150C">
              <w:t>’s</w:t>
            </w:r>
            <w:r w:rsidR="00B10EE9" w:rsidRPr="00BE150C">
              <w:t xml:space="preserve"> requirements.</w:t>
            </w:r>
            <w:r w:rsidRPr="00BE150C">
              <w:t xml:space="preserve"> </w:t>
            </w:r>
          </w:p>
          <w:p w14:paraId="2620B1EB" w14:textId="1A1C2464" w:rsidR="00FD0D74" w:rsidRPr="00BE150C" w:rsidRDefault="00D76910" w:rsidP="00970B54">
            <w:r w:rsidRPr="00BE150C">
              <w:t>The</w:t>
            </w:r>
            <w:r w:rsidR="00F67374" w:rsidRPr="00BE150C">
              <w:t xml:space="preserve"> Authority also exercised</w:t>
            </w:r>
            <w:r w:rsidRPr="00BE150C">
              <w:t xml:space="preserve"> flexibility in granting extensions to</w:t>
            </w:r>
            <w:r w:rsidR="0049024D" w:rsidRPr="00BE150C">
              <w:t xml:space="preserve"> </w:t>
            </w:r>
            <w:r w:rsidR="00FA727F" w:rsidRPr="00BE150C">
              <w:t>six</w:t>
            </w:r>
            <w:r w:rsidR="00405AC3" w:rsidRPr="00BE150C">
              <w:t xml:space="preserve"> </w:t>
            </w:r>
            <w:r w:rsidRPr="00BE150C">
              <w:t>proponents for compliance reports where the reasons for</w:t>
            </w:r>
            <w:r w:rsidR="00F67374" w:rsidRPr="00BE150C">
              <w:t xml:space="preserve"> extension pose</w:t>
            </w:r>
            <w:r w:rsidR="00476967" w:rsidRPr="00BE150C">
              <w:t>d</w:t>
            </w:r>
            <w:r w:rsidRPr="00BE150C">
              <w:t xml:space="preserve"> no risk to outcome achievement. </w:t>
            </w:r>
          </w:p>
        </w:tc>
      </w:tr>
    </w:tbl>
    <w:p w14:paraId="3B0241FC" w14:textId="77777777" w:rsidR="00A02522" w:rsidRPr="00BE150C" w:rsidRDefault="00A02522" w:rsidP="00970B54">
      <w:r w:rsidRPr="00BE150C">
        <w:br w:type="page"/>
      </w: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8655C" w:rsidRPr="00BE150C" w14:paraId="71352A23" w14:textId="77777777" w:rsidTr="0098655C">
        <w:tc>
          <w:tcPr>
            <w:tcW w:w="8544" w:type="dxa"/>
            <w:shd w:val="clear" w:color="auto" w:fill="005677" w:themeFill="accent1"/>
          </w:tcPr>
          <w:p w14:paraId="7E1E732B" w14:textId="77777777" w:rsidR="0098655C" w:rsidRPr="00BE150C" w:rsidRDefault="0098655C" w:rsidP="00970B54">
            <w:pPr>
              <w:pStyle w:val="Heading2"/>
              <w:outlineLvl w:val="1"/>
            </w:pPr>
            <w:bookmarkStart w:id="41" w:name="_Toc481139984"/>
            <w:r w:rsidRPr="00BE150C">
              <w:t>KPI 4</w:t>
            </w:r>
            <w:r w:rsidR="00283D86" w:rsidRPr="00BE150C">
              <w:t xml:space="preserve">: </w:t>
            </w:r>
            <w:r w:rsidR="00E0139A" w:rsidRPr="00BE150C">
              <w:rPr>
                <w:szCs w:val="22"/>
              </w:rPr>
              <w:t>Compliance and monitoring approaches are streamlined and co-ordinated</w:t>
            </w:r>
            <w:bookmarkEnd w:id="41"/>
          </w:p>
        </w:tc>
      </w:tr>
      <w:tr w:rsidR="0098655C" w:rsidRPr="00BE150C" w14:paraId="41F86625" w14:textId="77777777" w:rsidTr="0098655C">
        <w:trPr>
          <w:trHeight w:val="2186"/>
        </w:trPr>
        <w:tc>
          <w:tcPr>
            <w:tcW w:w="8544" w:type="dxa"/>
          </w:tcPr>
          <w:p w14:paraId="7CB650F2" w14:textId="04EF8121" w:rsidR="002E4A5C" w:rsidRPr="00BE150C" w:rsidRDefault="002E4A5C" w:rsidP="00970B54">
            <w:pPr>
              <w:rPr>
                <w:b/>
                <w:u w:val="single"/>
              </w:rPr>
            </w:pPr>
            <w:r w:rsidRPr="00BE150C">
              <w:rPr>
                <w:b/>
                <w:u w:val="single"/>
              </w:rPr>
              <w:t>KPI expectations and performance measures</w:t>
            </w:r>
          </w:p>
          <w:p w14:paraId="222A2022" w14:textId="581BAC3C" w:rsidR="003210F5" w:rsidRPr="00BE150C" w:rsidRDefault="003210F5" w:rsidP="00970B54">
            <w:r w:rsidRPr="00BE150C">
              <w:t xml:space="preserve">KPI 4 seeks to </w:t>
            </w:r>
            <w:r w:rsidR="00476967" w:rsidRPr="00BE150C">
              <w:t>make sure</w:t>
            </w:r>
            <w:r w:rsidRPr="00BE150C">
              <w:t xml:space="preserve"> activities aimed at ensuring regulations are complied with are fit for purpose and non-duplicative. </w:t>
            </w:r>
          </w:p>
          <w:p w14:paraId="1F9E61C0" w14:textId="3755E70C" w:rsidR="00934981" w:rsidRPr="00BE150C" w:rsidRDefault="00476967" w:rsidP="00970B54">
            <w:r w:rsidRPr="00BE150C">
              <w:t>This</w:t>
            </w:r>
            <w:r w:rsidR="00934981" w:rsidRPr="00BE150C">
              <w:t xml:space="preserve"> KPI is linked to risk-based compliance (PM2) and continuous improvement (PM5). These measures were used to assess against this KPI as compliance and monitoring are essential in allowing regulators to determine the level of compliance with regulation, and fall under chief actions undertaken by the</w:t>
            </w:r>
            <w:r w:rsidR="00F606B5" w:rsidRPr="00BE150C">
              <w:t xml:space="preserve"> </w:t>
            </w:r>
            <w:r w:rsidR="00934981" w:rsidRPr="00BE150C">
              <w:t>Authority. However, the</w:t>
            </w:r>
            <w:r w:rsidR="00F606B5" w:rsidRPr="00BE150C">
              <w:t xml:space="preserve"> Jobs</w:t>
            </w:r>
            <w:r w:rsidR="00934981" w:rsidRPr="00BE150C">
              <w:t xml:space="preserve"> </w:t>
            </w:r>
            <w:r w:rsidR="00A37E6D" w:rsidRPr="00BE150C">
              <w:t>Act</w:t>
            </w:r>
            <w:r w:rsidR="00934981" w:rsidRPr="00BE150C">
              <w:t xml:space="preserve"> does not have a verification component to determine the level of compliance with the regulation and utilises engagement and encouragement to ensure compliance.</w:t>
            </w:r>
          </w:p>
          <w:p w14:paraId="1A18BEEC" w14:textId="77777777" w:rsidR="006F7BE9" w:rsidRPr="00BE150C" w:rsidRDefault="006F7BE9" w:rsidP="00970B54">
            <w:pPr>
              <w:pStyle w:val="CommentText"/>
              <w:rPr>
                <w:sz w:val="20"/>
                <w:szCs w:val="22"/>
              </w:rPr>
            </w:pPr>
            <w:r w:rsidRPr="00BE150C">
              <w:rPr>
                <w:sz w:val="20"/>
                <w:szCs w:val="22"/>
              </w:rPr>
              <w:t>Measures used for this KPI:</w:t>
            </w:r>
          </w:p>
          <w:p w14:paraId="426111BE" w14:textId="77777777" w:rsidR="008D4ACD" w:rsidRPr="00BE150C" w:rsidRDefault="008D4ACD" w:rsidP="00970B54">
            <w:pPr>
              <w:pStyle w:val="ListParagraph"/>
              <w:numPr>
                <w:ilvl w:val="0"/>
                <w:numId w:val="14"/>
              </w:numPr>
              <w:rPr>
                <w:sz w:val="20"/>
              </w:rPr>
            </w:pPr>
            <w:r w:rsidRPr="00BE150C">
              <w:rPr>
                <w:sz w:val="20"/>
              </w:rPr>
              <w:t xml:space="preserve">Risk-based compliance (PM 2): Evidence of implementing risk-based approaches and streamlined compliance approaches. </w:t>
            </w:r>
          </w:p>
          <w:p w14:paraId="20F26DBB" w14:textId="77777777" w:rsidR="008D4ACD" w:rsidRPr="00BE150C" w:rsidRDefault="008D4ACD" w:rsidP="00970B54">
            <w:pPr>
              <w:pStyle w:val="CommentText"/>
              <w:numPr>
                <w:ilvl w:val="0"/>
                <w:numId w:val="14"/>
              </w:numPr>
              <w:rPr>
                <w:sz w:val="20"/>
                <w:szCs w:val="22"/>
              </w:rPr>
            </w:pPr>
            <w:r w:rsidRPr="00BE150C">
              <w:rPr>
                <w:sz w:val="20"/>
                <w:szCs w:val="22"/>
              </w:rPr>
              <w:t>Continuous improvement (PM 5): Evidence of a continuous improvement culture through changing practices in response to staff feedback, stakeholder suggestions, and internal or external reviews.</w:t>
            </w:r>
          </w:p>
          <w:p w14:paraId="64B6A802" w14:textId="77777777" w:rsidR="002E4A5C" w:rsidRPr="00BE150C" w:rsidRDefault="002E4A5C" w:rsidP="00970B54">
            <w:pPr>
              <w:rPr>
                <w:b/>
                <w:u w:val="single"/>
              </w:rPr>
            </w:pPr>
            <w:r w:rsidRPr="00BE150C">
              <w:rPr>
                <w:b/>
                <w:u w:val="single"/>
              </w:rPr>
              <w:t>Authority’s approach</w:t>
            </w:r>
          </w:p>
          <w:p w14:paraId="0F687242" w14:textId="05DFE576" w:rsidR="00934981" w:rsidRPr="00BE150C" w:rsidRDefault="00934981" w:rsidP="00970B54">
            <w:r w:rsidRPr="00BE150C">
              <w:t>While compliance with the</w:t>
            </w:r>
            <w:r w:rsidR="00F606B5" w:rsidRPr="00BE150C">
              <w:t xml:space="preserve"> Jobs</w:t>
            </w:r>
            <w:r w:rsidRPr="00BE150C">
              <w:t xml:space="preserve"> </w:t>
            </w:r>
            <w:r w:rsidR="00A37E6D" w:rsidRPr="00BE150C">
              <w:t>Act</w:t>
            </w:r>
            <w:r w:rsidRPr="00BE150C">
              <w:t xml:space="preserve"> is the responsibility of project proponents, the</w:t>
            </w:r>
            <w:r w:rsidR="00F606B5" w:rsidRPr="00BE150C">
              <w:t xml:space="preserve"> </w:t>
            </w:r>
            <w:r w:rsidRPr="00BE150C">
              <w:t>Authority works to ensure awareness of obligations under the</w:t>
            </w:r>
            <w:r w:rsidR="000B5520" w:rsidRPr="00BE150C">
              <w:t xml:space="preserve"> Jobs</w:t>
            </w:r>
            <w:r w:rsidRPr="00BE150C">
              <w:t xml:space="preserve"> </w:t>
            </w:r>
            <w:r w:rsidR="00A37E6D" w:rsidRPr="00BE150C">
              <w:t>Act</w:t>
            </w:r>
            <w:r w:rsidRPr="00BE150C">
              <w:t>, and makes information available to assist</w:t>
            </w:r>
            <w:r w:rsidR="00F606B5" w:rsidRPr="00BE150C">
              <w:t xml:space="preserve"> proponents</w:t>
            </w:r>
            <w:r w:rsidRPr="00BE150C">
              <w:t xml:space="preserve"> in meeting those obligations. As mentioned, the AIP website details all obligations under the</w:t>
            </w:r>
            <w:r w:rsidR="00F606B5" w:rsidRPr="00BE150C">
              <w:t xml:space="preserve"> Jobs</w:t>
            </w:r>
            <w:r w:rsidRPr="00BE150C">
              <w:t xml:space="preserve"> Act and provides the necessary templates and guidance material</w:t>
            </w:r>
            <w:r w:rsidR="00F606B5" w:rsidRPr="00BE150C">
              <w:t>s</w:t>
            </w:r>
            <w:r w:rsidRPr="00BE150C">
              <w:t xml:space="preserve">. </w:t>
            </w:r>
          </w:p>
          <w:p w14:paraId="742BEF1C" w14:textId="2F0A7DAF" w:rsidR="004337E3" w:rsidRPr="00BE150C" w:rsidRDefault="00934981" w:rsidP="00970B54">
            <w:r w:rsidRPr="00BE150C">
              <w:t>The Authority promotes and monitors compliance with the</w:t>
            </w:r>
            <w:r w:rsidR="00F606B5" w:rsidRPr="00BE150C">
              <w:t xml:space="preserve"> Jobs</w:t>
            </w:r>
            <w:r w:rsidRPr="00BE150C">
              <w:t xml:space="preserve"> Act and there are penalties for non-compliance. These include administrat</w:t>
            </w:r>
            <w:r w:rsidR="00315B7B" w:rsidRPr="00BE150C">
              <w:t>ive action or court enforcement</w:t>
            </w:r>
            <w:r w:rsidRPr="00BE150C">
              <w:rPr>
                <w:szCs w:val="20"/>
              </w:rPr>
              <w:t>. The</w:t>
            </w:r>
            <w:r w:rsidR="00F606B5" w:rsidRPr="00BE150C">
              <w:rPr>
                <w:szCs w:val="20"/>
              </w:rPr>
              <w:t xml:space="preserve"> </w:t>
            </w:r>
            <w:r w:rsidRPr="00BE150C">
              <w:rPr>
                <w:szCs w:val="20"/>
              </w:rPr>
              <w:t>Authority has not yet imposed a penalty for non-compliance. Risk to social licence and ease of meeting compliance appear to be the major reasons for compliance.</w:t>
            </w:r>
            <w:r w:rsidR="004337E3" w:rsidRPr="00BE150C">
              <w:rPr>
                <w:szCs w:val="20"/>
              </w:rPr>
              <w:t xml:space="preserve"> </w:t>
            </w:r>
            <w:r w:rsidR="004337E3" w:rsidRPr="00BE150C">
              <w:t>In 2016-17 the Authority dealt with two cases of non-complian</w:t>
            </w:r>
            <w:r w:rsidR="003210F5" w:rsidRPr="00BE150C">
              <w:t>ce</w:t>
            </w:r>
            <w:r w:rsidR="004337E3" w:rsidRPr="00BE150C">
              <w:t xml:space="preserve"> </w:t>
            </w:r>
            <w:r w:rsidR="00476967" w:rsidRPr="00BE150C">
              <w:t>according to</w:t>
            </w:r>
            <w:r w:rsidR="004337E3" w:rsidRPr="00BE150C">
              <w:t xml:space="preserve"> the level of risk and nature of non-compliance. After evaluating the cause of non-compliance and provision of targeted advice, the Authority chose not to take any further action after assessing that the proponents </w:t>
            </w:r>
            <w:r w:rsidR="00C038BB" w:rsidRPr="00BE150C">
              <w:t>had</w:t>
            </w:r>
            <w:r w:rsidR="004337E3" w:rsidRPr="00BE150C">
              <w:t xml:space="preserve"> taken steps to remedy the contravention. As a commitment to providing ongoing support for proponents, proponents </w:t>
            </w:r>
            <w:r w:rsidR="00C038BB" w:rsidRPr="00BE150C">
              <w:t>were</w:t>
            </w:r>
            <w:r w:rsidR="004337E3" w:rsidRPr="00BE150C">
              <w:t xml:space="preserve"> also encouraged to contact the Authority and seek assistance to ensure compliance.</w:t>
            </w:r>
          </w:p>
          <w:p w14:paraId="0FD191DA" w14:textId="3C43D2F8" w:rsidR="00E52412" w:rsidRPr="00BE150C" w:rsidRDefault="00934981" w:rsidP="00970B54">
            <w:r w:rsidRPr="00BE150C">
              <w:t>To ensure the</w:t>
            </w:r>
            <w:r w:rsidR="004337E3" w:rsidRPr="00BE150C">
              <w:t xml:space="preserve"> </w:t>
            </w:r>
            <w:r w:rsidRPr="00BE150C">
              <w:t xml:space="preserve">Authority has a streamlined and coordinated approach to compliance and monitoring, a number of strategies have been developed. </w:t>
            </w:r>
            <w:r w:rsidR="006C71A8" w:rsidRPr="00BE150C">
              <w:t>The</w:t>
            </w:r>
            <w:r w:rsidR="004337E3" w:rsidRPr="00BE150C">
              <w:t xml:space="preserve"> </w:t>
            </w:r>
            <w:r w:rsidR="006C71A8" w:rsidRPr="00BE150C">
              <w:t xml:space="preserve">Authority maintains a compliance </w:t>
            </w:r>
            <w:r w:rsidR="00BC1B6C" w:rsidRPr="00BE150C">
              <w:t xml:space="preserve">monitoring </w:t>
            </w:r>
            <w:r w:rsidR="00D23A66" w:rsidRPr="00BE150C">
              <w:t>database that</w:t>
            </w:r>
            <w:r w:rsidR="007E4E3C" w:rsidRPr="00BE150C">
              <w:t xml:space="preserve"> </w:t>
            </w:r>
            <w:r w:rsidR="007E4E3C" w:rsidRPr="00BE150C">
              <w:rPr>
                <w:szCs w:val="20"/>
              </w:rPr>
              <w:t xml:space="preserve">tracks </w:t>
            </w:r>
            <w:r w:rsidR="009031F8" w:rsidRPr="00BE150C">
              <w:rPr>
                <w:szCs w:val="20"/>
              </w:rPr>
              <w:t xml:space="preserve">potential major projects and includes details of </w:t>
            </w:r>
            <w:r w:rsidR="007E4E3C" w:rsidRPr="00BE150C">
              <w:rPr>
                <w:szCs w:val="20"/>
              </w:rPr>
              <w:t xml:space="preserve">project locations, proponent details, industry information and letters sent to </w:t>
            </w:r>
            <w:r w:rsidR="009031F8" w:rsidRPr="00BE150C">
              <w:rPr>
                <w:szCs w:val="20"/>
              </w:rPr>
              <w:t>proponents</w:t>
            </w:r>
            <w:r w:rsidR="007E4E3C" w:rsidRPr="00BE150C">
              <w:rPr>
                <w:szCs w:val="20"/>
              </w:rPr>
              <w:t xml:space="preserve">. The Authority’s </w:t>
            </w:r>
            <w:r w:rsidR="007E4E3C" w:rsidRPr="00BE150C">
              <w:t>primary source of data on upcoming projects is Deloitte Access Economics’ quarterly Investment Monitor. This Monitor is a comprehensive database of Australian project investment commitments and intentions across major industry sectors. Projects are categorised as ‘under construction’, ‘committed’</w:t>
            </w:r>
            <w:r w:rsidR="00CB7694" w:rsidRPr="00BE150C">
              <w:t>,</w:t>
            </w:r>
            <w:r w:rsidR="007E4E3C" w:rsidRPr="00BE150C">
              <w:t xml:space="preserve"> ’under consideration’ or ‘possible’. Information from the Monitor </w:t>
            </w:r>
            <w:r w:rsidR="00CB7694" w:rsidRPr="00BE150C">
              <w:t>is</w:t>
            </w:r>
            <w:r w:rsidR="007E4E3C" w:rsidRPr="00BE150C">
              <w:t xml:space="preserve"> complemented by ongoing reviews and cross-checking of the </w:t>
            </w:r>
            <w:r w:rsidR="001529BD" w:rsidRPr="00BE150C">
              <w:t>Chief Economist’s</w:t>
            </w:r>
            <w:r w:rsidR="007E4E3C" w:rsidRPr="00BE150C">
              <w:t xml:space="preserve"> </w:t>
            </w:r>
            <w:r w:rsidR="001529BD" w:rsidRPr="00BE150C">
              <w:t>energy and resources</w:t>
            </w:r>
            <w:r w:rsidR="007E4E3C" w:rsidRPr="00BE150C">
              <w:t xml:space="preserve"> projects register, </w:t>
            </w:r>
            <w:r w:rsidR="00007472" w:rsidRPr="00BE150C">
              <w:t>Mining Intelligence Center, Construction Intelligence Cent</w:t>
            </w:r>
            <w:r w:rsidR="003210F5" w:rsidRPr="00BE150C">
              <w:t>e</w:t>
            </w:r>
            <w:r w:rsidR="00007472" w:rsidRPr="00BE150C">
              <w:t>r</w:t>
            </w:r>
            <w:r w:rsidR="003210F5" w:rsidRPr="00BE150C">
              <w:t xml:space="preserve">, </w:t>
            </w:r>
            <w:r w:rsidR="007E4E3C" w:rsidRPr="00BE150C">
              <w:t xml:space="preserve">daily business and financial news, ASX announcements, project websites, </w:t>
            </w:r>
            <w:r w:rsidR="00600FA3" w:rsidRPr="00BE150C">
              <w:t>Morningstar</w:t>
            </w:r>
            <w:r w:rsidR="007E4E3C" w:rsidRPr="00BE150C">
              <w:t xml:space="preserve"> and internal departmental intelligence. </w:t>
            </w:r>
            <w:r w:rsidR="00CB7694" w:rsidRPr="00BE150C">
              <w:t>S</w:t>
            </w:r>
            <w:r w:rsidR="007E4E3C" w:rsidRPr="00BE150C">
              <w:t xml:space="preserve">ome projects </w:t>
            </w:r>
            <w:r w:rsidR="00CB7694" w:rsidRPr="00BE150C">
              <w:t>may</w:t>
            </w:r>
            <w:r w:rsidR="007E4E3C" w:rsidRPr="00BE150C">
              <w:t xml:space="preserve"> be identified to the department directly by third parties.</w:t>
            </w:r>
            <w:r w:rsidR="00235790" w:rsidRPr="00BE150C">
              <w:t xml:space="preserve"> </w:t>
            </w:r>
            <w:r w:rsidR="00E52412" w:rsidRPr="00BE150C">
              <w:t>After reviewing the data, the</w:t>
            </w:r>
            <w:r w:rsidR="00C81F83" w:rsidRPr="00BE150C">
              <w:t xml:space="preserve"> </w:t>
            </w:r>
            <w:r w:rsidR="00E52412" w:rsidRPr="00BE150C">
              <w:t>Authority may notify potential project proponents of compliance obligations under the</w:t>
            </w:r>
            <w:r w:rsidR="00C81F83" w:rsidRPr="00BE150C">
              <w:t xml:space="preserve"> Jobs</w:t>
            </w:r>
            <w:r w:rsidR="00E52412" w:rsidRPr="00BE150C">
              <w:t xml:space="preserve"> Act.</w:t>
            </w:r>
            <w:r w:rsidR="00482082" w:rsidRPr="00BE150C">
              <w:t xml:space="preserve"> </w:t>
            </w:r>
            <w:r w:rsidR="005460B6" w:rsidRPr="00BE150C">
              <w:t>Some projects only come to the attention of the Authority when a notification or draft AIP plan is lodged.</w:t>
            </w:r>
          </w:p>
          <w:p w14:paraId="75D505D3" w14:textId="4A6F455D" w:rsidR="00E52412" w:rsidRPr="00BE150C" w:rsidRDefault="00482466" w:rsidP="00970B54">
            <w:r w:rsidRPr="00BE150C">
              <w:t xml:space="preserve">All project proponents </w:t>
            </w:r>
            <w:r w:rsidR="00BC1B6C" w:rsidRPr="00BE150C">
              <w:t xml:space="preserve">submitting project notifications </w:t>
            </w:r>
            <w:r w:rsidR="00D23A66" w:rsidRPr="00BE150C">
              <w:t>or</w:t>
            </w:r>
            <w:r w:rsidR="00C81F83" w:rsidRPr="00BE150C">
              <w:t xml:space="preserve"> draft</w:t>
            </w:r>
            <w:r w:rsidR="00D23A66" w:rsidRPr="00BE150C">
              <w:t xml:space="preserve"> AIP</w:t>
            </w:r>
            <w:r w:rsidRPr="00BE150C">
              <w:t xml:space="preserve"> plans are recorded in the </w:t>
            </w:r>
            <w:r w:rsidR="00BC1B6C" w:rsidRPr="00BE150C">
              <w:t>Authority’s register</w:t>
            </w:r>
            <w:r w:rsidRPr="00BE150C">
              <w:t xml:space="preserve"> with dates listed for obligations</w:t>
            </w:r>
            <w:r w:rsidR="004C488F" w:rsidRPr="00BE150C">
              <w:t>. A</w:t>
            </w:r>
            <w:r w:rsidRPr="00BE150C">
              <w:t xml:space="preserve"> </w:t>
            </w:r>
            <w:r w:rsidR="00BC1B6C" w:rsidRPr="00BE150C">
              <w:t>c</w:t>
            </w:r>
            <w:r w:rsidR="00235790" w:rsidRPr="00BE150C">
              <w:t>ase manager is allocated</w:t>
            </w:r>
            <w:r w:rsidR="00BC1B6C" w:rsidRPr="00BE150C">
              <w:t xml:space="preserve"> </w:t>
            </w:r>
            <w:r w:rsidR="00235790" w:rsidRPr="00BE150C">
              <w:t>and project contacts are advised</w:t>
            </w:r>
            <w:r w:rsidRPr="00BE150C">
              <w:t xml:space="preserve"> ahead of dat</w:t>
            </w:r>
            <w:r w:rsidR="00CB7694" w:rsidRPr="00BE150C">
              <w:t>es where compliance i</w:t>
            </w:r>
            <w:r w:rsidRPr="00BE150C">
              <w:t>s required.</w:t>
            </w:r>
          </w:p>
          <w:p w14:paraId="084D613F" w14:textId="3C7C23BF" w:rsidR="00934981" w:rsidRPr="00BE150C" w:rsidRDefault="003A7940" w:rsidP="00970B54">
            <w:r w:rsidRPr="00BE150C">
              <w:t>On the</w:t>
            </w:r>
            <w:r w:rsidR="004C488F" w:rsidRPr="00BE150C">
              <w:t xml:space="preserve"> AIP</w:t>
            </w:r>
            <w:r w:rsidRPr="00BE150C">
              <w:t xml:space="preserve"> website, the</w:t>
            </w:r>
            <w:r w:rsidR="004C488F" w:rsidRPr="00BE150C">
              <w:t xml:space="preserve"> </w:t>
            </w:r>
            <w:r w:rsidRPr="00BE150C">
              <w:t xml:space="preserve">Authority provides details for stakeholders to </w:t>
            </w:r>
            <w:r w:rsidR="00510E97" w:rsidRPr="00BE150C">
              <w:t>raise compliance issues</w:t>
            </w:r>
            <w:r w:rsidRPr="00BE150C">
              <w:t>.</w:t>
            </w:r>
            <w:r w:rsidR="004653A2" w:rsidRPr="00BE150C">
              <w:t xml:space="preserve"> The AIP hotline</w:t>
            </w:r>
            <w:r w:rsidR="00656191" w:rsidRPr="00BE150C">
              <w:t xml:space="preserve"> and </w:t>
            </w:r>
            <w:r w:rsidR="00B87B79" w:rsidRPr="00BE150C">
              <w:t>AIP</w:t>
            </w:r>
            <w:r w:rsidR="00656191" w:rsidRPr="00BE150C">
              <w:t xml:space="preserve"> inbox</w:t>
            </w:r>
            <w:r w:rsidR="004653A2" w:rsidRPr="00BE150C">
              <w:t xml:space="preserve"> </w:t>
            </w:r>
            <w:r w:rsidR="00656191" w:rsidRPr="00BE150C">
              <w:t>are</w:t>
            </w:r>
            <w:r w:rsidR="004653A2" w:rsidRPr="00BE150C">
              <w:t xml:space="preserve"> key contact points for </w:t>
            </w:r>
            <w:r w:rsidR="00656191" w:rsidRPr="00BE150C">
              <w:t>stakeholders</w:t>
            </w:r>
            <w:r w:rsidR="004653A2" w:rsidRPr="00BE150C">
              <w:t xml:space="preserve"> to find out about the Jobs Act and compliance requirements or to lodge a complaint or feedback.</w:t>
            </w:r>
            <w:r w:rsidR="00656191" w:rsidRPr="00BE150C">
              <w:t xml:space="preserve"> </w:t>
            </w:r>
            <w:r w:rsidR="004C488F" w:rsidRPr="00BE150C">
              <w:t>In 2016-17</w:t>
            </w:r>
            <w:r w:rsidRPr="00BE150C">
              <w:t>, the</w:t>
            </w:r>
            <w:r w:rsidR="004C488F" w:rsidRPr="00BE150C">
              <w:t xml:space="preserve"> </w:t>
            </w:r>
            <w:r w:rsidRPr="00BE150C">
              <w:t xml:space="preserve">Authority </w:t>
            </w:r>
            <w:r w:rsidR="004C488F" w:rsidRPr="00BE150C">
              <w:t>did not</w:t>
            </w:r>
            <w:r w:rsidRPr="00BE150C">
              <w:t xml:space="preserve"> receive </w:t>
            </w:r>
            <w:r w:rsidR="004C488F" w:rsidRPr="00BE150C">
              <w:t xml:space="preserve">any </w:t>
            </w:r>
            <w:r w:rsidR="00D0799F" w:rsidRPr="00BE150C">
              <w:t>complaint</w:t>
            </w:r>
            <w:r w:rsidR="00A33BC3" w:rsidRPr="00BE150C">
              <w:t>s</w:t>
            </w:r>
            <w:r w:rsidR="004C488F" w:rsidRPr="00BE150C">
              <w:t xml:space="preserve">. </w:t>
            </w:r>
          </w:p>
          <w:p w14:paraId="0E16E307" w14:textId="208011F5" w:rsidR="00A02522" w:rsidRPr="00BE150C" w:rsidRDefault="00934981" w:rsidP="00970B54">
            <w:r w:rsidRPr="00BE150C">
              <w:t xml:space="preserve">The Authority acknowledges that states and territories have local industry participation plan requirements. Under </w:t>
            </w:r>
            <w:r w:rsidR="0073046D" w:rsidRPr="00BE150C">
              <w:t>s</w:t>
            </w:r>
            <w:r w:rsidR="003423CA" w:rsidRPr="00BE150C">
              <w:t>ection 17(5) of the Jobs</w:t>
            </w:r>
            <w:r w:rsidRPr="00BE150C">
              <w:t xml:space="preserve"> Act, a project proponent </w:t>
            </w:r>
            <w:r w:rsidR="00C038BB" w:rsidRPr="00BE150C">
              <w:t>may</w:t>
            </w:r>
            <w:r w:rsidRPr="00BE150C">
              <w:t xml:space="preserve"> gain an exception </w:t>
            </w:r>
            <w:r w:rsidR="00C038BB" w:rsidRPr="00BE150C">
              <w:t>to giving a draft</w:t>
            </w:r>
            <w:r w:rsidRPr="00BE150C">
              <w:t xml:space="preserve"> AIP plan to the</w:t>
            </w:r>
            <w:r w:rsidR="003423CA" w:rsidRPr="00BE150C">
              <w:t xml:space="preserve"> </w:t>
            </w:r>
            <w:r w:rsidRPr="00BE150C">
              <w:t>Authority if a plan has been prepared for a state or territory that complies with the conditions specified in the legislative rules.</w:t>
            </w:r>
          </w:p>
          <w:p w14:paraId="14E3E5BE" w14:textId="5D40DCB6" w:rsidR="002E4A5C" w:rsidRPr="00BE150C" w:rsidRDefault="002E4A5C" w:rsidP="00970B54">
            <w:pPr>
              <w:rPr>
                <w:b/>
                <w:szCs w:val="24"/>
                <w:u w:val="single"/>
              </w:rPr>
            </w:pPr>
            <w:r w:rsidRPr="00BE150C">
              <w:rPr>
                <w:b/>
                <w:szCs w:val="24"/>
                <w:u w:val="single"/>
              </w:rPr>
              <w:t xml:space="preserve">2015-16 </w:t>
            </w:r>
            <w:r w:rsidR="00533C17" w:rsidRPr="00BE150C">
              <w:rPr>
                <w:b/>
                <w:szCs w:val="24"/>
                <w:u w:val="single"/>
              </w:rPr>
              <w:t>s</w:t>
            </w:r>
            <w:r w:rsidRPr="00BE150C">
              <w:rPr>
                <w:b/>
                <w:szCs w:val="24"/>
                <w:u w:val="single"/>
              </w:rPr>
              <w:t>urvey results</w:t>
            </w:r>
          </w:p>
          <w:p w14:paraId="0D35503D" w14:textId="470BC5DE" w:rsidR="002E4A5C" w:rsidRPr="00BE150C" w:rsidRDefault="00E742BD" w:rsidP="00970B54">
            <w:r w:rsidRPr="00BE150C">
              <w:t>Responses included the perception that there are different standards of compliance</w:t>
            </w:r>
            <w:r w:rsidR="005D0FC0" w:rsidRPr="00BE150C">
              <w:t>.</w:t>
            </w:r>
          </w:p>
          <w:p w14:paraId="562446AC" w14:textId="3FB81AAB" w:rsidR="002E4A5C" w:rsidRPr="00BE150C" w:rsidRDefault="002E4A5C" w:rsidP="00970B54">
            <w:pPr>
              <w:rPr>
                <w:b/>
                <w:szCs w:val="24"/>
                <w:u w:val="single"/>
              </w:rPr>
            </w:pPr>
            <w:r w:rsidRPr="00BE150C">
              <w:rPr>
                <w:b/>
                <w:szCs w:val="24"/>
                <w:u w:val="single"/>
              </w:rPr>
              <w:t>Improvements and activities in 2016-17</w:t>
            </w:r>
          </w:p>
          <w:p w14:paraId="5F3988AC" w14:textId="6C3DA6E0" w:rsidR="005879A2" w:rsidRPr="00BE150C" w:rsidRDefault="00F941AB" w:rsidP="00970B54">
            <w:r w:rsidRPr="00BE150C">
              <w:t xml:space="preserve">As mentioned above, </w:t>
            </w:r>
            <w:r w:rsidR="005879A2" w:rsidRPr="00BE150C">
              <w:t>the</w:t>
            </w:r>
            <w:r w:rsidR="004337E3" w:rsidRPr="00BE150C">
              <w:t xml:space="preserve"> </w:t>
            </w:r>
            <w:r w:rsidR="005879A2" w:rsidRPr="00BE150C">
              <w:t xml:space="preserve">Authority </w:t>
            </w:r>
            <w:r w:rsidRPr="00BE150C">
              <w:t xml:space="preserve">resolved </w:t>
            </w:r>
            <w:r w:rsidR="005879A2" w:rsidRPr="00BE150C">
              <w:t>two cases of non-complian</w:t>
            </w:r>
            <w:r w:rsidR="00811F01" w:rsidRPr="00BE150C">
              <w:t>ce</w:t>
            </w:r>
            <w:r w:rsidRPr="00BE150C">
              <w:t xml:space="preserve"> </w:t>
            </w:r>
            <w:r w:rsidR="005879A2" w:rsidRPr="00BE150C">
              <w:t xml:space="preserve">appropriate with the level of risk and nature of non-compliance. </w:t>
            </w:r>
            <w:r w:rsidR="004E1AE3" w:rsidRPr="00BE150C">
              <w:t>This is consistent with the Authority’s approach to make proponents aware of their obligations and provide guidance to remedy any non-compliance without resorting to administrative actions or court enfor</w:t>
            </w:r>
            <w:r w:rsidR="009525EE" w:rsidRPr="00BE150C">
              <w:t>ce</w:t>
            </w:r>
            <w:r w:rsidR="004E1AE3" w:rsidRPr="00BE150C">
              <w:t>ment.</w:t>
            </w:r>
          </w:p>
          <w:p w14:paraId="1B986F74" w14:textId="414A66FF" w:rsidR="002E4A5C" w:rsidRPr="00BE150C" w:rsidRDefault="00123613" w:rsidP="00970B54">
            <w:r w:rsidRPr="00BE150C">
              <w:t>Consistent with the Authority’s approach to encourage proponents to comply voluntarily before they have contravened the Jobs Act, i</w:t>
            </w:r>
            <w:r w:rsidR="009525EE" w:rsidRPr="00BE150C">
              <w:t xml:space="preserve">n 2016-17 the Authority wrote to 14 project proponents alerting them to their potential obligations under the Jobs Act and </w:t>
            </w:r>
            <w:r w:rsidRPr="00BE150C">
              <w:t xml:space="preserve">providing guidance on meeting their obligations. Compliance outcomes were recorded in the </w:t>
            </w:r>
            <w:r w:rsidR="00811F01" w:rsidRPr="00BE150C">
              <w:t>database</w:t>
            </w:r>
            <w:r w:rsidRPr="00BE150C">
              <w:t xml:space="preserve">. </w:t>
            </w:r>
          </w:p>
        </w:tc>
      </w:tr>
    </w:tbl>
    <w:p w14:paraId="71736B56" w14:textId="77777777" w:rsidR="007E53F5" w:rsidRPr="00BE150C" w:rsidRDefault="007E53F5" w:rsidP="00B12E3E">
      <w:pPr>
        <w:spacing w:after="0" w:line="240" w:lineRule="auto"/>
      </w:pP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8655C" w:rsidRPr="00BE150C" w14:paraId="4161173D" w14:textId="77777777" w:rsidTr="0098655C">
        <w:tc>
          <w:tcPr>
            <w:tcW w:w="8544" w:type="dxa"/>
            <w:shd w:val="clear" w:color="auto" w:fill="005677" w:themeFill="accent1"/>
          </w:tcPr>
          <w:p w14:paraId="463D8697" w14:textId="77777777" w:rsidR="0098655C" w:rsidRPr="00BE150C" w:rsidRDefault="0098655C" w:rsidP="00970B54">
            <w:pPr>
              <w:pStyle w:val="Heading2"/>
              <w:outlineLvl w:val="1"/>
            </w:pPr>
            <w:bookmarkStart w:id="42" w:name="_Toc455036865"/>
            <w:bookmarkStart w:id="43" w:name="_Toc481139985"/>
            <w:r w:rsidRPr="00BE150C">
              <w:t>KPI 5</w:t>
            </w:r>
            <w:bookmarkEnd w:id="42"/>
            <w:r w:rsidR="00E0139A" w:rsidRPr="00BE150C">
              <w:t xml:space="preserve">: </w:t>
            </w:r>
            <w:r w:rsidR="00E0139A" w:rsidRPr="00BE150C">
              <w:rPr>
                <w:szCs w:val="22"/>
              </w:rPr>
              <w:t>Regulators are open and transparent in their dealings with regulated entities</w:t>
            </w:r>
            <w:bookmarkEnd w:id="43"/>
          </w:p>
        </w:tc>
      </w:tr>
      <w:tr w:rsidR="0098655C" w:rsidRPr="00BE150C" w14:paraId="74F0D203" w14:textId="77777777" w:rsidTr="00482082">
        <w:trPr>
          <w:trHeight w:val="510"/>
        </w:trPr>
        <w:tc>
          <w:tcPr>
            <w:tcW w:w="8544" w:type="dxa"/>
            <w:shd w:val="clear" w:color="auto" w:fill="auto"/>
          </w:tcPr>
          <w:p w14:paraId="3E4354C1" w14:textId="4363BF4E" w:rsidR="00614932" w:rsidRPr="00BE150C" w:rsidRDefault="00614932" w:rsidP="00970B54">
            <w:pPr>
              <w:rPr>
                <w:b/>
                <w:u w:val="single"/>
              </w:rPr>
            </w:pPr>
            <w:r w:rsidRPr="00BE150C">
              <w:rPr>
                <w:b/>
                <w:u w:val="single"/>
              </w:rPr>
              <w:t>KPI expectations and performance measures</w:t>
            </w:r>
          </w:p>
          <w:p w14:paraId="44C54478" w14:textId="428EDFB3" w:rsidR="00B7534B" w:rsidRPr="00BE150C" w:rsidRDefault="00B7534B" w:rsidP="00970B54">
            <w:r w:rsidRPr="00BE150C">
              <w:t>KPI</w:t>
            </w:r>
            <w:r w:rsidR="00811F01" w:rsidRPr="00BE150C">
              <w:t xml:space="preserve"> 5</w:t>
            </w:r>
            <w:r w:rsidRPr="00BE150C">
              <w:t xml:space="preserve"> ensures regulators are open and transparent during the regulatory process, fostering the confidence of regulated entities. Transparency also increases the accountability of both regulators and the government.</w:t>
            </w:r>
            <w:r w:rsidR="00811F01" w:rsidRPr="00BE150C">
              <w:t xml:space="preserve"> This KPI is linked to performance commitment (PM 1).</w:t>
            </w:r>
          </w:p>
          <w:p w14:paraId="5EE08A1B" w14:textId="7E289D35" w:rsidR="006F7BE9" w:rsidRPr="00BE150C" w:rsidRDefault="006F7BE9" w:rsidP="00970B54">
            <w:pPr>
              <w:pStyle w:val="CommentText"/>
              <w:rPr>
                <w:sz w:val="20"/>
                <w:szCs w:val="22"/>
              </w:rPr>
            </w:pPr>
            <w:r w:rsidRPr="00BE150C">
              <w:rPr>
                <w:sz w:val="20"/>
                <w:szCs w:val="22"/>
              </w:rPr>
              <w:t>Measure used for this KPI:</w:t>
            </w:r>
          </w:p>
          <w:p w14:paraId="671F17D4" w14:textId="5376A84F" w:rsidR="009904E2" w:rsidRPr="00BE150C" w:rsidRDefault="009904E2" w:rsidP="00970B54">
            <w:pPr>
              <w:pStyle w:val="ListParagraph"/>
              <w:numPr>
                <w:ilvl w:val="0"/>
                <w:numId w:val="15"/>
              </w:numPr>
              <w:rPr>
                <w:sz w:val="20"/>
              </w:rPr>
            </w:pPr>
            <w:r w:rsidRPr="00BE150C">
              <w:rPr>
                <w:sz w:val="20"/>
              </w:rPr>
              <w:t>Performance commitment (PM 1): Demonstrating a clear comm</w:t>
            </w:r>
            <w:r w:rsidR="00F55049" w:rsidRPr="00BE150C">
              <w:rPr>
                <w:sz w:val="20"/>
              </w:rPr>
              <w:t>itment to performance standards</w:t>
            </w:r>
            <w:r w:rsidRPr="00BE150C">
              <w:rPr>
                <w:sz w:val="20"/>
              </w:rPr>
              <w:t xml:space="preserve"> that are transparent to all stakeholders and monitoring progress against these standards.</w:t>
            </w:r>
          </w:p>
          <w:p w14:paraId="132136BC" w14:textId="77777777" w:rsidR="00614932" w:rsidRPr="00BE150C" w:rsidRDefault="00614932" w:rsidP="00970B54">
            <w:pPr>
              <w:rPr>
                <w:b/>
                <w:u w:val="single"/>
              </w:rPr>
            </w:pPr>
            <w:r w:rsidRPr="00BE150C">
              <w:rPr>
                <w:b/>
                <w:u w:val="single"/>
              </w:rPr>
              <w:t>Authority’s approach</w:t>
            </w:r>
          </w:p>
          <w:p w14:paraId="2EE2210B" w14:textId="7723E985" w:rsidR="00642229" w:rsidRPr="00BE150C" w:rsidRDefault="00642229" w:rsidP="00970B54">
            <w:r w:rsidRPr="00BE150C">
              <w:t>Stakeholder engagement with regulated entities is key to transparency. As detailed in</w:t>
            </w:r>
            <w:r w:rsidR="005A577C" w:rsidRPr="00BE150C">
              <w:t xml:space="preserve"> the</w:t>
            </w:r>
            <w:r w:rsidRPr="00BE150C">
              <w:t xml:space="preserve"> other KPIs, the Authority has well established methods </w:t>
            </w:r>
            <w:r w:rsidR="00235790" w:rsidRPr="00BE150C">
              <w:t>for stakeholder communication,</w:t>
            </w:r>
            <w:r w:rsidRPr="00BE150C">
              <w:t xml:space="preserve"> including the</w:t>
            </w:r>
            <w:r w:rsidR="00835EE6" w:rsidRPr="00BE150C">
              <w:t xml:space="preserve"> AIP</w:t>
            </w:r>
            <w:r w:rsidRPr="00BE150C">
              <w:t xml:space="preserve"> website, </w:t>
            </w:r>
            <w:r w:rsidR="00673AF3" w:rsidRPr="00BE150C">
              <w:t>AIP hot</w:t>
            </w:r>
            <w:r w:rsidRPr="00BE150C">
              <w:t xml:space="preserve">line and </w:t>
            </w:r>
            <w:r w:rsidR="0039288E" w:rsidRPr="00BE150C">
              <w:t xml:space="preserve">AIP </w:t>
            </w:r>
            <w:r w:rsidRPr="00BE150C">
              <w:t>inbox, as well as designated case managers for proponents</w:t>
            </w:r>
            <w:r w:rsidR="005A577C" w:rsidRPr="00BE150C">
              <w:t xml:space="preserve"> for AIP plan and compliance report submissions</w:t>
            </w:r>
            <w:r w:rsidRPr="00BE150C">
              <w:t>.</w:t>
            </w:r>
            <w:r w:rsidR="00D62612" w:rsidRPr="00BE150C">
              <w:t xml:space="preserve"> </w:t>
            </w:r>
            <w:r w:rsidR="00235790" w:rsidRPr="00BE150C">
              <w:t>Upon contacting</w:t>
            </w:r>
            <w:r w:rsidR="00D62612" w:rsidRPr="00BE150C">
              <w:t xml:space="preserve"> the Authority, a case manager </w:t>
            </w:r>
            <w:r w:rsidR="00235790" w:rsidRPr="00BE150C">
              <w:t>is allocated to a stakeholder</w:t>
            </w:r>
            <w:r w:rsidR="00EE2E72" w:rsidRPr="00BE150C">
              <w:t xml:space="preserve"> </w:t>
            </w:r>
            <w:r w:rsidR="00D62612" w:rsidRPr="00BE150C">
              <w:t>to assist</w:t>
            </w:r>
            <w:r w:rsidR="003822D5" w:rsidRPr="00BE150C">
              <w:t xml:space="preserve"> proponents</w:t>
            </w:r>
            <w:r w:rsidR="00D62612" w:rsidRPr="00BE150C">
              <w:t xml:space="preserve"> </w:t>
            </w:r>
            <w:r w:rsidR="00EE2E72" w:rsidRPr="00BE150C">
              <w:t>with</w:t>
            </w:r>
            <w:r w:rsidR="00D62612" w:rsidRPr="00BE150C">
              <w:t xml:space="preserve"> meeting compliance responsibilities. Case managers assist stakeholders </w:t>
            </w:r>
            <w:r w:rsidR="00EE2E72" w:rsidRPr="00BE150C">
              <w:t>via</w:t>
            </w:r>
            <w:r w:rsidR="00D62612" w:rsidRPr="00BE150C">
              <w:t xml:space="preserve"> phone, email and</w:t>
            </w:r>
            <w:r w:rsidR="005A577C" w:rsidRPr="00BE150C">
              <w:t>/or</w:t>
            </w:r>
            <w:r w:rsidR="00D62612" w:rsidRPr="00BE150C">
              <w:t xml:space="preserve"> face</w:t>
            </w:r>
            <w:r w:rsidR="005A577C" w:rsidRPr="00BE150C">
              <w:t>-</w:t>
            </w:r>
            <w:r w:rsidR="00D62612" w:rsidRPr="00BE150C">
              <w:t>to</w:t>
            </w:r>
            <w:r w:rsidR="005A577C" w:rsidRPr="00BE150C">
              <w:t>-</w:t>
            </w:r>
            <w:r w:rsidR="00D62612" w:rsidRPr="00BE150C">
              <w:t>face meetings.</w:t>
            </w:r>
          </w:p>
          <w:p w14:paraId="341A7498" w14:textId="50783610" w:rsidR="00642229" w:rsidRPr="00BE150C" w:rsidRDefault="00642229" w:rsidP="00970B54">
            <w:r w:rsidRPr="00BE150C">
              <w:t>The expectations of the Authority are clearly outlined in website text or within guidance documents and are easily accessible to stakeholders.</w:t>
            </w:r>
            <w:r w:rsidR="00E073BF" w:rsidRPr="00BE150C">
              <w:t xml:space="preserve"> To assist proponents to better understand the notification timeline and the obligations and requirements of the Jobs Act, the Authority has updated the </w:t>
            </w:r>
            <w:r w:rsidR="0048600E" w:rsidRPr="00BE150C">
              <w:t>FAQ</w:t>
            </w:r>
            <w:r w:rsidR="00E073BF" w:rsidRPr="00BE150C">
              <w:t xml:space="preserve"> document on the AIP website. </w:t>
            </w:r>
            <w:r w:rsidR="008C6763" w:rsidRPr="00BE150C">
              <w:t>An AIP Process Map</w:t>
            </w:r>
            <w:r w:rsidR="00E073BF" w:rsidRPr="00BE150C">
              <w:t xml:space="preserve"> </w:t>
            </w:r>
            <w:r w:rsidR="008C6763" w:rsidRPr="00BE150C">
              <w:t>has</w:t>
            </w:r>
            <w:r w:rsidR="00E073BF" w:rsidRPr="00BE150C">
              <w:t xml:space="preserve"> also been </w:t>
            </w:r>
            <w:r w:rsidR="008C6763" w:rsidRPr="00BE150C">
              <w:t xml:space="preserve">developed and published </w:t>
            </w:r>
            <w:r w:rsidR="003822D5" w:rsidRPr="00BE150C">
              <w:t>providing</w:t>
            </w:r>
            <w:r w:rsidR="00E073BF" w:rsidRPr="00BE150C">
              <w:t xml:space="preserve"> an overview</w:t>
            </w:r>
            <w:r w:rsidR="008C6763" w:rsidRPr="00BE150C">
              <w:t xml:space="preserve"> of the AIP plan</w:t>
            </w:r>
            <w:r w:rsidR="003822D5" w:rsidRPr="00BE150C">
              <w:t xml:space="preserve"> and compliance</w:t>
            </w:r>
            <w:r w:rsidR="008C6763" w:rsidRPr="00BE150C">
              <w:t xml:space="preserve"> decision-making process. </w:t>
            </w:r>
          </w:p>
          <w:p w14:paraId="32EFE07B" w14:textId="58D3279F" w:rsidR="00653BD4" w:rsidRPr="00BE150C" w:rsidRDefault="00653BD4" w:rsidP="00970B54">
            <w:r w:rsidRPr="00BE150C">
              <w:t>Section 18(10) of t</w:t>
            </w:r>
            <w:r w:rsidR="0022106D" w:rsidRPr="00BE150C">
              <w:t xml:space="preserve">he </w:t>
            </w:r>
            <w:r w:rsidR="00200B50" w:rsidRPr="00BE150C">
              <w:t xml:space="preserve">Jobs </w:t>
            </w:r>
            <w:r w:rsidR="00A37E6D" w:rsidRPr="00BE150C">
              <w:t>Act</w:t>
            </w:r>
            <w:r w:rsidR="0022106D" w:rsidRPr="00BE150C">
              <w:t xml:space="preserve"> specifies that the Authority </w:t>
            </w:r>
            <w:r w:rsidR="00871C56" w:rsidRPr="00BE150C">
              <w:t xml:space="preserve">should </w:t>
            </w:r>
            <w:r w:rsidR="0022106D" w:rsidRPr="00BE150C">
              <w:t xml:space="preserve">approve or refuse AIP plans within 30 days of submission. When the Authority receives a </w:t>
            </w:r>
            <w:r w:rsidR="00871C56" w:rsidRPr="00BE150C">
              <w:t xml:space="preserve">draft </w:t>
            </w:r>
            <w:r w:rsidR="0022106D" w:rsidRPr="00BE150C">
              <w:t xml:space="preserve">AIP plan for approval, the </w:t>
            </w:r>
            <w:r w:rsidR="005B0E5B" w:rsidRPr="00BE150C">
              <w:t>executive</w:t>
            </w:r>
            <w:r w:rsidR="0022106D" w:rsidRPr="00BE150C">
              <w:t xml:space="preserve"> summary of the plan is placed on the AIP website within one day of receipt. The summary identifies the date the plan </w:t>
            </w:r>
            <w:r w:rsidR="009A2D8A" w:rsidRPr="00BE150C">
              <w:t xml:space="preserve">was </w:t>
            </w:r>
            <w:r w:rsidR="0022106D" w:rsidRPr="00BE150C">
              <w:t xml:space="preserve">received and </w:t>
            </w:r>
            <w:r w:rsidR="005B0E5B" w:rsidRPr="00BE150C">
              <w:t xml:space="preserve">until the Authority approves the plan, </w:t>
            </w:r>
            <w:r w:rsidR="00EE2E72" w:rsidRPr="00BE150C">
              <w:t>the</w:t>
            </w:r>
            <w:r w:rsidR="00871C56" w:rsidRPr="00BE150C">
              <w:t xml:space="preserve"> published status</w:t>
            </w:r>
            <w:r w:rsidR="005B0E5B" w:rsidRPr="00BE150C">
              <w:t xml:space="preserve"> is ’</w:t>
            </w:r>
            <w:r w:rsidR="00F55049" w:rsidRPr="00BE150C">
              <w:t>Under C</w:t>
            </w:r>
            <w:r w:rsidR="00EE2E72" w:rsidRPr="00BE150C">
              <w:t>onsideration’. P</w:t>
            </w:r>
            <w:r w:rsidR="005B0E5B" w:rsidRPr="00BE150C">
              <w:t>roponents can monitor the Authority’s progress on meeting the 30 day requirement.</w:t>
            </w:r>
            <w:r w:rsidR="00871C56" w:rsidRPr="00BE150C">
              <w:t xml:space="preserve"> Stakeholders can also </w:t>
            </w:r>
            <w:r w:rsidR="00EE2E72" w:rsidRPr="00BE150C">
              <w:t>obtain</w:t>
            </w:r>
            <w:r w:rsidR="00871C56" w:rsidRPr="00BE150C">
              <w:t xml:space="preserve"> information about each project and </w:t>
            </w:r>
            <w:r w:rsidR="00EE2E72" w:rsidRPr="00BE150C">
              <w:t>corresponding</w:t>
            </w:r>
            <w:r w:rsidR="00871C56" w:rsidRPr="00BE150C">
              <w:t xml:space="preserve"> AIP activities from</w:t>
            </w:r>
            <w:r w:rsidR="00EE2E72" w:rsidRPr="00BE150C">
              <w:t xml:space="preserve"> the published summaries and</w:t>
            </w:r>
            <w:r w:rsidR="00871C56" w:rsidRPr="00BE150C">
              <w:t xml:space="preserve"> subsequent updates. </w:t>
            </w:r>
          </w:p>
          <w:p w14:paraId="75F7BDA3" w14:textId="79A6A66B" w:rsidR="0022106D" w:rsidRPr="00BE150C" w:rsidRDefault="005B0C2F" w:rsidP="00970B54">
            <w:r w:rsidRPr="00BE150C">
              <w:t>In 2016-17, the Authority approved a total of 11 draft AIP plans</w:t>
            </w:r>
            <w:r w:rsidR="008E3DA9" w:rsidRPr="00BE150C">
              <w:t xml:space="preserve">, including one resubmission, </w:t>
            </w:r>
            <w:r w:rsidR="009A2D8A" w:rsidRPr="00BE150C">
              <w:t xml:space="preserve">all </w:t>
            </w:r>
            <w:r w:rsidRPr="00BE150C">
              <w:t xml:space="preserve">within 30 days of submission. </w:t>
            </w:r>
            <w:r w:rsidR="008E3DA9" w:rsidRPr="00BE150C">
              <w:t xml:space="preserve">The resubmission was due to </w:t>
            </w:r>
            <w:r w:rsidRPr="00BE150C">
              <w:t>the Authority</w:t>
            </w:r>
            <w:r w:rsidR="008E3DA9" w:rsidRPr="00BE150C">
              <w:t>’s request</w:t>
            </w:r>
            <w:r w:rsidRPr="00BE150C">
              <w:t xml:space="preserve"> for additional information and</w:t>
            </w:r>
            <w:r w:rsidR="008E3DA9" w:rsidRPr="00BE150C">
              <w:t xml:space="preserve"> </w:t>
            </w:r>
            <w:r w:rsidRPr="00BE150C">
              <w:t>subsequent correction by the proponent.</w:t>
            </w:r>
            <w:r w:rsidR="002E1D8B" w:rsidRPr="00BE150C">
              <w:t xml:space="preserve"> Communication to the proponent was clear and transparent during this period resulting in</w:t>
            </w:r>
            <w:r w:rsidRPr="00BE150C">
              <w:t xml:space="preserve"> </w:t>
            </w:r>
            <w:r w:rsidR="000A220D" w:rsidRPr="00BE150C">
              <w:t xml:space="preserve">approval </w:t>
            </w:r>
            <w:r w:rsidR="002E1D8B" w:rsidRPr="00BE150C">
              <w:t xml:space="preserve">being </w:t>
            </w:r>
            <w:r w:rsidR="000A220D" w:rsidRPr="00BE150C">
              <w:t>granted within 30 days upon resubmission.</w:t>
            </w:r>
            <w:r w:rsidRPr="00BE150C">
              <w:t xml:space="preserve"> </w:t>
            </w:r>
          </w:p>
          <w:p w14:paraId="3C330EED" w14:textId="5DF5611A" w:rsidR="00642229" w:rsidRPr="00BE150C" w:rsidRDefault="00EE2E72" w:rsidP="00970B54">
            <w:r w:rsidRPr="00BE150C">
              <w:t>According to</w:t>
            </w:r>
            <w:r w:rsidR="00642229" w:rsidRPr="00BE150C">
              <w:t xml:space="preserve"> the </w:t>
            </w:r>
            <w:r w:rsidR="00554660" w:rsidRPr="00BE150C">
              <w:t xml:space="preserve">2015-16 </w:t>
            </w:r>
            <w:r w:rsidR="00642229" w:rsidRPr="00BE150C">
              <w:t xml:space="preserve">stakeholder survey, regulated entities </w:t>
            </w:r>
            <w:r w:rsidRPr="00BE150C">
              <w:t>clearly understand</w:t>
            </w:r>
            <w:r w:rsidR="00D64921" w:rsidRPr="00BE150C">
              <w:t xml:space="preserve"> the</w:t>
            </w:r>
            <w:r w:rsidRPr="00BE150C">
              <w:t xml:space="preserve"> Authority</w:t>
            </w:r>
            <w:r w:rsidR="00D64921" w:rsidRPr="00BE150C">
              <w:t>’s</w:t>
            </w:r>
            <w:r w:rsidR="00642229" w:rsidRPr="00BE150C">
              <w:t xml:space="preserve"> expectations on requirements under the</w:t>
            </w:r>
            <w:r w:rsidR="000B5520" w:rsidRPr="00BE150C">
              <w:t xml:space="preserve"> Jobs</w:t>
            </w:r>
            <w:r w:rsidR="00BF76D3" w:rsidRPr="00BE150C">
              <w:t xml:space="preserve"> </w:t>
            </w:r>
            <w:r w:rsidR="00A37E6D" w:rsidRPr="00BE150C">
              <w:t>Act</w:t>
            </w:r>
            <w:r w:rsidR="00642229" w:rsidRPr="00BE150C">
              <w:t>. In addition</w:t>
            </w:r>
            <w:r w:rsidR="000D70D1" w:rsidRPr="00BE150C">
              <w:t>,</w:t>
            </w:r>
            <w:r w:rsidR="00642229" w:rsidRPr="00BE150C">
              <w:t xml:space="preserve"> entities are provided with informative and clear advice </w:t>
            </w:r>
            <w:r w:rsidRPr="00BE150C">
              <w:t>explaining</w:t>
            </w:r>
            <w:r w:rsidR="00642229" w:rsidRPr="00BE150C">
              <w:t xml:space="preserve"> reasons for an adverse decision </w:t>
            </w:r>
            <w:r w:rsidRPr="00BE150C">
              <w:t>and</w:t>
            </w:r>
            <w:r w:rsidR="00642229" w:rsidRPr="00BE150C">
              <w:t xml:space="preserve"> avenues of appeal.</w:t>
            </w:r>
          </w:p>
          <w:p w14:paraId="0DD0658E" w14:textId="25C4D60A" w:rsidR="00B7534B" w:rsidRPr="00BE150C" w:rsidRDefault="00B7534B" w:rsidP="00970B54">
            <w:pPr>
              <w:pStyle w:val="CommentText"/>
              <w:rPr>
                <w:sz w:val="20"/>
                <w:szCs w:val="22"/>
              </w:rPr>
            </w:pPr>
            <w:r w:rsidRPr="00BE150C">
              <w:rPr>
                <w:sz w:val="20"/>
                <w:szCs w:val="22"/>
              </w:rPr>
              <w:t>Under legislation, the Authority is required to prepare an annual report, outlining the operations of the Authority in each financial year.</w:t>
            </w:r>
            <w:r w:rsidR="009A2D8A" w:rsidRPr="00BE150C">
              <w:rPr>
                <w:sz w:val="20"/>
                <w:szCs w:val="22"/>
              </w:rPr>
              <w:t xml:space="preserve"> The 2016-17 annual report will be published as part of the </w:t>
            </w:r>
            <w:r w:rsidR="00880B3F" w:rsidRPr="00BE150C">
              <w:rPr>
                <w:sz w:val="20"/>
                <w:szCs w:val="22"/>
              </w:rPr>
              <w:t>d</w:t>
            </w:r>
            <w:r w:rsidR="009A2D8A" w:rsidRPr="00BE150C">
              <w:rPr>
                <w:sz w:val="20"/>
                <w:szCs w:val="22"/>
              </w:rPr>
              <w:t xml:space="preserve">epartment’s </w:t>
            </w:r>
            <w:r w:rsidR="00880B3F" w:rsidRPr="00BE150C">
              <w:rPr>
                <w:sz w:val="20"/>
                <w:szCs w:val="22"/>
              </w:rPr>
              <w:t>a</w:t>
            </w:r>
            <w:r w:rsidR="009A2D8A" w:rsidRPr="00BE150C">
              <w:rPr>
                <w:sz w:val="20"/>
                <w:szCs w:val="22"/>
              </w:rPr>
              <w:t xml:space="preserve">nnual </w:t>
            </w:r>
            <w:r w:rsidR="00880B3F" w:rsidRPr="00BE150C">
              <w:rPr>
                <w:sz w:val="20"/>
                <w:szCs w:val="22"/>
              </w:rPr>
              <w:t>r</w:t>
            </w:r>
            <w:r w:rsidR="009A2D8A" w:rsidRPr="00BE150C">
              <w:rPr>
                <w:sz w:val="20"/>
                <w:szCs w:val="22"/>
              </w:rPr>
              <w:t xml:space="preserve">eport by October 2017.  </w:t>
            </w:r>
          </w:p>
          <w:p w14:paraId="61739A46" w14:textId="0B540531" w:rsidR="00614932" w:rsidRPr="00BE150C" w:rsidRDefault="00614932" w:rsidP="00970B54">
            <w:pPr>
              <w:rPr>
                <w:b/>
                <w:szCs w:val="24"/>
                <w:u w:val="single"/>
              </w:rPr>
            </w:pPr>
            <w:r w:rsidRPr="00BE150C">
              <w:rPr>
                <w:b/>
                <w:szCs w:val="24"/>
                <w:u w:val="single"/>
              </w:rPr>
              <w:t xml:space="preserve">2015-16 </w:t>
            </w:r>
            <w:r w:rsidR="00533C17" w:rsidRPr="00BE150C">
              <w:rPr>
                <w:b/>
                <w:szCs w:val="24"/>
                <w:u w:val="single"/>
              </w:rPr>
              <w:t>s</w:t>
            </w:r>
            <w:r w:rsidRPr="00BE150C">
              <w:rPr>
                <w:b/>
                <w:szCs w:val="24"/>
                <w:u w:val="single"/>
              </w:rPr>
              <w:t>urvey results</w:t>
            </w:r>
          </w:p>
          <w:p w14:paraId="0ED4A8B1" w14:textId="5093F316" w:rsidR="009904E2" w:rsidRPr="00BE150C" w:rsidRDefault="00614932" w:rsidP="00970B54">
            <w:r w:rsidRPr="00BE150C">
              <w:t>Responses included difficulty in complying with notificati</w:t>
            </w:r>
            <w:r w:rsidR="004509AF" w:rsidRPr="00BE150C">
              <w:t>on timeline</w:t>
            </w:r>
            <w:r w:rsidR="00FE3EA2" w:rsidRPr="00BE150C">
              <w:t>.</w:t>
            </w:r>
            <w:r w:rsidR="004509AF" w:rsidRPr="00BE150C">
              <w:t xml:space="preserve"> </w:t>
            </w:r>
          </w:p>
          <w:p w14:paraId="046EAE57" w14:textId="77777777" w:rsidR="00614932" w:rsidRPr="00BE150C" w:rsidRDefault="00614932" w:rsidP="00970B54">
            <w:pPr>
              <w:rPr>
                <w:b/>
                <w:szCs w:val="24"/>
                <w:u w:val="single"/>
              </w:rPr>
            </w:pPr>
            <w:r w:rsidRPr="00BE150C">
              <w:rPr>
                <w:b/>
                <w:szCs w:val="24"/>
                <w:u w:val="single"/>
              </w:rPr>
              <w:t>Improvements and activities in 2016-17</w:t>
            </w:r>
          </w:p>
          <w:p w14:paraId="147764D3" w14:textId="6AB17AF6" w:rsidR="00FE3EA2" w:rsidRPr="00BE150C" w:rsidRDefault="00614932" w:rsidP="00970B54">
            <w:pPr>
              <w:rPr>
                <w:szCs w:val="24"/>
              </w:rPr>
            </w:pPr>
            <w:r w:rsidRPr="00BE150C">
              <w:rPr>
                <w:szCs w:val="24"/>
              </w:rPr>
              <w:t>The Authority is implementing a communication</w:t>
            </w:r>
            <w:r w:rsidR="00DA1A35" w:rsidRPr="00BE150C">
              <w:rPr>
                <w:szCs w:val="24"/>
              </w:rPr>
              <w:t>s</w:t>
            </w:r>
            <w:r w:rsidRPr="00BE150C">
              <w:rPr>
                <w:szCs w:val="24"/>
              </w:rPr>
              <w:t xml:space="preserve"> strategy. </w:t>
            </w:r>
          </w:p>
          <w:p w14:paraId="652FC6F7" w14:textId="3157EE30" w:rsidR="0037135B" w:rsidRPr="00BE150C" w:rsidRDefault="00614932" w:rsidP="00970B54">
            <w:r w:rsidRPr="00BE150C">
              <w:t xml:space="preserve">In response to the 2015-16 stakeholder survey and Authority staff’s feedback from interaction with proponents, the </w:t>
            </w:r>
            <w:r w:rsidR="0048600E" w:rsidRPr="00BE150C">
              <w:t>FAQ</w:t>
            </w:r>
            <w:r w:rsidRPr="00BE150C">
              <w:t xml:space="preserve"> on the AIP website has been revised to include additional questions to assist proponents in understanding the requirements of the legislation, the AIP approval process and compliance requirements. An AIP process map has also been developed to provide an overview of the</w:t>
            </w:r>
            <w:r w:rsidR="0041282D" w:rsidRPr="00BE150C">
              <w:t xml:space="preserve"> AIP plan and compliance</w:t>
            </w:r>
            <w:r w:rsidRPr="00BE150C">
              <w:t xml:space="preserve"> decision-making process according to the legislation</w:t>
            </w:r>
            <w:r w:rsidR="009A2D8A" w:rsidRPr="00BE150C">
              <w:t>’s</w:t>
            </w:r>
            <w:r w:rsidRPr="00BE150C">
              <w:t xml:space="preserve"> requirements.</w:t>
            </w:r>
          </w:p>
        </w:tc>
      </w:tr>
    </w:tbl>
    <w:p w14:paraId="55B5A696" w14:textId="77777777" w:rsidR="007E53F5" w:rsidRPr="00BE150C" w:rsidRDefault="007E53F5" w:rsidP="00B12E3E">
      <w:pPr>
        <w:spacing w:after="0" w:line="240" w:lineRule="auto"/>
      </w:pPr>
    </w:p>
    <w:tbl>
      <w:tblPr>
        <w:tblStyle w:val="TableGrid"/>
        <w:tblW w:w="8544" w:type="dxa"/>
        <w:tblInd w:w="152" w:type="dxa"/>
        <w:tblBorders>
          <w:top w:val="single" w:sz="8" w:space="0" w:color="58595B" w:themeColor="text2"/>
          <w:left w:val="single" w:sz="8" w:space="0" w:color="58595B" w:themeColor="text2"/>
          <w:bottom w:val="single" w:sz="8" w:space="0" w:color="58595B" w:themeColor="text2"/>
          <w:right w:val="single" w:sz="8" w:space="0" w:color="58595B" w:themeColor="text2"/>
          <w:insideH w:val="none" w:sz="0" w:space="0" w:color="auto"/>
          <w:insideV w:val="none" w:sz="0" w:space="0" w:color="auto"/>
        </w:tblBorders>
        <w:tblCellMar>
          <w:top w:w="57" w:type="dxa"/>
          <w:bottom w:w="57" w:type="dxa"/>
        </w:tblCellMar>
        <w:tblLook w:val="04A0" w:firstRow="1" w:lastRow="0" w:firstColumn="1" w:lastColumn="0" w:noHBand="0" w:noVBand="1"/>
      </w:tblPr>
      <w:tblGrid>
        <w:gridCol w:w="8544"/>
      </w:tblGrid>
      <w:tr w:rsidR="0098655C" w:rsidRPr="00BE150C" w14:paraId="7AE436E3" w14:textId="77777777" w:rsidTr="0098655C">
        <w:tc>
          <w:tcPr>
            <w:tcW w:w="8544" w:type="dxa"/>
            <w:shd w:val="clear" w:color="auto" w:fill="005677" w:themeFill="accent1"/>
          </w:tcPr>
          <w:p w14:paraId="34C4BF1B" w14:textId="77777777" w:rsidR="0098655C" w:rsidRPr="00BE150C" w:rsidRDefault="0098655C" w:rsidP="00970B54">
            <w:pPr>
              <w:pStyle w:val="Heading2"/>
              <w:outlineLvl w:val="1"/>
            </w:pPr>
            <w:bookmarkStart w:id="44" w:name="_Toc455036866"/>
            <w:bookmarkStart w:id="45" w:name="_Toc481139986"/>
            <w:r w:rsidRPr="00BE150C">
              <w:t>KPI 6</w:t>
            </w:r>
            <w:bookmarkEnd w:id="44"/>
            <w:r w:rsidR="00E0139A" w:rsidRPr="00BE150C">
              <w:t xml:space="preserve">: </w:t>
            </w:r>
            <w:r w:rsidR="00E0139A" w:rsidRPr="00BE150C">
              <w:rPr>
                <w:szCs w:val="22"/>
              </w:rPr>
              <w:t>Regulators actively contribute to the continuous improvement of regulatory frameworks</w:t>
            </w:r>
            <w:bookmarkEnd w:id="45"/>
          </w:p>
        </w:tc>
      </w:tr>
      <w:tr w:rsidR="0098655C" w14:paraId="31B45744" w14:textId="77777777" w:rsidTr="00646EE1">
        <w:trPr>
          <w:trHeight w:val="794"/>
        </w:trPr>
        <w:tc>
          <w:tcPr>
            <w:tcW w:w="8544" w:type="dxa"/>
          </w:tcPr>
          <w:p w14:paraId="16ED7E94" w14:textId="77777777" w:rsidR="007E1021" w:rsidRPr="00BE150C" w:rsidRDefault="007E1021" w:rsidP="00970B54">
            <w:pPr>
              <w:rPr>
                <w:b/>
                <w:u w:val="single"/>
              </w:rPr>
            </w:pPr>
            <w:r w:rsidRPr="00BE150C">
              <w:rPr>
                <w:b/>
                <w:u w:val="single"/>
              </w:rPr>
              <w:t>KPI expectations and performance measures</w:t>
            </w:r>
          </w:p>
          <w:p w14:paraId="201A98A1" w14:textId="664FF0F7" w:rsidR="00D533A4" w:rsidRPr="00BE150C" w:rsidRDefault="00D533A4" w:rsidP="00970B54">
            <w:r w:rsidRPr="00BE150C">
              <w:t>KPI</w:t>
            </w:r>
            <w:r w:rsidR="009A2D8A" w:rsidRPr="00BE150C">
              <w:t xml:space="preserve"> 6</w:t>
            </w:r>
            <w:r w:rsidRPr="00BE150C">
              <w:t xml:space="preserve"> promotes the continuous improvement of regulatory frameworks and ensures the framework has the flexibility to adjust to changing circumstances. </w:t>
            </w:r>
          </w:p>
          <w:p w14:paraId="677B69D4" w14:textId="36371100" w:rsidR="009A2D8A" w:rsidRPr="00BE150C" w:rsidRDefault="000D70D1" w:rsidP="00970B54">
            <w:r w:rsidRPr="00BE150C">
              <w:t>This</w:t>
            </w:r>
            <w:r w:rsidR="009A2D8A" w:rsidRPr="00BE150C">
              <w:t xml:space="preserve"> KPI is linked to performance commitment (PM 1), stakeholder engagement (PM 4) and continuous improvement (PM 5). </w:t>
            </w:r>
          </w:p>
          <w:p w14:paraId="375E1D33" w14:textId="77777777" w:rsidR="006F7BE9" w:rsidRPr="00BE150C" w:rsidRDefault="006F7BE9" w:rsidP="00970B54">
            <w:pPr>
              <w:pStyle w:val="CommentText"/>
              <w:rPr>
                <w:sz w:val="20"/>
                <w:szCs w:val="22"/>
              </w:rPr>
            </w:pPr>
            <w:r w:rsidRPr="00BE150C">
              <w:rPr>
                <w:sz w:val="20"/>
                <w:szCs w:val="22"/>
              </w:rPr>
              <w:t>Measures used for this KPI:</w:t>
            </w:r>
          </w:p>
          <w:p w14:paraId="3092F6A9" w14:textId="3C8FB208" w:rsidR="009904E2" w:rsidRPr="00BE150C" w:rsidRDefault="009904E2" w:rsidP="00970B54">
            <w:pPr>
              <w:pStyle w:val="CommentText"/>
              <w:numPr>
                <w:ilvl w:val="0"/>
                <w:numId w:val="15"/>
              </w:numPr>
              <w:rPr>
                <w:sz w:val="20"/>
                <w:szCs w:val="22"/>
              </w:rPr>
            </w:pPr>
            <w:r w:rsidRPr="00BE150C">
              <w:rPr>
                <w:sz w:val="20"/>
                <w:szCs w:val="22"/>
              </w:rPr>
              <w:t>Performance commitment (PM 1): Demonstrating a clear comm</w:t>
            </w:r>
            <w:r w:rsidR="000D70D1" w:rsidRPr="00BE150C">
              <w:rPr>
                <w:sz w:val="20"/>
                <w:szCs w:val="22"/>
              </w:rPr>
              <w:t>itment to performance standards</w:t>
            </w:r>
            <w:r w:rsidRPr="00BE150C">
              <w:rPr>
                <w:sz w:val="20"/>
                <w:szCs w:val="22"/>
              </w:rPr>
              <w:t xml:space="preserve"> that are transparent to all stakeholders and monitoring progress against these standards. </w:t>
            </w:r>
          </w:p>
          <w:p w14:paraId="110D6FAA" w14:textId="77777777" w:rsidR="009904E2" w:rsidRPr="00BE150C" w:rsidRDefault="009904E2" w:rsidP="00970B54">
            <w:pPr>
              <w:pStyle w:val="CommentText"/>
              <w:numPr>
                <w:ilvl w:val="0"/>
                <w:numId w:val="15"/>
              </w:numPr>
              <w:rPr>
                <w:sz w:val="20"/>
                <w:szCs w:val="22"/>
              </w:rPr>
            </w:pPr>
            <w:r w:rsidRPr="00BE150C">
              <w:rPr>
                <w:sz w:val="20"/>
                <w:szCs w:val="22"/>
              </w:rPr>
              <w:t>Stakeholder engagement (PM 4): Evidence of targeted, effective and relevant engagement with stakeholders to gain feedback or input on policy or administration changes, organisational improvements and better understanding of the regulatory cost impact.</w:t>
            </w:r>
          </w:p>
          <w:p w14:paraId="4B817E0F" w14:textId="0C0A075D" w:rsidR="009904E2" w:rsidRPr="00BE150C" w:rsidRDefault="009904E2" w:rsidP="00970B54">
            <w:pPr>
              <w:pStyle w:val="ListParagraph"/>
              <w:numPr>
                <w:ilvl w:val="0"/>
                <w:numId w:val="15"/>
              </w:numPr>
              <w:rPr>
                <w:sz w:val="20"/>
              </w:rPr>
            </w:pPr>
            <w:r w:rsidRPr="00BE150C">
              <w:rPr>
                <w:sz w:val="20"/>
              </w:rPr>
              <w:t>Continuous improvement (PM 5): Evidence of a continuous improvement culture through changing practices in response to staff feedback, stakeholder suggestions, and internal or external reviews</w:t>
            </w:r>
            <w:r w:rsidR="000D70D1" w:rsidRPr="00BE150C">
              <w:rPr>
                <w:sz w:val="20"/>
              </w:rPr>
              <w:t>.</w:t>
            </w:r>
          </w:p>
          <w:p w14:paraId="79729C5C" w14:textId="77777777" w:rsidR="007E1021" w:rsidRPr="00BE150C" w:rsidRDefault="007E1021" w:rsidP="00970B54">
            <w:pPr>
              <w:rPr>
                <w:b/>
                <w:u w:val="single"/>
              </w:rPr>
            </w:pPr>
            <w:r w:rsidRPr="00BE150C">
              <w:rPr>
                <w:b/>
                <w:u w:val="single"/>
              </w:rPr>
              <w:t>Authority’s approach</w:t>
            </w:r>
          </w:p>
          <w:p w14:paraId="41CDF338" w14:textId="29A5C207" w:rsidR="00D533A4" w:rsidRPr="00BE150C" w:rsidRDefault="00D533A4" w:rsidP="00970B54">
            <w:r w:rsidRPr="00BE150C">
              <w:t>The Authority has developed several ways to engage stakeholders</w:t>
            </w:r>
            <w:r w:rsidR="009D2962">
              <w:t>, which also help</w:t>
            </w:r>
            <w:r w:rsidR="00F20CAE">
              <w:t xml:space="preserve"> to facilitate continuous improvements to the administration and operation of the </w:t>
            </w:r>
            <w:r w:rsidR="009D2962">
              <w:t>Jobs Act</w:t>
            </w:r>
            <w:r w:rsidRPr="00BE150C">
              <w:t xml:space="preserve">. As detailed in other KPIs, these include the AIP hotline and </w:t>
            </w:r>
            <w:r w:rsidR="0039288E" w:rsidRPr="00BE150C">
              <w:t xml:space="preserve">AIP </w:t>
            </w:r>
            <w:r w:rsidRPr="00BE150C">
              <w:t xml:space="preserve">inbox, allocated case manager and the provision of guidance documents on the AIP website. </w:t>
            </w:r>
          </w:p>
          <w:p w14:paraId="14F88928" w14:textId="5B63BF2D" w:rsidR="00301FA4" w:rsidRPr="00BE150C" w:rsidRDefault="00301FA4" w:rsidP="00970B54">
            <w:r w:rsidRPr="00BE150C">
              <w:t>When a project proponent submits a</w:t>
            </w:r>
            <w:r w:rsidR="00871C56" w:rsidRPr="00BE150C">
              <w:t xml:space="preserve"> draft</w:t>
            </w:r>
            <w:r w:rsidRPr="00BE150C">
              <w:t xml:space="preserve"> AIP plan, the </w:t>
            </w:r>
            <w:r w:rsidR="00EE2E72" w:rsidRPr="00BE150C">
              <w:t xml:space="preserve">allocated </w:t>
            </w:r>
            <w:r w:rsidRPr="00BE150C">
              <w:t>case manager</w:t>
            </w:r>
            <w:r w:rsidR="003B467E" w:rsidRPr="00BE150C">
              <w:t xml:space="preserve"> reviews the draft and</w:t>
            </w:r>
            <w:r w:rsidRPr="00BE150C">
              <w:t xml:space="preserve"> prepares feedback for the entity. Before the feedback is sent, the </w:t>
            </w:r>
            <w:r w:rsidR="007142E2" w:rsidRPr="00BE150C">
              <w:t>case manager</w:t>
            </w:r>
            <w:r w:rsidRPr="00BE150C">
              <w:t xml:space="preserve"> has the feedback quality </w:t>
            </w:r>
            <w:r w:rsidR="00C251E5" w:rsidRPr="00BE150C">
              <w:t>checked by</w:t>
            </w:r>
            <w:r w:rsidRPr="00BE150C">
              <w:t xml:space="preserve"> another team member.</w:t>
            </w:r>
            <w:r w:rsidR="007142E2" w:rsidRPr="00BE150C">
              <w:t xml:space="preserve"> As a commitment to achieving</w:t>
            </w:r>
            <w:r w:rsidR="00681031" w:rsidRPr="00BE150C">
              <w:t xml:space="preserve"> </w:t>
            </w:r>
            <w:r w:rsidR="007142E2" w:rsidRPr="00BE150C">
              <w:t>performance standard and improving</w:t>
            </w:r>
            <w:r w:rsidR="00681031" w:rsidRPr="00BE150C">
              <w:t xml:space="preserve"> current practice, the Authority encourages all proponents to lodge their draft AIP plans for feedback before formal submission for approval. An assessment of the AIP plan’s activities against the requirements of the Jobs Act will be made and feedback provided to the propo</w:t>
            </w:r>
            <w:r w:rsidR="007142E2" w:rsidRPr="00BE150C">
              <w:t>nent within 10 working days. This</w:t>
            </w:r>
            <w:r w:rsidR="000D70D1" w:rsidRPr="00BE150C">
              <w:t xml:space="preserve"> 10 </w:t>
            </w:r>
            <w:r w:rsidR="00681031" w:rsidRPr="00BE150C">
              <w:t xml:space="preserve">day commitment is now incorporated in the </w:t>
            </w:r>
            <w:r w:rsidR="0048600E" w:rsidRPr="00BE150C">
              <w:t>FAQ</w:t>
            </w:r>
            <w:r w:rsidR="00681031" w:rsidRPr="00BE150C">
              <w:t xml:space="preserve"> </w:t>
            </w:r>
            <w:r w:rsidR="007142E2" w:rsidRPr="00BE150C">
              <w:t xml:space="preserve">document </w:t>
            </w:r>
            <w:r w:rsidR="00681031" w:rsidRPr="00BE150C">
              <w:t>on the AIP website.</w:t>
            </w:r>
            <w:r w:rsidR="008143D5" w:rsidRPr="00BE150C">
              <w:t xml:space="preserve"> </w:t>
            </w:r>
          </w:p>
          <w:p w14:paraId="1DB286E5" w14:textId="591DF427" w:rsidR="00301FA4" w:rsidRPr="00BE150C" w:rsidRDefault="00D06588" w:rsidP="00970B54">
            <w:r w:rsidRPr="00BE150C">
              <w:t xml:space="preserve">The Authority’s expectations are detailed </w:t>
            </w:r>
            <w:r w:rsidR="00301FA4" w:rsidRPr="00BE150C">
              <w:t>under the</w:t>
            </w:r>
            <w:r w:rsidR="003B467E" w:rsidRPr="00BE150C">
              <w:t xml:space="preserve"> Jobs</w:t>
            </w:r>
            <w:r w:rsidR="00871C56" w:rsidRPr="00BE150C">
              <w:t xml:space="preserve"> </w:t>
            </w:r>
            <w:r w:rsidR="00A37E6D" w:rsidRPr="00BE150C">
              <w:t>Act</w:t>
            </w:r>
            <w:r w:rsidR="00301FA4" w:rsidRPr="00BE150C">
              <w:t xml:space="preserve">. </w:t>
            </w:r>
            <w:r w:rsidRPr="00BE150C">
              <w:t xml:space="preserve">The Authority </w:t>
            </w:r>
            <w:r w:rsidR="00025C76" w:rsidRPr="00BE150C">
              <w:t xml:space="preserve">makes </w:t>
            </w:r>
            <w:r w:rsidRPr="00BE150C">
              <w:t>decisions on whether project proponents have met the requirements under the</w:t>
            </w:r>
            <w:r w:rsidR="009E65F9" w:rsidRPr="00BE150C">
              <w:t xml:space="preserve"> Jobs</w:t>
            </w:r>
            <w:r w:rsidRPr="00BE150C">
              <w:t xml:space="preserve"> </w:t>
            </w:r>
            <w:r w:rsidR="00A37E6D" w:rsidRPr="00BE150C">
              <w:t>Act</w:t>
            </w:r>
            <w:r w:rsidRPr="00BE150C">
              <w:t>. In addition, e</w:t>
            </w:r>
            <w:r w:rsidR="00301FA4" w:rsidRPr="00BE150C">
              <w:t xml:space="preserve">ntities are provided with informative and clear advice </w:t>
            </w:r>
            <w:r w:rsidR="00EE2E72" w:rsidRPr="00BE150C">
              <w:t>explaining</w:t>
            </w:r>
            <w:r w:rsidR="00301FA4" w:rsidRPr="00BE150C">
              <w:t xml:space="preserve"> reasons for an adverse decision including avenues of appeal.</w:t>
            </w:r>
            <w:r w:rsidRPr="00BE150C">
              <w:t xml:space="preserve"> The</w:t>
            </w:r>
            <w:r w:rsidR="00C9065A" w:rsidRPr="00BE150C">
              <w:t xml:space="preserve"> Jobs</w:t>
            </w:r>
            <w:r w:rsidRPr="00BE150C">
              <w:t xml:space="preserve"> </w:t>
            </w:r>
            <w:r w:rsidR="00A37E6D" w:rsidRPr="00BE150C">
              <w:t>Act</w:t>
            </w:r>
            <w:r w:rsidR="00025C76" w:rsidRPr="00BE150C">
              <w:t xml:space="preserve">, </w:t>
            </w:r>
            <w:r w:rsidR="00C9065A" w:rsidRPr="00BE150C">
              <w:t xml:space="preserve">updated </w:t>
            </w:r>
            <w:r w:rsidR="00025C76" w:rsidRPr="00BE150C">
              <w:t>templates</w:t>
            </w:r>
            <w:r w:rsidRPr="00BE150C">
              <w:t xml:space="preserve"> and guidance documents are available on the AIP website.</w:t>
            </w:r>
          </w:p>
          <w:p w14:paraId="64EDBDFB" w14:textId="4A58FE96" w:rsidR="00D40E3E" w:rsidRPr="00BE150C" w:rsidRDefault="00D06588" w:rsidP="00970B54">
            <w:pPr>
              <w:rPr>
                <w:szCs w:val="20"/>
              </w:rPr>
            </w:pPr>
            <w:r w:rsidRPr="00BE150C">
              <w:t xml:space="preserve">The Authority is open to feedback and suggestions from stakeholders. </w:t>
            </w:r>
            <w:r w:rsidR="006B1B15" w:rsidRPr="00BE150C">
              <w:rPr>
                <w:szCs w:val="24"/>
              </w:rPr>
              <w:t>In 2016-17</w:t>
            </w:r>
            <w:r w:rsidR="00025C76" w:rsidRPr="00BE150C">
              <w:rPr>
                <w:szCs w:val="24"/>
              </w:rPr>
              <w:t xml:space="preserve"> </w:t>
            </w:r>
            <w:r w:rsidR="003C0E45" w:rsidRPr="00BE150C">
              <w:rPr>
                <w:szCs w:val="24"/>
              </w:rPr>
              <w:t>Authority staff followed up with eight proponents that have approved AIP plans via face-to-face meetings and teleconferences to discuss regulatory issues, in which one proponent raised that there should be better guidance on when to lodge a project notification.</w:t>
            </w:r>
          </w:p>
          <w:p w14:paraId="0F9E2845" w14:textId="6568952F" w:rsidR="0037135B" w:rsidRPr="00BE150C" w:rsidRDefault="00EE2E72" w:rsidP="00970B54">
            <w:r w:rsidRPr="00BE150C">
              <w:t>The Authority demonstrates a culture of</w:t>
            </w:r>
            <w:r w:rsidR="00D40E3E" w:rsidRPr="00BE150C">
              <w:t xml:space="preserve"> continuous improvement in professional development, with staff attending relevant industry-related conferences and events, attending face-to-face meetings with major stakeholders, and the hiring and training of new staff.</w:t>
            </w:r>
            <w:r w:rsidR="00681031" w:rsidRPr="00BE150C">
              <w:t xml:space="preserve"> In</w:t>
            </w:r>
            <w:r w:rsidR="00AB5EFC" w:rsidRPr="00BE150C">
              <w:t xml:space="preserve"> 2016-17, staff attended </w:t>
            </w:r>
            <w:r w:rsidR="008C3B5E" w:rsidRPr="00BE150C">
              <w:t xml:space="preserve">four </w:t>
            </w:r>
            <w:r w:rsidR="00681031" w:rsidRPr="00BE150C">
              <w:t>conferences</w:t>
            </w:r>
            <w:r w:rsidR="00AB5EFC" w:rsidRPr="00BE150C">
              <w:t xml:space="preserve"> for land infrastructure, mine, oil and gas projects. These conferences enabled staff to</w:t>
            </w:r>
            <w:r w:rsidR="00160C19" w:rsidRPr="00BE150C">
              <w:t xml:space="preserve"> acquire knowledge and understand the operating environment of these industries. Staff were also able to </w:t>
            </w:r>
            <w:r w:rsidR="00AB5EFC" w:rsidRPr="00BE150C">
              <w:t>engage with proponents, SMEs, industry associations and/or state government</w:t>
            </w:r>
            <w:r w:rsidR="008C3B5E" w:rsidRPr="00BE150C">
              <w:t>s</w:t>
            </w:r>
            <w:r w:rsidR="00AB5EFC" w:rsidRPr="00BE150C">
              <w:t xml:space="preserve"> to discuss Jobs Act obligations</w:t>
            </w:r>
            <w:r w:rsidR="00160C19" w:rsidRPr="00BE150C">
              <w:t xml:space="preserve">, </w:t>
            </w:r>
            <w:r w:rsidR="00AB79D6" w:rsidRPr="00BE150C">
              <w:t>the objective of AIP plans</w:t>
            </w:r>
            <w:r w:rsidR="00AB5EFC" w:rsidRPr="00BE150C">
              <w:t xml:space="preserve"> and </w:t>
            </w:r>
            <w:r w:rsidR="00FE3EA2" w:rsidRPr="00BE150C">
              <w:t xml:space="preserve">promote industry </w:t>
            </w:r>
            <w:r w:rsidR="00AB5EFC" w:rsidRPr="00BE150C">
              <w:t xml:space="preserve">awareness for </w:t>
            </w:r>
            <w:r w:rsidR="0010616C" w:rsidRPr="00BE150C">
              <w:t xml:space="preserve">future projects. </w:t>
            </w:r>
            <w:r w:rsidR="00AB5EFC" w:rsidRPr="00BE150C">
              <w:t xml:space="preserve">  </w:t>
            </w:r>
          </w:p>
          <w:p w14:paraId="5FB8E89B" w14:textId="783011AD" w:rsidR="007E1021" w:rsidRPr="00BE150C" w:rsidRDefault="007E1021" w:rsidP="00970B54">
            <w:pPr>
              <w:rPr>
                <w:b/>
                <w:szCs w:val="24"/>
                <w:u w:val="single"/>
              </w:rPr>
            </w:pPr>
            <w:r w:rsidRPr="00BE150C">
              <w:rPr>
                <w:b/>
                <w:szCs w:val="24"/>
                <w:u w:val="single"/>
              </w:rPr>
              <w:t xml:space="preserve">2015-16 </w:t>
            </w:r>
            <w:r w:rsidR="00533C17" w:rsidRPr="00BE150C">
              <w:rPr>
                <w:b/>
                <w:szCs w:val="24"/>
                <w:u w:val="single"/>
              </w:rPr>
              <w:t>s</w:t>
            </w:r>
            <w:r w:rsidRPr="00BE150C">
              <w:rPr>
                <w:b/>
                <w:szCs w:val="24"/>
                <w:u w:val="single"/>
              </w:rPr>
              <w:t>urvey results</w:t>
            </w:r>
          </w:p>
          <w:p w14:paraId="0EFDD2E2" w14:textId="488733AA" w:rsidR="00DC1ED5" w:rsidRPr="00BE150C" w:rsidRDefault="00DC1ED5" w:rsidP="00970B54">
            <w:pPr>
              <w:rPr>
                <w:szCs w:val="24"/>
              </w:rPr>
            </w:pPr>
            <w:r w:rsidRPr="00BE150C">
              <w:rPr>
                <w:szCs w:val="24"/>
              </w:rPr>
              <w:t>Responses included suggestions for a newsletter and process diagram to assist in meeting AIP obligation</w:t>
            </w:r>
            <w:r w:rsidR="006B1B15" w:rsidRPr="00BE150C">
              <w:rPr>
                <w:szCs w:val="24"/>
              </w:rPr>
              <w:t xml:space="preserve">s; perceived lack of background/understanding of industry-specific procurement practices </w:t>
            </w:r>
            <w:r w:rsidR="008C3B5E" w:rsidRPr="00BE150C">
              <w:rPr>
                <w:szCs w:val="24"/>
              </w:rPr>
              <w:t xml:space="preserve">among Authority staff </w:t>
            </w:r>
            <w:r w:rsidR="006B1B15" w:rsidRPr="00BE150C">
              <w:rPr>
                <w:szCs w:val="24"/>
              </w:rPr>
              <w:t>and therefor</w:t>
            </w:r>
            <w:r w:rsidR="008C3B5E" w:rsidRPr="00BE150C">
              <w:rPr>
                <w:szCs w:val="24"/>
              </w:rPr>
              <w:t>e</w:t>
            </w:r>
            <w:r w:rsidR="006B1B15" w:rsidRPr="00BE150C">
              <w:rPr>
                <w:szCs w:val="24"/>
              </w:rPr>
              <w:t xml:space="preserve"> inappropriate actions being recommended for AIP plans;</w:t>
            </w:r>
            <w:r w:rsidR="00FE3EA2" w:rsidRPr="00BE150C">
              <w:rPr>
                <w:szCs w:val="24"/>
              </w:rPr>
              <w:t xml:space="preserve"> and</w:t>
            </w:r>
            <w:r w:rsidR="006B1B15" w:rsidRPr="00BE150C">
              <w:rPr>
                <w:szCs w:val="24"/>
              </w:rPr>
              <w:t xml:space="preserve"> suggestion to share plans with state and territory governments.</w:t>
            </w:r>
          </w:p>
          <w:p w14:paraId="53C059F9" w14:textId="77777777" w:rsidR="007E1021" w:rsidRPr="00BE150C" w:rsidRDefault="007E1021" w:rsidP="00970B54">
            <w:pPr>
              <w:rPr>
                <w:b/>
                <w:szCs w:val="24"/>
                <w:u w:val="single"/>
              </w:rPr>
            </w:pPr>
            <w:r w:rsidRPr="00BE150C">
              <w:rPr>
                <w:b/>
                <w:szCs w:val="24"/>
                <w:u w:val="single"/>
              </w:rPr>
              <w:t>Improvements and activities in 2016-17</w:t>
            </w:r>
          </w:p>
          <w:p w14:paraId="08C98A18" w14:textId="6722FF60" w:rsidR="00DC1ED5" w:rsidRPr="00BE150C" w:rsidRDefault="00DC1ED5" w:rsidP="00970B54">
            <w:r w:rsidRPr="00BE150C">
              <w:rPr>
                <w:szCs w:val="24"/>
              </w:rPr>
              <w:t>The Authority is implementing a communication</w:t>
            </w:r>
            <w:r w:rsidR="00314128" w:rsidRPr="00BE150C">
              <w:rPr>
                <w:szCs w:val="24"/>
              </w:rPr>
              <w:t>s</w:t>
            </w:r>
            <w:r w:rsidRPr="00BE150C">
              <w:rPr>
                <w:szCs w:val="24"/>
              </w:rPr>
              <w:t xml:space="preserve"> strategy</w:t>
            </w:r>
            <w:r w:rsidR="008925BC" w:rsidRPr="00BE150C">
              <w:rPr>
                <w:szCs w:val="24"/>
              </w:rPr>
              <w:t xml:space="preserve"> which will include the publication of AIP awareness articles in relevant industry publications</w:t>
            </w:r>
            <w:r w:rsidRPr="00BE150C">
              <w:rPr>
                <w:szCs w:val="24"/>
              </w:rPr>
              <w:t xml:space="preserve">. </w:t>
            </w:r>
            <w:r w:rsidRPr="00BE150C">
              <w:t xml:space="preserve">In response to the 2015-16 stakeholder survey and Authority staff’s feedback from interaction with proponents, the </w:t>
            </w:r>
            <w:r w:rsidR="0048600E" w:rsidRPr="00BE150C">
              <w:t>FAQ</w:t>
            </w:r>
            <w:r w:rsidR="00EC0D15" w:rsidRPr="00BE150C">
              <w:t xml:space="preserve"> document</w:t>
            </w:r>
            <w:r w:rsidRPr="00BE150C">
              <w:t xml:space="preserve"> on the AIP website has been revised to include additional questions to assist proponents in understanding the requirements of the legislation, the AIP approval process and compliance requirements. An AIP process map has also been developed </w:t>
            </w:r>
            <w:r w:rsidR="008C3B5E" w:rsidRPr="00BE150C">
              <w:t xml:space="preserve">and published </w:t>
            </w:r>
            <w:r w:rsidRPr="00BE150C">
              <w:t>to provide an overview of the</w:t>
            </w:r>
            <w:r w:rsidR="0041282D" w:rsidRPr="00BE150C">
              <w:t xml:space="preserve"> AIP plan and compliance</w:t>
            </w:r>
            <w:r w:rsidRPr="00BE150C">
              <w:t xml:space="preserve"> decision-making process according to the legislation</w:t>
            </w:r>
            <w:r w:rsidR="00BF245C" w:rsidRPr="00BE150C">
              <w:t>’s</w:t>
            </w:r>
            <w:r w:rsidRPr="00BE150C">
              <w:t xml:space="preserve"> requirements.</w:t>
            </w:r>
          </w:p>
          <w:p w14:paraId="39AC434E" w14:textId="44F0141A" w:rsidR="00E222AD" w:rsidRPr="00BE150C" w:rsidRDefault="00E11AAA" w:rsidP="00970B54">
            <w:r w:rsidRPr="00BE150C">
              <w:t>The Authority note</w:t>
            </w:r>
            <w:r w:rsidR="008C3B5E" w:rsidRPr="00BE150C">
              <w:t>s</w:t>
            </w:r>
            <w:r w:rsidRPr="00BE150C">
              <w:t xml:space="preserve"> the suggestion to share plans with state and territory governments and may consider how this can fit under the principal activity on better harmonisation between Commonwealth, state and territory requirements. While current arrangements avoid potential for duplication, there are some further harmonisation opportunities that would simplify industry requirements. </w:t>
            </w:r>
          </w:p>
          <w:p w14:paraId="5B5B6A21" w14:textId="77777777" w:rsidR="00A42136" w:rsidRPr="00BE150C" w:rsidRDefault="00A42136" w:rsidP="00970B54">
            <w:pPr>
              <w:rPr>
                <w:b/>
                <w:u w:val="single"/>
              </w:rPr>
            </w:pPr>
            <w:r w:rsidRPr="00BE150C">
              <w:rPr>
                <w:b/>
                <w:u w:val="single"/>
              </w:rPr>
              <w:t>Planned improvements:</w:t>
            </w:r>
          </w:p>
          <w:p w14:paraId="791CC8CE" w14:textId="46E8DF73" w:rsidR="00FE3EA2" w:rsidRPr="00BE150C" w:rsidRDefault="00FE3EA2" w:rsidP="00970B54">
            <w:pPr>
              <w:rPr>
                <w:b/>
                <w:u w:val="single"/>
              </w:rPr>
            </w:pPr>
            <w:r w:rsidRPr="00BE150C">
              <w:t xml:space="preserve">The Authority will continue to implement </w:t>
            </w:r>
            <w:r w:rsidRPr="00BE150C">
              <w:rPr>
                <w:szCs w:val="24"/>
              </w:rPr>
              <w:t>the communications strategy that will also enable feedback loops that can support ongoing self-assessment of regulatory performance.</w:t>
            </w:r>
            <w:r w:rsidR="00E17747">
              <w:rPr>
                <w:szCs w:val="24"/>
              </w:rPr>
              <w:t xml:space="preserve"> </w:t>
            </w:r>
            <w:r w:rsidR="00E17747">
              <w:rPr>
                <w:color w:val="000000" w:themeColor="text1"/>
              </w:rPr>
              <w:t xml:space="preserve">The communication strategy will be reviewed accordingly taking into </w:t>
            </w:r>
            <w:r w:rsidR="00891D44">
              <w:rPr>
                <w:color w:val="000000" w:themeColor="text1"/>
              </w:rPr>
              <w:t>account</w:t>
            </w:r>
            <w:r w:rsidR="00E17747">
              <w:rPr>
                <w:color w:val="000000" w:themeColor="text1"/>
              </w:rPr>
              <w:t xml:space="preserve"> the following planned improvements.</w:t>
            </w:r>
          </w:p>
          <w:p w14:paraId="455880E4" w14:textId="35F2E301" w:rsidR="007D0A74" w:rsidRPr="00BE150C" w:rsidRDefault="008B5B68" w:rsidP="00970B54">
            <w:r w:rsidRPr="00BE150C">
              <w:t xml:space="preserve">The Authority is committed to ongoing gathering of feedback from stakeholders to assess and improve its performance. </w:t>
            </w:r>
            <w:r w:rsidR="00EC0D15" w:rsidRPr="00BE150C">
              <w:t>To do this, t</w:t>
            </w:r>
            <w:r w:rsidRPr="00BE150C">
              <w:t>he Authority is considering</w:t>
            </w:r>
            <w:r w:rsidR="007D0A74" w:rsidRPr="00BE150C">
              <w:t>:</w:t>
            </w:r>
          </w:p>
          <w:p w14:paraId="5F68A7A2" w14:textId="116A38E1" w:rsidR="00A42136" w:rsidRPr="00BE150C" w:rsidRDefault="008B5B68" w:rsidP="00970B54">
            <w:pPr>
              <w:pStyle w:val="ListParagraph"/>
              <w:numPr>
                <w:ilvl w:val="0"/>
                <w:numId w:val="12"/>
              </w:numPr>
              <w:rPr>
                <w:szCs w:val="20"/>
              </w:rPr>
            </w:pPr>
            <w:r w:rsidRPr="00BE150C">
              <w:rPr>
                <w:sz w:val="20"/>
                <w:szCs w:val="20"/>
              </w:rPr>
              <w:t xml:space="preserve">developing a short survey form for proponents to complete after AIP plan approval and </w:t>
            </w:r>
            <w:r w:rsidR="00EC0D15" w:rsidRPr="00BE150C">
              <w:rPr>
                <w:sz w:val="20"/>
                <w:szCs w:val="20"/>
              </w:rPr>
              <w:t>the acceptance of the first compliance r</w:t>
            </w:r>
            <w:r w:rsidRPr="00BE150C">
              <w:rPr>
                <w:sz w:val="20"/>
                <w:szCs w:val="20"/>
              </w:rPr>
              <w:t>eport. Conducting a short survey at th</w:t>
            </w:r>
            <w:r w:rsidR="00D6221B" w:rsidRPr="00BE150C">
              <w:rPr>
                <w:sz w:val="20"/>
                <w:szCs w:val="20"/>
              </w:rPr>
              <w:t>e</w:t>
            </w:r>
            <w:r w:rsidRPr="00BE150C">
              <w:rPr>
                <w:sz w:val="20"/>
                <w:szCs w:val="20"/>
              </w:rPr>
              <w:t>s</w:t>
            </w:r>
            <w:r w:rsidR="00D6221B" w:rsidRPr="00BE150C">
              <w:rPr>
                <w:sz w:val="20"/>
                <w:szCs w:val="20"/>
              </w:rPr>
              <w:t>e</w:t>
            </w:r>
            <w:r w:rsidRPr="00BE150C">
              <w:rPr>
                <w:sz w:val="20"/>
                <w:szCs w:val="20"/>
              </w:rPr>
              <w:t xml:space="preserve"> time</w:t>
            </w:r>
            <w:r w:rsidR="00D6221B" w:rsidRPr="00BE150C">
              <w:rPr>
                <w:sz w:val="20"/>
                <w:szCs w:val="20"/>
              </w:rPr>
              <w:t>s</w:t>
            </w:r>
            <w:r w:rsidRPr="00BE150C">
              <w:rPr>
                <w:sz w:val="20"/>
                <w:szCs w:val="20"/>
              </w:rPr>
              <w:t xml:space="preserve"> is appropriate as proponents are most likely to have concerns or suggestions on the process t</w:t>
            </w:r>
            <w:r w:rsidR="00EC0D15" w:rsidRPr="00BE150C">
              <w:rPr>
                <w:sz w:val="20"/>
                <w:szCs w:val="20"/>
              </w:rPr>
              <w:t>hat they have just gone through</w:t>
            </w:r>
            <w:r w:rsidRPr="00BE150C">
              <w:rPr>
                <w:sz w:val="20"/>
                <w:szCs w:val="20"/>
              </w:rPr>
              <w:t xml:space="preserve">   </w:t>
            </w:r>
          </w:p>
          <w:p w14:paraId="412888BC" w14:textId="6D68EAF3" w:rsidR="007D0A74" w:rsidRPr="00BE150C" w:rsidRDefault="007D0A74" w:rsidP="00970B54">
            <w:pPr>
              <w:pStyle w:val="ListParagraph"/>
              <w:numPr>
                <w:ilvl w:val="0"/>
                <w:numId w:val="12"/>
              </w:numPr>
              <w:rPr>
                <w:szCs w:val="20"/>
              </w:rPr>
            </w:pPr>
            <w:r w:rsidRPr="00BE150C">
              <w:rPr>
                <w:sz w:val="20"/>
                <w:szCs w:val="20"/>
              </w:rPr>
              <w:t>implementing a streamlined process</w:t>
            </w:r>
            <w:r w:rsidR="007F1F34" w:rsidRPr="00BE150C">
              <w:rPr>
                <w:sz w:val="20"/>
                <w:szCs w:val="20"/>
              </w:rPr>
              <w:t xml:space="preserve">, that will be recorded in the </w:t>
            </w:r>
            <w:r w:rsidR="00003DCE" w:rsidRPr="00BE150C">
              <w:rPr>
                <w:sz w:val="20"/>
                <w:szCs w:val="20"/>
              </w:rPr>
              <w:t>notifications</w:t>
            </w:r>
            <w:r w:rsidR="007F1F34" w:rsidRPr="00BE150C">
              <w:rPr>
                <w:sz w:val="20"/>
                <w:szCs w:val="20"/>
              </w:rPr>
              <w:t xml:space="preserve"> register,</w:t>
            </w:r>
            <w:r w:rsidRPr="00BE150C">
              <w:rPr>
                <w:sz w:val="20"/>
                <w:szCs w:val="20"/>
              </w:rPr>
              <w:t xml:space="preserve"> to </w:t>
            </w:r>
            <w:r w:rsidR="007F1F34" w:rsidRPr="00BE150C">
              <w:rPr>
                <w:sz w:val="20"/>
                <w:szCs w:val="20"/>
              </w:rPr>
              <w:t>contact proponents 12 months after AIP plan approval to discuss progress and address any queries on compliance reporting</w:t>
            </w:r>
            <w:r w:rsidR="00EC0D15" w:rsidRPr="00BE150C">
              <w:rPr>
                <w:sz w:val="20"/>
                <w:szCs w:val="20"/>
              </w:rPr>
              <w:t>.</w:t>
            </w:r>
          </w:p>
          <w:p w14:paraId="0C48AB36" w14:textId="6990D4E1" w:rsidR="008B5B68" w:rsidRPr="00BE150C" w:rsidRDefault="00AA375A" w:rsidP="00970B54">
            <w:pPr>
              <w:rPr>
                <w:color w:val="000000" w:themeColor="text1"/>
              </w:rPr>
            </w:pPr>
            <w:r w:rsidRPr="00BE150C">
              <w:rPr>
                <w:color w:val="000000" w:themeColor="text1"/>
              </w:rPr>
              <w:t>Based on lessons learnt and issues</w:t>
            </w:r>
            <w:r w:rsidR="00EC0D15" w:rsidRPr="00BE150C">
              <w:rPr>
                <w:color w:val="000000" w:themeColor="text1"/>
              </w:rPr>
              <w:t xml:space="preserve"> identified</w:t>
            </w:r>
            <w:r w:rsidRPr="00BE150C">
              <w:rPr>
                <w:color w:val="000000" w:themeColor="text1"/>
              </w:rPr>
              <w:t xml:space="preserve"> through implementing the Jobs Act</w:t>
            </w:r>
            <w:r w:rsidR="00EC0D15" w:rsidRPr="00BE150C">
              <w:rPr>
                <w:color w:val="000000" w:themeColor="text1"/>
              </w:rPr>
              <w:t>,</w:t>
            </w:r>
            <w:r w:rsidRPr="00BE150C">
              <w:rPr>
                <w:color w:val="000000" w:themeColor="text1"/>
              </w:rPr>
              <w:t xml:space="preserve"> Authority staff </w:t>
            </w:r>
            <w:r w:rsidR="00EC0D15" w:rsidRPr="00BE150C">
              <w:rPr>
                <w:color w:val="000000" w:themeColor="text1"/>
              </w:rPr>
              <w:t>will seek to improve the current process</w:t>
            </w:r>
            <w:r w:rsidRPr="00BE150C">
              <w:rPr>
                <w:color w:val="000000" w:themeColor="text1"/>
              </w:rPr>
              <w:t xml:space="preserve"> </w:t>
            </w:r>
            <w:r w:rsidR="00DB5D54" w:rsidRPr="00BE150C">
              <w:rPr>
                <w:color w:val="000000" w:themeColor="text1"/>
              </w:rPr>
              <w:t>to</w:t>
            </w:r>
            <w:r w:rsidR="00EC0D15" w:rsidRPr="00BE150C">
              <w:rPr>
                <w:color w:val="000000" w:themeColor="text1"/>
              </w:rPr>
              <w:t xml:space="preserve"> better</w:t>
            </w:r>
            <w:r w:rsidR="00DB5D54" w:rsidRPr="00BE150C">
              <w:rPr>
                <w:color w:val="000000" w:themeColor="text1"/>
              </w:rPr>
              <w:t xml:space="preserve"> identify risks and devise</w:t>
            </w:r>
            <w:r w:rsidR="00EC0D15" w:rsidRPr="00BE150C">
              <w:rPr>
                <w:color w:val="000000" w:themeColor="text1"/>
              </w:rPr>
              <w:t xml:space="preserve"> appropriate risk management </w:t>
            </w:r>
            <w:r w:rsidR="00DB5D54" w:rsidRPr="00BE150C">
              <w:rPr>
                <w:color w:val="000000" w:themeColor="text1"/>
              </w:rPr>
              <w:t xml:space="preserve">strategies for each project. </w:t>
            </w:r>
            <w:r w:rsidR="00E37D18" w:rsidRPr="00BE150C">
              <w:rPr>
                <w:color w:val="000000" w:themeColor="text1"/>
              </w:rPr>
              <w:t xml:space="preserve">This </w:t>
            </w:r>
            <w:r w:rsidR="00DE7440" w:rsidRPr="00BE150C">
              <w:rPr>
                <w:color w:val="000000" w:themeColor="text1"/>
              </w:rPr>
              <w:t xml:space="preserve">improvement will be </w:t>
            </w:r>
            <w:r w:rsidR="00AF315A" w:rsidRPr="00BE150C">
              <w:rPr>
                <w:color w:val="000000" w:themeColor="text1"/>
              </w:rPr>
              <w:t>proportional</w:t>
            </w:r>
            <w:r w:rsidR="00EC0D15" w:rsidRPr="00BE150C">
              <w:rPr>
                <w:color w:val="000000" w:themeColor="text1"/>
              </w:rPr>
              <w:t xml:space="preserve"> to the category of risk for the project and will help ensure that focus, resources and </w:t>
            </w:r>
            <w:r w:rsidR="00E37D18" w:rsidRPr="00BE150C">
              <w:rPr>
                <w:color w:val="000000" w:themeColor="text1"/>
              </w:rPr>
              <w:t>additional guidance</w:t>
            </w:r>
            <w:r w:rsidR="001B6AE1" w:rsidRPr="00BE150C">
              <w:rPr>
                <w:color w:val="000000" w:themeColor="text1"/>
              </w:rPr>
              <w:t xml:space="preserve"> are directed to where the</w:t>
            </w:r>
            <w:r w:rsidR="00EC0D15" w:rsidRPr="00BE150C">
              <w:rPr>
                <w:color w:val="000000" w:themeColor="text1"/>
              </w:rPr>
              <w:t>y are most required to reduce potential non-compliance.</w:t>
            </w:r>
            <w:r w:rsidR="00E37D18" w:rsidRPr="00BE150C">
              <w:rPr>
                <w:color w:val="000000" w:themeColor="text1"/>
              </w:rPr>
              <w:t xml:space="preserve"> This </w:t>
            </w:r>
            <w:r w:rsidR="00B90D7E" w:rsidRPr="00BE150C">
              <w:rPr>
                <w:color w:val="000000" w:themeColor="text1"/>
              </w:rPr>
              <w:t>risk-based model approach</w:t>
            </w:r>
            <w:r w:rsidR="00E37D18" w:rsidRPr="00BE150C">
              <w:rPr>
                <w:color w:val="000000" w:themeColor="text1"/>
              </w:rPr>
              <w:t xml:space="preserve"> will provide flexibility and balance between risk and regulatory burden and encourage proponents to comply voluntarily before they have contravened the</w:t>
            </w:r>
            <w:r w:rsidR="009054B5" w:rsidRPr="00BE150C">
              <w:rPr>
                <w:color w:val="000000" w:themeColor="text1"/>
              </w:rPr>
              <w:t xml:space="preserve"> Jobs</w:t>
            </w:r>
            <w:r w:rsidR="00E37D18" w:rsidRPr="00BE150C">
              <w:rPr>
                <w:color w:val="000000" w:themeColor="text1"/>
              </w:rPr>
              <w:t xml:space="preserve"> Act.  </w:t>
            </w:r>
          </w:p>
          <w:p w14:paraId="5F1131E7" w14:textId="3885E159" w:rsidR="00E17747" w:rsidRPr="00482082" w:rsidRDefault="001D11F4" w:rsidP="00970B54">
            <w:pPr>
              <w:rPr>
                <w:color w:val="000000" w:themeColor="text1"/>
              </w:rPr>
            </w:pPr>
            <w:r w:rsidRPr="00BE150C">
              <w:rPr>
                <w:color w:val="000000" w:themeColor="text1"/>
              </w:rPr>
              <w:t>The Authority will also consult stakeholders in proposed amendment of regulatory</w:t>
            </w:r>
            <w:r w:rsidR="00CC73B0" w:rsidRPr="00BE150C">
              <w:rPr>
                <w:color w:val="000000" w:themeColor="text1"/>
              </w:rPr>
              <w:t xml:space="preserve"> requirements and</w:t>
            </w:r>
            <w:r w:rsidRPr="00BE150C">
              <w:rPr>
                <w:color w:val="000000" w:themeColor="text1"/>
              </w:rPr>
              <w:t xml:space="preserve"> processes</w:t>
            </w:r>
            <w:r w:rsidR="00CC73B0" w:rsidRPr="00BE150C">
              <w:rPr>
                <w:color w:val="000000" w:themeColor="text1"/>
              </w:rPr>
              <w:t xml:space="preserve"> to ensure that stakeholders’ feedback are considered and decisions do not result in adverse effects.</w:t>
            </w:r>
          </w:p>
        </w:tc>
      </w:tr>
    </w:tbl>
    <w:p w14:paraId="1B107AC0" w14:textId="77777777" w:rsidR="001A13A4" w:rsidRDefault="001A13A4" w:rsidP="00970B54"/>
    <w:sectPr w:rsidR="001A13A4" w:rsidSect="00C81ADD">
      <w:headerReference w:type="default" r:id="rId17"/>
      <w:footerReference w:type="default" r:id="rId18"/>
      <w:headerReference w:type="first" r:id="rId19"/>
      <w:footerReference w:type="first" r:id="rId20"/>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5860" w14:textId="77777777" w:rsidR="009E65F9" w:rsidRDefault="009E65F9" w:rsidP="00B526AB">
      <w:pPr>
        <w:spacing w:after="0" w:line="240" w:lineRule="auto"/>
      </w:pPr>
      <w:r>
        <w:separator/>
      </w:r>
    </w:p>
  </w:endnote>
  <w:endnote w:type="continuationSeparator" w:id="0">
    <w:p w14:paraId="1B2403FB" w14:textId="77777777" w:rsidR="009E65F9" w:rsidRDefault="009E65F9" w:rsidP="00B526AB">
      <w:pPr>
        <w:spacing w:after="0" w:line="240" w:lineRule="auto"/>
      </w:pPr>
      <w:r>
        <w:continuationSeparator/>
      </w:r>
    </w:p>
  </w:endnote>
  <w:endnote w:type="continuationNotice" w:id="1">
    <w:p w14:paraId="0EC7F005" w14:textId="77777777" w:rsidR="009E65F9" w:rsidRDefault="009E6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2929" w14:textId="77777777" w:rsidR="009E65F9" w:rsidRDefault="009E65F9"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77F306" w14:textId="77777777" w:rsidR="009E65F9" w:rsidRDefault="009E65F9" w:rsidP="003165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7E75" w14:textId="77777777" w:rsidR="009E65F9" w:rsidRDefault="009E65F9"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ED7">
      <w:rPr>
        <w:rStyle w:val="PageNumber"/>
        <w:noProof/>
      </w:rPr>
      <w:t>2</w:t>
    </w:r>
    <w:r>
      <w:rPr>
        <w:rStyle w:val="PageNumber"/>
      </w:rPr>
      <w:fldChar w:fldCharType="end"/>
    </w:r>
  </w:p>
  <w:p w14:paraId="33DD2AF7" w14:textId="77777777" w:rsidR="009E65F9" w:rsidRDefault="009E65F9" w:rsidP="0031658C">
    <w:pPr>
      <w:pStyle w:val="Footer"/>
      <w:ind w:right="360"/>
    </w:pPr>
    <w:r>
      <w:t>AIP Authority</w:t>
    </w:r>
    <w:r>
      <w:tab/>
    </w:r>
    <w:hyperlink r:id="rId1" w:history="1">
      <w:r w:rsidRPr="001B199F">
        <w:rPr>
          <w:rStyle w:val="Hyperlink"/>
          <w:color w:val="000000" w:themeColor="text1"/>
        </w:rPr>
        <w:t>industry.gov.au/AIP</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1875" w14:textId="77777777" w:rsidR="009E65F9" w:rsidRDefault="009E65F9"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861459" w14:textId="77777777" w:rsidR="009E65F9" w:rsidRDefault="009E65F9" w:rsidP="0031658C">
    <w:pPr>
      <w:pStyle w:val="Footer"/>
      <w:tabs>
        <w:tab w:val="clear" w:pos="8640"/>
      </w:tabs>
      <w:ind w:right="379"/>
    </w:pPr>
    <w:r>
      <w:t>Document Title</w:t>
    </w:r>
    <w:r>
      <w:tab/>
      <w:t>industry.gov.au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41EE" w14:textId="77777777" w:rsidR="009E65F9" w:rsidRDefault="009E65F9" w:rsidP="00B526AB">
      <w:pPr>
        <w:spacing w:after="0" w:line="240" w:lineRule="auto"/>
      </w:pPr>
      <w:r>
        <w:separator/>
      </w:r>
    </w:p>
  </w:footnote>
  <w:footnote w:type="continuationSeparator" w:id="0">
    <w:p w14:paraId="6DD2A111" w14:textId="77777777" w:rsidR="009E65F9" w:rsidRDefault="009E65F9" w:rsidP="00B526AB">
      <w:pPr>
        <w:spacing w:after="0" w:line="240" w:lineRule="auto"/>
      </w:pPr>
      <w:r>
        <w:continuationSeparator/>
      </w:r>
    </w:p>
  </w:footnote>
  <w:footnote w:type="continuationNotice" w:id="1">
    <w:p w14:paraId="054EFABD" w14:textId="77777777" w:rsidR="009E65F9" w:rsidRDefault="009E65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892E" w14:textId="762CD879" w:rsidR="009E65F9" w:rsidRPr="001B199F" w:rsidRDefault="009E65F9" w:rsidP="007B6E7A">
    <w:pPr>
      <w:pStyle w:val="Header"/>
      <w:jc w:val="center"/>
    </w:pPr>
    <w:r w:rsidRPr="001B199F">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AAC24" w14:textId="77777777" w:rsidR="009E65F9" w:rsidRDefault="009E6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005677" w:themeColor="accent1"/>
      </w:rPr>
    </w:lvl>
  </w:abstractNum>
  <w:abstractNum w:abstractNumId="1"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005677" w:themeColor="accent1"/>
      </w:rPr>
    </w:lvl>
  </w:abstractNum>
  <w:abstractNum w:abstractNumId="2" w15:restartNumberingAfterBreak="0">
    <w:nsid w:val="01734CDE"/>
    <w:multiLevelType w:val="hybridMultilevel"/>
    <w:tmpl w:val="284A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C531A"/>
    <w:multiLevelType w:val="hybridMultilevel"/>
    <w:tmpl w:val="A74A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D7DD8"/>
    <w:multiLevelType w:val="hybridMultilevel"/>
    <w:tmpl w:val="50E4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73727"/>
    <w:multiLevelType w:val="hybridMultilevel"/>
    <w:tmpl w:val="CF105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F4101"/>
    <w:multiLevelType w:val="hybridMultilevel"/>
    <w:tmpl w:val="2626D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784AE2"/>
    <w:multiLevelType w:val="multilevel"/>
    <w:tmpl w:val="A6F488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FFFFFF" w:themeColor="background1"/>
      </w:rPr>
    </w:lvl>
    <w:lvl w:ilvl="3">
      <w:start w:val="1"/>
      <w:numFmt w:val="decimal"/>
      <w:pStyle w:val="Heading4"/>
      <w:lvlText w:val="%1.%2.%3.%4"/>
      <w:lvlJc w:val="left"/>
      <w:pPr>
        <w:ind w:left="864" w:hanging="864"/>
      </w:pPr>
      <w:rPr>
        <w:color w:val="FFFFFF" w:themeColor="background1"/>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5D4F69"/>
    <w:multiLevelType w:val="hybridMultilevel"/>
    <w:tmpl w:val="60F88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B0DDA"/>
    <w:multiLevelType w:val="hybridMultilevel"/>
    <w:tmpl w:val="806E6A5A"/>
    <w:lvl w:ilvl="0" w:tplc="65807344">
      <w:start w:val="1"/>
      <w:numFmt w:val="decimal"/>
      <w:lvlText w:val="%1."/>
      <w:lvlJc w:val="left"/>
      <w:pPr>
        <w:ind w:left="720" w:hanging="360"/>
      </w:pPr>
      <w:rPr>
        <w:b/>
        <w:sz w:val="20"/>
        <w:szCs w:val="20"/>
      </w:rPr>
    </w:lvl>
    <w:lvl w:ilvl="1" w:tplc="3EE061B4">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BA08D7"/>
    <w:multiLevelType w:val="hybridMultilevel"/>
    <w:tmpl w:val="5824D0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384322A"/>
    <w:multiLevelType w:val="hybridMultilevel"/>
    <w:tmpl w:val="4026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D23A58"/>
    <w:multiLevelType w:val="hybridMultilevel"/>
    <w:tmpl w:val="0A74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E427F"/>
    <w:multiLevelType w:val="hybridMultilevel"/>
    <w:tmpl w:val="9FA4C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9A51F8"/>
    <w:multiLevelType w:val="hybridMultilevel"/>
    <w:tmpl w:val="A2D44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EF53F4"/>
    <w:multiLevelType w:val="hybridMultilevel"/>
    <w:tmpl w:val="E604A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B2C69"/>
    <w:multiLevelType w:val="hybridMultilevel"/>
    <w:tmpl w:val="E5F6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971457"/>
    <w:multiLevelType w:val="hybridMultilevel"/>
    <w:tmpl w:val="156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4E45B2"/>
    <w:multiLevelType w:val="hybridMultilevel"/>
    <w:tmpl w:val="428C8A78"/>
    <w:lvl w:ilvl="0" w:tplc="C958EB7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7100BB"/>
    <w:multiLevelType w:val="hybridMultilevel"/>
    <w:tmpl w:val="68D2B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0B56FB"/>
    <w:multiLevelType w:val="hybridMultilevel"/>
    <w:tmpl w:val="DECCB8C0"/>
    <w:lvl w:ilvl="0" w:tplc="0C090001">
      <w:start w:val="1"/>
      <w:numFmt w:val="bullet"/>
      <w:lvlText w:val=""/>
      <w:lvlJc w:val="left"/>
      <w:pPr>
        <w:ind w:left="720" w:hanging="360"/>
      </w:pPr>
      <w:rPr>
        <w:rFonts w:ascii="Symbol" w:hAnsi="Symbol" w:hint="default"/>
      </w:rPr>
    </w:lvl>
    <w:lvl w:ilvl="1" w:tplc="0EDC65B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7"/>
    <w:lvlOverride w:ilvl="0">
      <w:startOverride w:val="1"/>
    </w:lvlOverride>
  </w:num>
  <w:num w:numId="5">
    <w:abstractNumId w:val="9"/>
  </w:num>
  <w:num w:numId="6">
    <w:abstractNumId w:val="18"/>
  </w:num>
  <w:num w:numId="7">
    <w:abstractNumId w:val="4"/>
  </w:num>
  <w:num w:numId="8">
    <w:abstractNumId w:val="12"/>
  </w:num>
  <w:num w:numId="9">
    <w:abstractNumId w:val="5"/>
  </w:num>
  <w:num w:numId="10">
    <w:abstractNumId w:val="19"/>
  </w:num>
  <w:num w:numId="11">
    <w:abstractNumId w:val="2"/>
  </w:num>
  <w:num w:numId="12">
    <w:abstractNumId w:val="20"/>
  </w:num>
  <w:num w:numId="13">
    <w:abstractNumId w:val="11"/>
  </w:num>
  <w:num w:numId="14">
    <w:abstractNumId w:val="17"/>
  </w:num>
  <w:num w:numId="15">
    <w:abstractNumId w:val="15"/>
  </w:num>
  <w:num w:numId="16">
    <w:abstractNumId w:val="13"/>
  </w:num>
  <w:num w:numId="17">
    <w:abstractNumId w:val="8"/>
  </w:num>
  <w:num w:numId="18">
    <w:abstractNumId w:val="3"/>
  </w:num>
  <w:num w:numId="19">
    <w:abstractNumId w:val="16"/>
  </w:num>
  <w:num w:numId="20">
    <w:abstractNumId w:val="6"/>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F5"/>
    <w:rsid w:val="00003DCE"/>
    <w:rsid w:val="00007472"/>
    <w:rsid w:val="00011746"/>
    <w:rsid w:val="00017662"/>
    <w:rsid w:val="00023F88"/>
    <w:rsid w:val="00025B0B"/>
    <w:rsid w:val="00025C76"/>
    <w:rsid w:val="00030B3F"/>
    <w:rsid w:val="00033CAC"/>
    <w:rsid w:val="0003562A"/>
    <w:rsid w:val="0005493D"/>
    <w:rsid w:val="00061432"/>
    <w:rsid w:val="00061A9F"/>
    <w:rsid w:val="00062C6A"/>
    <w:rsid w:val="00067BE7"/>
    <w:rsid w:val="0007518E"/>
    <w:rsid w:val="00077A1B"/>
    <w:rsid w:val="0008722E"/>
    <w:rsid w:val="00090407"/>
    <w:rsid w:val="0009283D"/>
    <w:rsid w:val="000A0EAF"/>
    <w:rsid w:val="000A220D"/>
    <w:rsid w:val="000A2FAD"/>
    <w:rsid w:val="000B1770"/>
    <w:rsid w:val="000B28E8"/>
    <w:rsid w:val="000B3A42"/>
    <w:rsid w:val="000B4146"/>
    <w:rsid w:val="000B5520"/>
    <w:rsid w:val="000B673B"/>
    <w:rsid w:val="000C0BFD"/>
    <w:rsid w:val="000D1FEA"/>
    <w:rsid w:val="000D4D93"/>
    <w:rsid w:val="000D70D1"/>
    <w:rsid w:val="000E008F"/>
    <w:rsid w:val="000E0F04"/>
    <w:rsid w:val="000E1046"/>
    <w:rsid w:val="000E50FA"/>
    <w:rsid w:val="000E70A0"/>
    <w:rsid w:val="001016A9"/>
    <w:rsid w:val="0010312C"/>
    <w:rsid w:val="0010616C"/>
    <w:rsid w:val="00106565"/>
    <w:rsid w:val="00106E03"/>
    <w:rsid w:val="001107BB"/>
    <w:rsid w:val="00110E50"/>
    <w:rsid w:val="00116BEE"/>
    <w:rsid w:val="00122C7E"/>
    <w:rsid w:val="00123613"/>
    <w:rsid w:val="00123A01"/>
    <w:rsid w:val="001242D7"/>
    <w:rsid w:val="00130065"/>
    <w:rsid w:val="00130FC9"/>
    <w:rsid w:val="0013135A"/>
    <w:rsid w:val="00132524"/>
    <w:rsid w:val="00133195"/>
    <w:rsid w:val="00133CE4"/>
    <w:rsid w:val="00141463"/>
    <w:rsid w:val="001427A2"/>
    <w:rsid w:val="00143EF3"/>
    <w:rsid w:val="001529BD"/>
    <w:rsid w:val="0015541A"/>
    <w:rsid w:val="001600D3"/>
    <w:rsid w:val="0016056F"/>
    <w:rsid w:val="00160C19"/>
    <w:rsid w:val="0016167F"/>
    <w:rsid w:val="00163388"/>
    <w:rsid w:val="00163B54"/>
    <w:rsid w:val="00173ACD"/>
    <w:rsid w:val="001756C5"/>
    <w:rsid w:val="00175FD8"/>
    <w:rsid w:val="001963C0"/>
    <w:rsid w:val="001A13A4"/>
    <w:rsid w:val="001A25AE"/>
    <w:rsid w:val="001A2DC6"/>
    <w:rsid w:val="001B199F"/>
    <w:rsid w:val="001B27A6"/>
    <w:rsid w:val="001B30DE"/>
    <w:rsid w:val="001B37D0"/>
    <w:rsid w:val="001B47BC"/>
    <w:rsid w:val="001B6AE1"/>
    <w:rsid w:val="001C0BC1"/>
    <w:rsid w:val="001C3540"/>
    <w:rsid w:val="001C366A"/>
    <w:rsid w:val="001C4158"/>
    <w:rsid w:val="001D0DE7"/>
    <w:rsid w:val="001D11F4"/>
    <w:rsid w:val="001D238E"/>
    <w:rsid w:val="001D4A9A"/>
    <w:rsid w:val="001E0C4F"/>
    <w:rsid w:val="001E161B"/>
    <w:rsid w:val="001F0F30"/>
    <w:rsid w:val="001F3329"/>
    <w:rsid w:val="001F36C7"/>
    <w:rsid w:val="001F6F46"/>
    <w:rsid w:val="00200B50"/>
    <w:rsid w:val="00201508"/>
    <w:rsid w:val="00206A09"/>
    <w:rsid w:val="00206E4B"/>
    <w:rsid w:val="00207E25"/>
    <w:rsid w:val="0021194E"/>
    <w:rsid w:val="00213E83"/>
    <w:rsid w:val="00216834"/>
    <w:rsid w:val="00216942"/>
    <w:rsid w:val="00217960"/>
    <w:rsid w:val="002205B4"/>
    <w:rsid w:val="0022106D"/>
    <w:rsid w:val="00221334"/>
    <w:rsid w:val="00221BE1"/>
    <w:rsid w:val="0022349B"/>
    <w:rsid w:val="002300AC"/>
    <w:rsid w:val="002328E1"/>
    <w:rsid w:val="0023462B"/>
    <w:rsid w:val="00235790"/>
    <w:rsid w:val="00241448"/>
    <w:rsid w:val="00244596"/>
    <w:rsid w:val="0025032E"/>
    <w:rsid w:val="00250A0B"/>
    <w:rsid w:val="00251169"/>
    <w:rsid w:val="00251777"/>
    <w:rsid w:val="00251FF7"/>
    <w:rsid w:val="00253AB2"/>
    <w:rsid w:val="00254D7A"/>
    <w:rsid w:val="0025779C"/>
    <w:rsid w:val="00260178"/>
    <w:rsid w:val="00260471"/>
    <w:rsid w:val="00263E00"/>
    <w:rsid w:val="00265EE5"/>
    <w:rsid w:val="00266927"/>
    <w:rsid w:val="00271FD0"/>
    <w:rsid w:val="00274599"/>
    <w:rsid w:val="002748C3"/>
    <w:rsid w:val="00277BE2"/>
    <w:rsid w:val="002810CD"/>
    <w:rsid w:val="002831AD"/>
    <w:rsid w:val="00283D86"/>
    <w:rsid w:val="0029105C"/>
    <w:rsid w:val="0029122C"/>
    <w:rsid w:val="00291795"/>
    <w:rsid w:val="00291972"/>
    <w:rsid w:val="00292180"/>
    <w:rsid w:val="002950CF"/>
    <w:rsid w:val="00295EA5"/>
    <w:rsid w:val="002A06C6"/>
    <w:rsid w:val="002B57BF"/>
    <w:rsid w:val="002C6A4C"/>
    <w:rsid w:val="002C7404"/>
    <w:rsid w:val="002D1B3D"/>
    <w:rsid w:val="002D35F4"/>
    <w:rsid w:val="002D3954"/>
    <w:rsid w:val="002E14EA"/>
    <w:rsid w:val="002E1D8B"/>
    <w:rsid w:val="002E201E"/>
    <w:rsid w:val="002E4A5C"/>
    <w:rsid w:val="002E6206"/>
    <w:rsid w:val="002F1525"/>
    <w:rsid w:val="002F3C68"/>
    <w:rsid w:val="002F65AF"/>
    <w:rsid w:val="002F6C60"/>
    <w:rsid w:val="00300404"/>
    <w:rsid w:val="00301FA4"/>
    <w:rsid w:val="003024C6"/>
    <w:rsid w:val="00304F04"/>
    <w:rsid w:val="00306066"/>
    <w:rsid w:val="0030685A"/>
    <w:rsid w:val="00314128"/>
    <w:rsid w:val="00315B7B"/>
    <w:rsid w:val="00315C97"/>
    <w:rsid w:val="0031658C"/>
    <w:rsid w:val="00316D88"/>
    <w:rsid w:val="003210F5"/>
    <w:rsid w:val="00324F06"/>
    <w:rsid w:val="00325FB1"/>
    <w:rsid w:val="00332706"/>
    <w:rsid w:val="00333C59"/>
    <w:rsid w:val="00334C41"/>
    <w:rsid w:val="003423CA"/>
    <w:rsid w:val="00343C30"/>
    <w:rsid w:val="0034484A"/>
    <w:rsid w:val="003461C5"/>
    <w:rsid w:val="003473AF"/>
    <w:rsid w:val="00351B77"/>
    <w:rsid w:val="00356E42"/>
    <w:rsid w:val="0036078A"/>
    <w:rsid w:val="00361393"/>
    <w:rsid w:val="003630F9"/>
    <w:rsid w:val="003673D5"/>
    <w:rsid w:val="0037135B"/>
    <w:rsid w:val="00372978"/>
    <w:rsid w:val="003739EA"/>
    <w:rsid w:val="003758DA"/>
    <w:rsid w:val="00375A2F"/>
    <w:rsid w:val="003822D5"/>
    <w:rsid w:val="0038442D"/>
    <w:rsid w:val="00385FA0"/>
    <w:rsid w:val="00386560"/>
    <w:rsid w:val="00387E69"/>
    <w:rsid w:val="00391A52"/>
    <w:rsid w:val="0039288E"/>
    <w:rsid w:val="0039358E"/>
    <w:rsid w:val="00393890"/>
    <w:rsid w:val="00393BBB"/>
    <w:rsid w:val="00394252"/>
    <w:rsid w:val="00396C2B"/>
    <w:rsid w:val="003A00F3"/>
    <w:rsid w:val="003A0138"/>
    <w:rsid w:val="003A0995"/>
    <w:rsid w:val="003A7940"/>
    <w:rsid w:val="003B3DC6"/>
    <w:rsid w:val="003B467E"/>
    <w:rsid w:val="003B5F0E"/>
    <w:rsid w:val="003C0984"/>
    <w:rsid w:val="003C0E45"/>
    <w:rsid w:val="003C2244"/>
    <w:rsid w:val="003C2EAB"/>
    <w:rsid w:val="003C4425"/>
    <w:rsid w:val="003D0232"/>
    <w:rsid w:val="003D75D0"/>
    <w:rsid w:val="003F31DF"/>
    <w:rsid w:val="003F3BF5"/>
    <w:rsid w:val="00402E42"/>
    <w:rsid w:val="004059C2"/>
    <w:rsid w:val="00405AC3"/>
    <w:rsid w:val="004075E2"/>
    <w:rsid w:val="00407ECA"/>
    <w:rsid w:val="004111E9"/>
    <w:rsid w:val="0041276F"/>
    <w:rsid w:val="0041282D"/>
    <w:rsid w:val="00413DAE"/>
    <w:rsid w:val="00414D3E"/>
    <w:rsid w:val="00420D3E"/>
    <w:rsid w:val="00425793"/>
    <w:rsid w:val="004337E3"/>
    <w:rsid w:val="0043402E"/>
    <w:rsid w:val="00436903"/>
    <w:rsid w:val="00436B60"/>
    <w:rsid w:val="00446405"/>
    <w:rsid w:val="004509AF"/>
    <w:rsid w:val="00452BA6"/>
    <w:rsid w:val="00456ECC"/>
    <w:rsid w:val="0046084B"/>
    <w:rsid w:val="004608F8"/>
    <w:rsid w:val="00461B62"/>
    <w:rsid w:val="00463148"/>
    <w:rsid w:val="004653A2"/>
    <w:rsid w:val="00472AFC"/>
    <w:rsid w:val="00473588"/>
    <w:rsid w:val="004737E5"/>
    <w:rsid w:val="00476967"/>
    <w:rsid w:val="004769F9"/>
    <w:rsid w:val="00482082"/>
    <w:rsid w:val="00482466"/>
    <w:rsid w:val="00482AF8"/>
    <w:rsid w:val="00483D04"/>
    <w:rsid w:val="00484C89"/>
    <w:rsid w:val="0048578B"/>
    <w:rsid w:val="0048600E"/>
    <w:rsid w:val="004873ED"/>
    <w:rsid w:val="0049024D"/>
    <w:rsid w:val="004906F3"/>
    <w:rsid w:val="004913BB"/>
    <w:rsid w:val="004942F9"/>
    <w:rsid w:val="004A33B1"/>
    <w:rsid w:val="004A59F7"/>
    <w:rsid w:val="004B08E2"/>
    <w:rsid w:val="004B530B"/>
    <w:rsid w:val="004B5944"/>
    <w:rsid w:val="004B6826"/>
    <w:rsid w:val="004C05BB"/>
    <w:rsid w:val="004C0833"/>
    <w:rsid w:val="004C488F"/>
    <w:rsid w:val="004C5DAB"/>
    <w:rsid w:val="004C6F04"/>
    <w:rsid w:val="004C79BA"/>
    <w:rsid w:val="004D1250"/>
    <w:rsid w:val="004D24AD"/>
    <w:rsid w:val="004D37C1"/>
    <w:rsid w:val="004E15CB"/>
    <w:rsid w:val="004E1AE3"/>
    <w:rsid w:val="004E457B"/>
    <w:rsid w:val="004F179A"/>
    <w:rsid w:val="0050029C"/>
    <w:rsid w:val="0050463D"/>
    <w:rsid w:val="0050786C"/>
    <w:rsid w:val="00507A07"/>
    <w:rsid w:val="00510E97"/>
    <w:rsid w:val="0051586F"/>
    <w:rsid w:val="005255D5"/>
    <w:rsid w:val="00526FED"/>
    <w:rsid w:val="00527386"/>
    <w:rsid w:val="00532DD7"/>
    <w:rsid w:val="00533C17"/>
    <w:rsid w:val="00535DB3"/>
    <w:rsid w:val="005401F9"/>
    <w:rsid w:val="00540DD1"/>
    <w:rsid w:val="00541BAD"/>
    <w:rsid w:val="005422FF"/>
    <w:rsid w:val="005460B6"/>
    <w:rsid w:val="00550764"/>
    <w:rsid w:val="00554660"/>
    <w:rsid w:val="00557701"/>
    <w:rsid w:val="00560092"/>
    <w:rsid w:val="0056046F"/>
    <w:rsid w:val="00561A7E"/>
    <w:rsid w:val="00563864"/>
    <w:rsid w:val="005642F2"/>
    <w:rsid w:val="00567B83"/>
    <w:rsid w:val="00570B99"/>
    <w:rsid w:val="005765E8"/>
    <w:rsid w:val="005777C8"/>
    <w:rsid w:val="00577D46"/>
    <w:rsid w:val="00585806"/>
    <w:rsid w:val="005864ED"/>
    <w:rsid w:val="00587194"/>
    <w:rsid w:val="005875FC"/>
    <w:rsid w:val="005879A2"/>
    <w:rsid w:val="005907A9"/>
    <w:rsid w:val="00594C71"/>
    <w:rsid w:val="00597A0D"/>
    <w:rsid w:val="005A2013"/>
    <w:rsid w:val="005A577C"/>
    <w:rsid w:val="005A5D25"/>
    <w:rsid w:val="005B0C2F"/>
    <w:rsid w:val="005B0E5B"/>
    <w:rsid w:val="005B0F4B"/>
    <w:rsid w:val="005B126E"/>
    <w:rsid w:val="005B2FE1"/>
    <w:rsid w:val="005C069F"/>
    <w:rsid w:val="005C61CF"/>
    <w:rsid w:val="005D0228"/>
    <w:rsid w:val="005D03DE"/>
    <w:rsid w:val="005D0FC0"/>
    <w:rsid w:val="005D3307"/>
    <w:rsid w:val="005D4044"/>
    <w:rsid w:val="005E170A"/>
    <w:rsid w:val="005E338F"/>
    <w:rsid w:val="005E534F"/>
    <w:rsid w:val="005F123F"/>
    <w:rsid w:val="005F1934"/>
    <w:rsid w:val="005F49A4"/>
    <w:rsid w:val="005F4D14"/>
    <w:rsid w:val="005F6A0D"/>
    <w:rsid w:val="005F73C1"/>
    <w:rsid w:val="00600FA3"/>
    <w:rsid w:val="00601A2F"/>
    <w:rsid w:val="00602C92"/>
    <w:rsid w:val="006138AE"/>
    <w:rsid w:val="00614932"/>
    <w:rsid w:val="00621D6E"/>
    <w:rsid w:val="00623061"/>
    <w:rsid w:val="00625EB0"/>
    <w:rsid w:val="006261BA"/>
    <w:rsid w:val="00627671"/>
    <w:rsid w:val="00630C93"/>
    <w:rsid w:val="00632893"/>
    <w:rsid w:val="006336E4"/>
    <w:rsid w:val="00634A05"/>
    <w:rsid w:val="00640181"/>
    <w:rsid w:val="00641A3C"/>
    <w:rsid w:val="00642229"/>
    <w:rsid w:val="0064420B"/>
    <w:rsid w:val="00646EE1"/>
    <w:rsid w:val="00653BD4"/>
    <w:rsid w:val="006541CE"/>
    <w:rsid w:val="0065574F"/>
    <w:rsid w:val="00656191"/>
    <w:rsid w:val="00661509"/>
    <w:rsid w:val="00662403"/>
    <w:rsid w:val="006714B7"/>
    <w:rsid w:val="0067272E"/>
    <w:rsid w:val="00673AF3"/>
    <w:rsid w:val="0067745C"/>
    <w:rsid w:val="00680AF8"/>
    <w:rsid w:val="00681031"/>
    <w:rsid w:val="00681DD9"/>
    <w:rsid w:val="006820A5"/>
    <w:rsid w:val="006853AE"/>
    <w:rsid w:val="006862F9"/>
    <w:rsid w:val="00687F0B"/>
    <w:rsid w:val="006945D1"/>
    <w:rsid w:val="006A08E2"/>
    <w:rsid w:val="006A26AB"/>
    <w:rsid w:val="006A29F8"/>
    <w:rsid w:val="006A2B43"/>
    <w:rsid w:val="006A3587"/>
    <w:rsid w:val="006A42D1"/>
    <w:rsid w:val="006A5C75"/>
    <w:rsid w:val="006B1B15"/>
    <w:rsid w:val="006B57F5"/>
    <w:rsid w:val="006B7192"/>
    <w:rsid w:val="006C0235"/>
    <w:rsid w:val="006C2852"/>
    <w:rsid w:val="006C39A3"/>
    <w:rsid w:val="006C57E8"/>
    <w:rsid w:val="006C71A8"/>
    <w:rsid w:val="006E0019"/>
    <w:rsid w:val="006E2594"/>
    <w:rsid w:val="006E26BE"/>
    <w:rsid w:val="006F000A"/>
    <w:rsid w:val="006F568F"/>
    <w:rsid w:val="006F7BE9"/>
    <w:rsid w:val="00701E72"/>
    <w:rsid w:val="00706764"/>
    <w:rsid w:val="007142E2"/>
    <w:rsid w:val="007148AF"/>
    <w:rsid w:val="00720B1C"/>
    <w:rsid w:val="00721DAE"/>
    <w:rsid w:val="00723B30"/>
    <w:rsid w:val="00726A6B"/>
    <w:rsid w:val="0073046D"/>
    <w:rsid w:val="007365C9"/>
    <w:rsid w:val="00744B58"/>
    <w:rsid w:val="00745291"/>
    <w:rsid w:val="007464B3"/>
    <w:rsid w:val="0074726F"/>
    <w:rsid w:val="0074792C"/>
    <w:rsid w:val="0075363B"/>
    <w:rsid w:val="00753D72"/>
    <w:rsid w:val="00755ADC"/>
    <w:rsid w:val="007568B2"/>
    <w:rsid w:val="00757A3E"/>
    <w:rsid w:val="00760174"/>
    <w:rsid w:val="00767933"/>
    <w:rsid w:val="00770BE2"/>
    <w:rsid w:val="007710DD"/>
    <w:rsid w:val="00773860"/>
    <w:rsid w:val="007741BD"/>
    <w:rsid w:val="00784205"/>
    <w:rsid w:val="00790BF8"/>
    <w:rsid w:val="007915B5"/>
    <w:rsid w:val="00791864"/>
    <w:rsid w:val="00794099"/>
    <w:rsid w:val="0079471D"/>
    <w:rsid w:val="007A521B"/>
    <w:rsid w:val="007A699D"/>
    <w:rsid w:val="007B4B80"/>
    <w:rsid w:val="007B4E7E"/>
    <w:rsid w:val="007B6E7A"/>
    <w:rsid w:val="007C0B80"/>
    <w:rsid w:val="007C353B"/>
    <w:rsid w:val="007C610A"/>
    <w:rsid w:val="007D0A74"/>
    <w:rsid w:val="007D412B"/>
    <w:rsid w:val="007D5328"/>
    <w:rsid w:val="007E1021"/>
    <w:rsid w:val="007E2033"/>
    <w:rsid w:val="007E2B90"/>
    <w:rsid w:val="007E4E3C"/>
    <w:rsid w:val="007E53F5"/>
    <w:rsid w:val="007F075E"/>
    <w:rsid w:val="007F0804"/>
    <w:rsid w:val="007F1F34"/>
    <w:rsid w:val="007F2AE9"/>
    <w:rsid w:val="007F3376"/>
    <w:rsid w:val="007F4E05"/>
    <w:rsid w:val="007F4E50"/>
    <w:rsid w:val="0080533E"/>
    <w:rsid w:val="00807494"/>
    <w:rsid w:val="00811D43"/>
    <w:rsid w:val="00811F01"/>
    <w:rsid w:val="008143D5"/>
    <w:rsid w:val="008143DD"/>
    <w:rsid w:val="00817A17"/>
    <w:rsid w:val="00820515"/>
    <w:rsid w:val="00822068"/>
    <w:rsid w:val="008268FE"/>
    <w:rsid w:val="0083279B"/>
    <w:rsid w:val="00835EE6"/>
    <w:rsid w:val="0084167E"/>
    <w:rsid w:val="00843B2A"/>
    <w:rsid w:val="00850038"/>
    <w:rsid w:val="008576A3"/>
    <w:rsid w:val="008602BC"/>
    <w:rsid w:val="00864CD7"/>
    <w:rsid w:val="00871C56"/>
    <w:rsid w:val="0087414B"/>
    <w:rsid w:val="008761BE"/>
    <w:rsid w:val="008802AC"/>
    <w:rsid w:val="00880B3F"/>
    <w:rsid w:val="008860F4"/>
    <w:rsid w:val="0088639D"/>
    <w:rsid w:val="008875AB"/>
    <w:rsid w:val="00891D44"/>
    <w:rsid w:val="008925BC"/>
    <w:rsid w:val="008925DB"/>
    <w:rsid w:val="00896822"/>
    <w:rsid w:val="008A457E"/>
    <w:rsid w:val="008A65DF"/>
    <w:rsid w:val="008A676F"/>
    <w:rsid w:val="008A7E0A"/>
    <w:rsid w:val="008B5B68"/>
    <w:rsid w:val="008B5BEC"/>
    <w:rsid w:val="008B6ECC"/>
    <w:rsid w:val="008B795A"/>
    <w:rsid w:val="008C1393"/>
    <w:rsid w:val="008C1AA1"/>
    <w:rsid w:val="008C3B5E"/>
    <w:rsid w:val="008C3BD9"/>
    <w:rsid w:val="008C505D"/>
    <w:rsid w:val="008C6763"/>
    <w:rsid w:val="008D1823"/>
    <w:rsid w:val="008D40CB"/>
    <w:rsid w:val="008D4ACD"/>
    <w:rsid w:val="008D4BDF"/>
    <w:rsid w:val="008D5A85"/>
    <w:rsid w:val="008E3DA9"/>
    <w:rsid w:val="008E62DB"/>
    <w:rsid w:val="008F325D"/>
    <w:rsid w:val="008F5B2A"/>
    <w:rsid w:val="008F5FE8"/>
    <w:rsid w:val="009018BA"/>
    <w:rsid w:val="009031F8"/>
    <w:rsid w:val="009054B5"/>
    <w:rsid w:val="00906D3F"/>
    <w:rsid w:val="009116B1"/>
    <w:rsid w:val="00915145"/>
    <w:rsid w:val="00921631"/>
    <w:rsid w:val="00921E6A"/>
    <w:rsid w:val="00924A5D"/>
    <w:rsid w:val="00934981"/>
    <w:rsid w:val="00934EF7"/>
    <w:rsid w:val="00940D9E"/>
    <w:rsid w:val="00940E57"/>
    <w:rsid w:val="00944D37"/>
    <w:rsid w:val="0094670E"/>
    <w:rsid w:val="0094779F"/>
    <w:rsid w:val="009525EE"/>
    <w:rsid w:val="00953372"/>
    <w:rsid w:val="00955407"/>
    <w:rsid w:val="00956813"/>
    <w:rsid w:val="00956918"/>
    <w:rsid w:val="00960171"/>
    <w:rsid w:val="009640BC"/>
    <w:rsid w:val="00970B54"/>
    <w:rsid w:val="0097152B"/>
    <w:rsid w:val="00975726"/>
    <w:rsid w:val="009770B8"/>
    <w:rsid w:val="00980D65"/>
    <w:rsid w:val="00983E05"/>
    <w:rsid w:val="0098655C"/>
    <w:rsid w:val="00987226"/>
    <w:rsid w:val="009904E2"/>
    <w:rsid w:val="00990EE7"/>
    <w:rsid w:val="00991464"/>
    <w:rsid w:val="00991FDD"/>
    <w:rsid w:val="0099218D"/>
    <w:rsid w:val="00992441"/>
    <w:rsid w:val="00995DD5"/>
    <w:rsid w:val="009A0EF0"/>
    <w:rsid w:val="009A2D8A"/>
    <w:rsid w:val="009A2F6B"/>
    <w:rsid w:val="009A5036"/>
    <w:rsid w:val="009A57EC"/>
    <w:rsid w:val="009B600C"/>
    <w:rsid w:val="009D2962"/>
    <w:rsid w:val="009D5FD2"/>
    <w:rsid w:val="009D7BB6"/>
    <w:rsid w:val="009E65F9"/>
    <w:rsid w:val="009E6B32"/>
    <w:rsid w:val="009F00A2"/>
    <w:rsid w:val="009F070D"/>
    <w:rsid w:val="009F0F4D"/>
    <w:rsid w:val="009F1EFD"/>
    <w:rsid w:val="009F62C9"/>
    <w:rsid w:val="00A02522"/>
    <w:rsid w:val="00A0302B"/>
    <w:rsid w:val="00A104B4"/>
    <w:rsid w:val="00A117F3"/>
    <w:rsid w:val="00A11A7E"/>
    <w:rsid w:val="00A142D3"/>
    <w:rsid w:val="00A21CA6"/>
    <w:rsid w:val="00A23945"/>
    <w:rsid w:val="00A33BC3"/>
    <w:rsid w:val="00A37AD8"/>
    <w:rsid w:val="00A37E6D"/>
    <w:rsid w:val="00A40D45"/>
    <w:rsid w:val="00A41EDD"/>
    <w:rsid w:val="00A42136"/>
    <w:rsid w:val="00A422F3"/>
    <w:rsid w:val="00A452D4"/>
    <w:rsid w:val="00A45D77"/>
    <w:rsid w:val="00A46AB8"/>
    <w:rsid w:val="00A51967"/>
    <w:rsid w:val="00A51E16"/>
    <w:rsid w:val="00A5579C"/>
    <w:rsid w:val="00A57B71"/>
    <w:rsid w:val="00A61DA6"/>
    <w:rsid w:val="00A6459C"/>
    <w:rsid w:val="00A6527B"/>
    <w:rsid w:val="00A66BB7"/>
    <w:rsid w:val="00A70AA5"/>
    <w:rsid w:val="00A71E4A"/>
    <w:rsid w:val="00A75FB9"/>
    <w:rsid w:val="00A83162"/>
    <w:rsid w:val="00A841A3"/>
    <w:rsid w:val="00A848C5"/>
    <w:rsid w:val="00A85BA1"/>
    <w:rsid w:val="00A90AE5"/>
    <w:rsid w:val="00A97D12"/>
    <w:rsid w:val="00AA375A"/>
    <w:rsid w:val="00AB57C9"/>
    <w:rsid w:val="00AB5EFC"/>
    <w:rsid w:val="00AB6FB2"/>
    <w:rsid w:val="00AB79D6"/>
    <w:rsid w:val="00AB7DD8"/>
    <w:rsid w:val="00AC19EC"/>
    <w:rsid w:val="00AC4886"/>
    <w:rsid w:val="00AC4EF6"/>
    <w:rsid w:val="00AD0A3D"/>
    <w:rsid w:val="00AD3630"/>
    <w:rsid w:val="00AD4DDF"/>
    <w:rsid w:val="00AD584A"/>
    <w:rsid w:val="00AE0597"/>
    <w:rsid w:val="00AE2D0E"/>
    <w:rsid w:val="00AE63EC"/>
    <w:rsid w:val="00AF315A"/>
    <w:rsid w:val="00B02336"/>
    <w:rsid w:val="00B10EE9"/>
    <w:rsid w:val="00B12E3E"/>
    <w:rsid w:val="00B17F19"/>
    <w:rsid w:val="00B20607"/>
    <w:rsid w:val="00B2317D"/>
    <w:rsid w:val="00B24117"/>
    <w:rsid w:val="00B30EEB"/>
    <w:rsid w:val="00B32C73"/>
    <w:rsid w:val="00B33AA7"/>
    <w:rsid w:val="00B37916"/>
    <w:rsid w:val="00B4129E"/>
    <w:rsid w:val="00B4249B"/>
    <w:rsid w:val="00B43EAD"/>
    <w:rsid w:val="00B44B21"/>
    <w:rsid w:val="00B4671D"/>
    <w:rsid w:val="00B46E10"/>
    <w:rsid w:val="00B47AEC"/>
    <w:rsid w:val="00B50D07"/>
    <w:rsid w:val="00B51215"/>
    <w:rsid w:val="00B51F45"/>
    <w:rsid w:val="00B526AB"/>
    <w:rsid w:val="00B55101"/>
    <w:rsid w:val="00B55855"/>
    <w:rsid w:val="00B60FFB"/>
    <w:rsid w:val="00B6666B"/>
    <w:rsid w:val="00B7534B"/>
    <w:rsid w:val="00B761E8"/>
    <w:rsid w:val="00B76EE4"/>
    <w:rsid w:val="00B82251"/>
    <w:rsid w:val="00B822EC"/>
    <w:rsid w:val="00B87286"/>
    <w:rsid w:val="00B87B79"/>
    <w:rsid w:val="00B90D7E"/>
    <w:rsid w:val="00B96CFE"/>
    <w:rsid w:val="00BA066D"/>
    <w:rsid w:val="00BA3EF3"/>
    <w:rsid w:val="00BA4563"/>
    <w:rsid w:val="00BB4547"/>
    <w:rsid w:val="00BC1B6C"/>
    <w:rsid w:val="00BC1DBB"/>
    <w:rsid w:val="00BC2ED1"/>
    <w:rsid w:val="00BC6C45"/>
    <w:rsid w:val="00BD07EC"/>
    <w:rsid w:val="00BD57C3"/>
    <w:rsid w:val="00BE0A04"/>
    <w:rsid w:val="00BE150C"/>
    <w:rsid w:val="00BE3196"/>
    <w:rsid w:val="00BE3282"/>
    <w:rsid w:val="00BE5AAA"/>
    <w:rsid w:val="00BE60F5"/>
    <w:rsid w:val="00BE634C"/>
    <w:rsid w:val="00BF245C"/>
    <w:rsid w:val="00BF39B2"/>
    <w:rsid w:val="00BF76D3"/>
    <w:rsid w:val="00C0093D"/>
    <w:rsid w:val="00C034D0"/>
    <w:rsid w:val="00C038BB"/>
    <w:rsid w:val="00C109A4"/>
    <w:rsid w:val="00C12F6A"/>
    <w:rsid w:val="00C1401D"/>
    <w:rsid w:val="00C14C8F"/>
    <w:rsid w:val="00C14E1D"/>
    <w:rsid w:val="00C1790C"/>
    <w:rsid w:val="00C22F6E"/>
    <w:rsid w:val="00C251E5"/>
    <w:rsid w:val="00C268FC"/>
    <w:rsid w:val="00C27F5E"/>
    <w:rsid w:val="00C30821"/>
    <w:rsid w:val="00C332F2"/>
    <w:rsid w:val="00C34343"/>
    <w:rsid w:val="00C344EB"/>
    <w:rsid w:val="00C400CD"/>
    <w:rsid w:val="00C4315B"/>
    <w:rsid w:val="00C43DE2"/>
    <w:rsid w:val="00C5226C"/>
    <w:rsid w:val="00C52287"/>
    <w:rsid w:val="00C53F4F"/>
    <w:rsid w:val="00C54892"/>
    <w:rsid w:val="00C60B6E"/>
    <w:rsid w:val="00C63A73"/>
    <w:rsid w:val="00C65354"/>
    <w:rsid w:val="00C654C6"/>
    <w:rsid w:val="00C661BB"/>
    <w:rsid w:val="00C66C18"/>
    <w:rsid w:val="00C721F5"/>
    <w:rsid w:val="00C72F2A"/>
    <w:rsid w:val="00C73449"/>
    <w:rsid w:val="00C7371E"/>
    <w:rsid w:val="00C81ADD"/>
    <w:rsid w:val="00C81F83"/>
    <w:rsid w:val="00C83C28"/>
    <w:rsid w:val="00C85D68"/>
    <w:rsid w:val="00C9065A"/>
    <w:rsid w:val="00C92051"/>
    <w:rsid w:val="00C920F7"/>
    <w:rsid w:val="00C934B7"/>
    <w:rsid w:val="00C939DE"/>
    <w:rsid w:val="00CA2D8A"/>
    <w:rsid w:val="00CB068A"/>
    <w:rsid w:val="00CB2680"/>
    <w:rsid w:val="00CB5D3D"/>
    <w:rsid w:val="00CB5F1C"/>
    <w:rsid w:val="00CB7694"/>
    <w:rsid w:val="00CC0DE9"/>
    <w:rsid w:val="00CC73B0"/>
    <w:rsid w:val="00CC7875"/>
    <w:rsid w:val="00CD4BFB"/>
    <w:rsid w:val="00CD74E4"/>
    <w:rsid w:val="00CE1124"/>
    <w:rsid w:val="00CE1F04"/>
    <w:rsid w:val="00CE21EB"/>
    <w:rsid w:val="00CE49AD"/>
    <w:rsid w:val="00CE6328"/>
    <w:rsid w:val="00CF2B43"/>
    <w:rsid w:val="00D02C39"/>
    <w:rsid w:val="00D0468B"/>
    <w:rsid w:val="00D06588"/>
    <w:rsid w:val="00D073F3"/>
    <w:rsid w:val="00D0799F"/>
    <w:rsid w:val="00D07EB9"/>
    <w:rsid w:val="00D11BEE"/>
    <w:rsid w:val="00D126DF"/>
    <w:rsid w:val="00D1560B"/>
    <w:rsid w:val="00D21F03"/>
    <w:rsid w:val="00D23A66"/>
    <w:rsid w:val="00D24209"/>
    <w:rsid w:val="00D25351"/>
    <w:rsid w:val="00D30D2F"/>
    <w:rsid w:val="00D34470"/>
    <w:rsid w:val="00D36420"/>
    <w:rsid w:val="00D37A59"/>
    <w:rsid w:val="00D40E3E"/>
    <w:rsid w:val="00D40FD6"/>
    <w:rsid w:val="00D46D83"/>
    <w:rsid w:val="00D47060"/>
    <w:rsid w:val="00D53233"/>
    <w:rsid w:val="00D53384"/>
    <w:rsid w:val="00D533A4"/>
    <w:rsid w:val="00D6221B"/>
    <w:rsid w:val="00D62612"/>
    <w:rsid w:val="00D64921"/>
    <w:rsid w:val="00D6748A"/>
    <w:rsid w:val="00D76910"/>
    <w:rsid w:val="00D87BC8"/>
    <w:rsid w:val="00D90210"/>
    <w:rsid w:val="00D90EE0"/>
    <w:rsid w:val="00D94E21"/>
    <w:rsid w:val="00D969AB"/>
    <w:rsid w:val="00DA0F02"/>
    <w:rsid w:val="00DA1607"/>
    <w:rsid w:val="00DA1A35"/>
    <w:rsid w:val="00DA6081"/>
    <w:rsid w:val="00DB41C3"/>
    <w:rsid w:val="00DB4FEA"/>
    <w:rsid w:val="00DB52E8"/>
    <w:rsid w:val="00DB5B35"/>
    <w:rsid w:val="00DB5D54"/>
    <w:rsid w:val="00DB708B"/>
    <w:rsid w:val="00DB7554"/>
    <w:rsid w:val="00DC01D6"/>
    <w:rsid w:val="00DC1B30"/>
    <w:rsid w:val="00DC1ED5"/>
    <w:rsid w:val="00DC2BF1"/>
    <w:rsid w:val="00DD5666"/>
    <w:rsid w:val="00DE7440"/>
    <w:rsid w:val="00DF2698"/>
    <w:rsid w:val="00E00C40"/>
    <w:rsid w:val="00E0139A"/>
    <w:rsid w:val="00E029B2"/>
    <w:rsid w:val="00E034BA"/>
    <w:rsid w:val="00E04C9D"/>
    <w:rsid w:val="00E05416"/>
    <w:rsid w:val="00E073BF"/>
    <w:rsid w:val="00E11AAA"/>
    <w:rsid w:val="00E15AFA"/>
    <w:rsid w:val="00E16F0E"/>
    <w:rsid w:val="00E17747"/>
    <w:rsid w:val="00E222AD"/>
    <w:rsid w:val="00E25FBA"/>
    <w:rsid w:val="00E33866"/>
    <w:rsid w:val="00E33AD4"/>
    <w:rsid w:val="00E37D18"/>
    <w:rsid w:val="00E403D7"/>
    <w:rsid w:val="00E41392"/>
    <w:rsid w:val="00E52412"/>
    <w:rsid w:val="00E54FB5"/>
    <w:rsid w:val="00E620DE"/>
    <w:rsid w:val="00E63320"/>
    <w:rsid w:val="00E7122C"/>
    <w:rsid w:val="00E72774"/>
    <w:rsid w:val="00E73BB1"/>
    <w:rsid w:val="00E742BD"/>
    <w:rsid w:val="00E76632"/>
    <w:rsid w:val="00E85961"/>
    <w:rsid w:val="00E868D9"/>
    <w:rsid w:val="00E91CF7"/>
    <w:rsid w:val="00E91D0B"/>
    <w:rsid w:val="00E92E6F"/>
    <w:rsid w:val="00E97587"/>
    <w:rsid w:val="00E97753"/>
    <w:rsid w:val="00EA18B6"/>
    <w:rsid w:val="00EA2535"/>
    <w:rsid w:val="00EA25EC"/>
    <w:rsid w:val="00EA3AD9"/>
    <w:rsid w:val="00EA4131"/>
    <w:rsid w:val="00EA6530"/>
    <w:rsid w:val="00EA6BCB"/>
    <w:rsid w:val="00EA6CB2"/>
    <w:rsid w:val="00EB2821"/>
    <w:rsid w:val="00EB6525"/>
    <w:rsid w:val="00EB70AB"/>
    <w:rsid w:val="00EC0D15"/>
    <w:rsid w:val="00EC2EE0"/>
    <w:rsid w:val="00EC3515"/>
    <w:rsid w:val="00ED01AE"/>
    <w:rsid w:val="00ED17D8"/>
    <w:rsid w:val="00ED24BA"/>
    <w:rsid w:val="00ED6A30"/>
    <w:rsid w:val="00EE1ED7"/>
    <w:rsid w:val="00EE2E72"/>
    <w:rsid w:val="00EE3AD2"/>
    <w:rsid w:val="00EE581C"/>
    <w:rsid w:val="00EE5D6F"/>
    <w:rsid w:val="00EE77CB"/>
    <w:rsid w:val="00EF16A0"/>
    <w:rsid w:val="00EF29D4"/>
    <w:rsid w:val="00EF2A37"/>
    <w:rsid w:val="00EF5F7E"/>
    <w:rsid w:val="00EF7E6E"/>
    <w:rsid w:val="00F00554"/>
    <w:rsid w:val="00F036E3"/>
    <w:rsid w:val="00F07853"/>
    <w:rsid w:val="00F101FF"/>
    <w:rsid w:val="00F11C75"/>
    <w:rsid w:val="00F16758"/>
    <w:rsid w:val="00F20CAE"/>
    <w:rsid w:val="00F2211C"/>
    <w:rsid w:val="00F231CF"/>
    <w:rsid w:val="00F24450"/>
    <w:rsid w:val="00F25F29"/>
    <w:rsid w:val="00F302A6"/>
    <w:rsid w:val="00F324A4"/>
    <w:rsid w:val="00F32BD0"/>
    <w:rsid w:val="00F32D36"/>
    <w:rsid w:val="00F33BD6"/>
    <w:rsid w:val="00F35519"/>
    <w:rsid w:val="00F41F64"/>
    <w:rsid w:val="00F500BB"/>
    <w:rsid w:val="00F52277"/>
    <w:rsid w:val="00F55049"/>
    <w:rsid w:val="00F557E5"/>
    <w:rsid w:val="00F56FE7"/>
    <w:rsid w:val="00F605EE"/>
    <w:rsid w:val="00F606B5"/>
    <w:rsid w:val="00F63DAD"/>
    <w:rsid w:val="00F644B9"/>
    <w:rsid w:val="00F66396"/>
    <w:rsid w:val="00F67374"/>
    <w:rsid w:val="00F6766D"/>
    <w:rsid w:val="00F71CD8"/>
    <w:rsid w:val="00F72349"/>
    <w:rsid w:val="00F73A97"/>
    <w:rsid w:val="00F74CA3"/>
    <w:rsid w:val="00F80799"/>
    <w:rsid w:val="00F82086"/>
    <w:rsid w:val="00F84FD6"/>
    <w:rsid w:val="00F922DE"/>
    <w:rsid w:val="00F92D13"/>
    <w:rsid w:val="00F941AB"/>
    <w:rsid w:val="00FA2614"/>
    <w:rsid w:val="00FA727F"/>
    <w:rsid w:val="00FB0E47"/>
    <w:rsid w:val="00FB208D"/>
    <w:rsid w:val="00FB6722"/>
    <w:rsid w:val="00FC3B27"/>
    <w:rsid w:val="00FC5A59"/>
    <w:rsid w:val="00FC70DE"/>
    <w:rsid w:val="00FD01FB"/>
    <w:rsid w:val="00FD0D74"/>
    <w:rsid w:val="00FD1F85"/>
    <w:rsid w:val="00FD2DDE"/>
    <w:rsid w:val="00FD2E6F"/>
    <w:rsid w:val="00FD5048"/>
    <w:rsid w:val="00FD5DE8"/>
    <w:rsid w:val="00FD6AFF"/>
    <w:rsid w:val="00FE2274"/>
    <w:rsid w:val="00FE24DB"/>
    <w:rsid w:val="00FE3B1D"/>
    <w:rsid w:val="00FE3B5F"/>
    <w:rsid w:val="00FE3EA2"/>
    <w:rsid w:val="00FF0FE8"/>
    <w:rsid w:val="00FF2A7B"/>
    <w:rsid w:val="00FF5B0B"/>
    <w:rsid w:val="00FF74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7B2BECE"/>
  <w15:docId w15:val="{D4C92910-2C83-41EE-9E18-CEEBB2AC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A4"/>
    <w:pPr>
      <w:spacing w:after="120"/>
    </w:pPr>
    <w:rPr>
      <w:sz w:val="20"/>
    </w:rPr>
  </w:style>
  <w:style w:type="paragraph" w:styleId="Heading1">
    <w:name w:val="heading 1"/>
    <w:basedOn w:val="Normal"/>
    <w:next w:val="Normal"/>
    <w:link w:val="Heading1Char"/>
    <w:uiPriority w:val="9"/>
    <w:qFormat/>
    <w:rsid w:val="00C81ADD"/>
    <w:pPr>
      <w:keepNext/>
      <w:keepLines/>
      <w:numPr>
        <w:numId w:val="3"/>
      </w:numPr>
      <w:spacing w:before="480" w:after="0"/>
      <w:outlineLvl w:val="0"/>
    </w:pPr>
    <w:rPr>
      <w:rFonts w:asciiTheme="majorHAnsi" w:eastAsiaTheme="majorEastAsia" w:hAnsiTheme="majorHAnsi" w:cstheme="majorBidi"/>
      <w:b/>
      <w:bCs/>
      <w:color w:val="004059" w:themeColor="accent1" w:themeShade="BF"/>
      <w:sz w:val="28"/>
      <w:szCs w:val="28"/>
    </w:rPr>
  </w:style>
  <w:style w:type="paragraph" w:styleId="Heading2">
    <w:name w:val="heading 2"/>
    <w:basedOn w:val="Heading1"/>
    <w:next w:val="Heading3"/>
    <w:link w:val="Heading2Char"/>
    <w:uiPriority w:val="9"/>
    <w:unhideWhenUsed/>
    <w:qFormat/>
    <w:rsid w:val="009116B1"/>
    <w:pPr>
      <w:numPr>
        <w:ilvl w:val="1"/>
      </w:numPr>
      <w:spacing w:before="0"/>
      <w:ind w:left="578" w:hanging="578"/>
      <w:outlineLvl w:val="1"/>
    </w:pPr>
    <w:rPr>
      <w:bCs w:val="0"/>
      <w:color w:val="FFFFFF" w:themeColor="background1"/>
      <w:sz w:val="22"/>
      <w:szCs w:val="26"/>
    </w:rPr>
  </w:style>
  <w:style w:type="paragraph" w:styleId="Heading3">
    <w:name w:val="heading 3"/>
    <w:basedOn w:val="Heading2"/>
    <w:next w:val="Heading4"/>
    <w:link w:val="Heading3Char"/>
    <w:uiPriority w:val="9"/>
    <w:unhideWhenUsed/>
    <w:qFormat/>
    <w:rsid w:val="00EA4131"/>
    <w:pPr>
      <w:numPr>
        <w:ilvl w:val="2"/>
      </w:numPr>
      <w:outlineLvl w:val="2"/>
    </w:pPr>
    <w:rPr>
      <w:bCs/>
      <w:szCs w:val="24"/>
    </w:rPr>
  </w:style>
  <w:style w:type="paragraph" w:styleId="Heading4">
    <w:name w:val="heading 4"/>
    <w:basedOn w:val="Heading3"/>
    <w:next w:val="Heading5"/>
    <w:link w:val="Heading4Char"/>
    <w:uiPriority w:val="9"/>
    <w:unhideWhenUsed/>
    <w:qFormat/>
    <w:rsid w:val="0098655C"/>
    <w:pPr>
      <w:numPr>
        <w:ilvl w:val="3"/>
      </w:numPr>
      <w:spacing w:line="240" w:lineRule="auto"/>
      <w:outlineLvl w:val="3"/>
    </w:pPr>
    <w:rPr>
      <w:b w:val="0"/>
      <w:bCs w:val="0"/>
      <w:iCs/>
      <w:color w:val="auto"/>
    </w:rPr>
  </w:style>
  <w:style w:type="paragraph" w:styleId="Heading5">
    <w:name w:val="heading 5"/>
    <w:basedOn w:val="Normal"/>
    <w:next w:val="Normal"/>
    <w:link w:val="Heading5Char"/>
    <w:uiPriority w:val="9"/>
    <w:unhideWhenUsed/>
    <w:qFormat/>
    <w:rsid w:val="00E620DE"/>
    <w:pPr>
      <w:keepNext/>
      <w:keepLines/>
      <w:spacing w:before="200" w:after="0"/>
      <w:outlineLvl w:val="4"/>
    </w:pPr>
    <w:rPr>
      <w:rFonts w:asciiTheme="majorHAnsi" w:eastAsiaTheme="majorEastAsia" w:hAnsiTheme="majorHAnsi" w:cstheme="majorBidi"/>
      <w:b/>
      <w:color w:val="002A3B" w:themeColor="accent1" w:themeShade="7F"/>
    </w:rPr>
  </w:style>
  <w:style w:type="paragraph" w:styleId="Heading6">
    <w:name w:val="heading 6"/>
    <w:basedOn w:val="Normal"/>
    <w:next w:val="Normal"/>
    <w:link w:val="Heading6Char"/>
    <w:uiPriority w:val="9"/>
    <w:unhideWhenUsed/>
    <w:qFormat/>
    <w:rsid w:val="00E620DE"/>
    <w:pPr>
      <w:keepNext/>
      <w:keepLines/>
      <w:spacing w:before="200" w:after="0"/>
      <w:outlineLvl w:val="5"/>
    </w:pPr>
    <w:rPr>
      <w:rFonts w:asciiTheme="majorHAnsi" w:eastAsiaTheme="majorEastAsia" w:hAnsiTheme="majorHAnsi" w:cstheme="majorBidi"/>
      <w:b/>
      <w:i/>
      <w:iCs/>
      <w:color w:val="002A3B" w:themeColor="accent1" w:themeShade="7F"/>
    </w:rPr>
  </w:style>
  <w:style w:type="paragraph" w:styleId="Heading7">
    <w:name w:val="heading 7"/>
    <w:basedOn w:val="Normal"/>
    <w:next w:val="Normal"/>
    <w:link w:val="Heading7Char"/>
    <w:uiPriority w:val="9"/>
    <w:unhideWhenUsed/>
    <w:qFormat/>
    <w:rsid w:val="00E620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D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620D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C81ADD"/>
    <w:rPr>
      <w:rFonts w:asciiTheme="majorHAnsi" w:eastAsiaTheme="majorEastAsia" w:hAnsiTheme="majorHAnsi" w:cstheme="majorBidi"/>
      <w:b/>
      <w:bCs/>
      <w:color w:val="004059" w:themeColor="accent1" w:themeShade="BF"/>
      <w:sz w:val="28"/>
      <w:szCs w:val="28"/>
    </w:rPr>
  </w:style>
  <w:style w:type="character" w:customStyle="1" w:styleId="Heading2Char">
    <w:name w:val="Heading 2 Char"/>
    <w:basedOn w:val="DefaultParagraphFont"/>
    <w:link w:val="Heading2"/>
    <w:uiPriority w:val="9"/>
    <w:rsid w:val="009116B1"/>
    <w:rPr>
      <w:rFonts w:asciiTheme="majorHAnsi" w:eastAsiaTheme="majorEastAsia" w:hAnsiTheme="majorHAnsi" w:cstheme="majorBidi"/>
      <w:b/>
      <w:color w:val="FFFFFF" w:themeColor="background1"/>
      <w:szCs w:val="26"/>
    </w:rPr>
  </w:style>
  <w:style w:type="paragraph" w:styleId="Title">
    <w:name w:val="Title"/>
    <w:basedOn w:val="Normal"/>
    <w:next w:val="Normal"/>
    <w:link w:val="TitleChar"/>
    <w:uiPriority w:val="10"/>
    <w:qFormat/>
    <w:rsid w:val="00FC70DE"/>
    <w:pPr>
      <w:spacing w:before="4480" w:after="480" w:line="240" w:lineRule="auto"/>
      <w:contextualSpacing/>
    </w:pPr>
    <w:rPr>
      <w:rFonts w:asciiTheme="majorHAnsi" w:eastAsiaTheme="majorEastAsia" w:hAnsiTheme="majorHAnsi" w:cstheme="majorBidi"/>
      <w:b/>
      <w:color w:val="2C2C2D" w:themeColor="text2" w:themeShade="80"/>
      <w:spacing w:val="5"/>
      <w:kern w:val="28"/>
      <w:sz w:val="64"/>
      <w:szCs w:val="52"/>
    </w:rPr>
  </w:style>
  <w:style w:type="character" w:customStyle="1" w:styleId="TitleChar">
    <w:name w:val="Title Char"/>
    <w:basedOn w:val="DefaultParagraphFont"/>
    <w:link w:val="Title"/>
    <w:uiPriority w:val="10"/>
    <w:rsid w:val="00FC70DE"/>
    <w:rPr>
      <w:rFonts w:asciiTheme="majorHAnsi" w:eastAsiaTheme="majorEastAsia" w:hAnsiTheme="majorHAnsi" w:cstheme="majorBidi"/>
      <w:b/>
      <w:color w:val="2C2C2D" w:themeColor="text2" w:themeShade="80"/>
      <w:spacing w:val="5"/>
      <w:kern w:val="28"/>
      <w:sz w:val="64"/>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939598"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939598"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005677" w:themeColor="hyperlink"/>
      <w:u w:val="single"/>
    </w:rPr>
  </w:style>
  <w:style w:type="character" w:customStyle="1" w:styleId="Heading3Char">
    <w:name w:val="Heading 3 Char"/>
    <w:basedOn w:val="DefaultParagraphFont"/>
    <w:link w:val="Heading3"/>
    <w:uiPriority w:val="9"/>
    <w:rsid w:val="00EA4131"/>
    <w:rPr>
      <w:rFonts w:asciiTheme="majorHAnsi" w:eastAsiaTheme="majorEastAsia" w:hAnsiTheme="majorHAnsi" w:cstheme="majorBidi"/>
      <w:b/>
      <w:bCs/>
      <w:color w:val="FFFFFF" w:themeColor="background1"/>
      <w:szCs w:val="24"/>
    </w:rPr>
  </w:style>
  <w:style w:type="character" w:customStyle="1" w:styleId="Heading4Char">
    <w:name w:val="Heading 4 Char"/>
    <w:basedOn w:val="DefaultParagraphFont"/>
    <w:link w:val="Heading4"/>
    <w:uiPriority w:val="9"/>
    <w:rsid w:val="0098655C"/>
    <w:rPr>
      <w:rFonts w:asciiTheme="majorHAnsi" w:eastAsiaTheme="majorEastAsia" w:hAnsiTheme="majorHAnsi" w:cstheme="majorBidi"/>
      <w:iCs/>
      <w:szCs w:val="24"/>
    </w:rPr>
  </w:style>
  <w:style w:type="character" w:customStyle="1" w:styleId="Heading5Char">
    <w:name w:val="Heading 5 Char"/>
    <w:basedOn w:val="DefaultParagraphFont"/>
    <w:link w:val="Heading5"/>
    <w:uiPriority w:val="9"/>
    <w:rsid w:val="00C81ADD"/>
    <w:rPr>
      <w:rFonts w:asciiTheme="majorHAnsi" w:eastAsiaTheme="majorEastAsia" w:hAnsiTheme="majorHAnsi" w:cstheme="majorBidi"/>
      <w:b/>
      <w:color w:val="002A3B"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81ADD"/>
    <w:pPr>
      <w:spacing w:after="0" w:line="240" w:lineRule="auto"/>
    </w:pPr>
    <w:tblPr>
      <w:tblStyleRowBandSize w:val="1"/>
      <w:tblStyleColBandSize w:val="1"/>
      <w:tblBorders>
        <w:top w:val="single" w:sz="8" w:space="0" w:color="005677" w:themeColor="accent1"/>
        <w:left w:val="single" w:sz="8" w:space="0" w:color="005677" w:themeColor="accent1"/>
        <w:bottom w:val="single" w:sz="8" w:space="0" w:color="005677" w:themeColor="accent1"/>
        <w:right w:val="single" w:sz="8" w:space="0" w:color="005677" w:themeColor="accent1"/>
      </w:tblBorders>
      <w:tblCellMar>
        <w:top w:w="57" w:type="dxa"/>
        <w:left w:w="57" w:type="dxa"/>
        <w:bottom w:w="57" w:type="dxa"/>
        <w:right w:w="57" w:type="dxa"/>
      </w:tblCellMar>
    </w:tblPr>
    <w:tblStylePr w:type="firstRow">
      <w:pPr>
        <w:spacing w:before="0" w:after="0" w:line="240" w:lineRule="auto"/>
      </w:pPr>
      <w:rPr>
        <w:b/>
        <w:bCs/>
        <w:color w:val="FFFFFF" w:themeColor="background1"/>
      </w:rPr>
      <w:tblPr/>
      <w:tcPr>
        <w:shd w:val="clear" w:color="auto" w:fill="005677" w:themeFill="accent1"/>
      </w:tcPr>
    </w:tblStylePr>
    <w:tblStylePr w:type="lastRow">
      <w:pPr>
        <w:spacing w:before="0" w:after="0" w:line="240" w:lineRule="auto"/>
      </w:pPr>
      <w:rPr>
        <w:rFonts w:ascii="Adobe Caslon Pro" w:hAnsi="Adobe Caslon Pro"/>
        <w:b w:val="0"/>
        <w:bCs/>
      </w:rPr>
      <w:tblPr/>
      <w:tcPr>
        <w:tcBorders>
          <w:top w:val="double" w:sz="6" w:space="0" w:color="005677" w:themeColor="accent1"/>
          <w:left w:val="single" w:sz="8" w:space="0" w:color="005677" w:themeColor="accent1"/>
          <w:bottom w:val="single" w:sz="8" w:space="0" w:color="005677" w:themeColor="accent1"/>
          <w:right w:val="single" w:sz="8" w:space="0" w:color="005677" w:themeColor="accent1"/>
        </w:tcBorders>
      </w:tcPr>
    </w:tblStylePr>
    <w:tblStylePr w:type="firstCol">
      <w:rPr>
        <w:b/>
        <w:bCs/>
      </w:rPr>
    </w:tblStylePr>
    <w:tblStylePr w:type="lastCol">
      <w:rPr>
        <w:b/>
        <w:bCs/>
      </w:rPr>
    </w:tblStylePr>
    <w:tblStylePr w:type="band1Vert">
      <w:tblPr/>
      <w:tcPr>
        <w:tcBorders>
          <w:top w:val="single" w:sz="8" w:space="0" w:color="005677" w:themeColor="accent1"/>
          <w:left w:val="single" w:sz="8" w:space="0" w:color="005677" w:themeColor="accent1"/>
          <w:bottom w:val="single" w:sz="8" w:space="0" w:color="005677" w:themeColor="accent1"/>
          <w:right w:val="single" w:sz="8" w:space="0" w:color="005677" w:themeColor="accent1"/>
        </w:tcBorders>
      </w:tcPr>
    </w:tblStylePr>
    <w:tblStylePr w:type="band1Horz">
      <w:tblPr/>
      <w:tcPr>
        <w:tcBorders>
          <w:top w:val="single" w:sz="8" w:space="0" w:color="005677" w:themeColor="accent1"/>
          <w:left w:val="single" w:sz="8" w:space="0" w:color="005677" w:themeColor="accent1"/>
          <w:bottom w:val="single" w:sz="8" w:space="0" w:color="005677" w:themeColor="accent1"/>
          <w:right w:val="single" w:sz="8" w:space="0" w:color="005677"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00283E" w:themeColor="accent2"/>
        <w:left w:val="single" w:sz="8" w:space="0" w:color="00283E" w:themeColor="accent2"/>
        <w:bottom w:val="single" w:sz="8" w:space="0" w:color="00283E" w:themeColor="accent2"/>
        <w:right w:val="single" w:sz="8" w:space="0" w:color="00283E" w:themeColor="accent2"/>
      </w:tblBorders>
    </w:tblPr>
    <w:tblStylePr w:type="firstRow">
      <w:pPr>
        <w:spacing w:before="0" w:after="0" w:line="240" w:lineRule="auto"/>
      </w:pPr>
      <w:rPr>
        <w:b/>
        <w:bCs/>
        <w:color w:val="FFFFFF" w:themeColor="background1"/>
      </w:rPr>
      <w:tblPr/>
      <w:tcPr>
        <w:shd w:val="clear" w:color="auto" w:fill="00283E" w:themeFill="accent2"/>
      </w:tcPr>
    </w:tblStylePr>
    <w:tblStylePr w:type="lastRow">
      <w:pPr>
        <w:spacing w:before="0" w:after="0" w:line="240" w:lineRule="auto"/>
      </w:pPr>
      <w:rPr>
        <w:b/>
        <w:bCs/>
      </w:rPr>
      <w:tblPr/>
      <w:tcPr>
        <w:tcBorders>
          <w:top w:val="double" w:sz="6" w:space="0" w:color="00283E" w:themeColor="accent2"/>
          <w:left w:val="single" w:sz="8" w:space="0" w:color="00283E" w:themeColor="accent2"/>
          <w:bottom w:val="single" w:sz="8" w:space="0" w:color="00283E" w:themeColor="accent2"/>
          <w:right w:val="single" w:sz="8" w:space="0" w:color="00283E" w:themeColor="accent2"/>
        </w:tcBorders>
      </w:tcPr>
    </w:tblStylePr>
    <w:tblStylePr w:type="firstCol">
      <w:rPr>
        <w:b/>
        <w:bCs/>
      </w:rPr>
    </w:tblStylePr>
    <w:tblStylePr w:type="lastCol">
      <w:rPr>
        <w:b/>
        <w:bCs/>
      </w:rPr>
    </w:tblStylePr>
    <w:tblStylePr w:type="band1Vert">
      <w:tblPr/>
      <w:tcPr>
        <w:tcBorders>
          <w:top w:val="single" w:sz="8" w:space="0" w:color="00283E" w:themeColor="accent2"/>
          <w:left w:val="single" w:sz="8" w:space="0" w:color="00283E" w:themeColor="accent2"/>
          <w:bottom w:val="single" w:sz="8" w:space="0" w:color="00283E" w:themeColor="accent2"/>
          <w:right w:val="single" w:sz="8" w:space="0" w:color="00283E" w:themeColor="accent2"/>
        </w:tcBorders>
      </w:tcPr>
    </w:tblStylePr>
    <w:tblStylePr w:type="band1Horz">
      <w:tblPr/>
      <w:tcPr>
        <w:tcBorders>
          <w:top w:val="single" w:sz="8" w:space="0" w:color="00283E" w:themeColor="accent2"/>
          <w:left w:val="single" w:sz="8" w:space="0" w:color="00283E" w:themeColor="accent2"/>
          <w:bottom w:val="single" w:sz="8" w:space="0" w:color="00283E" w:themeColor="accent2"/>
          <w:right w:val="single" w:sz="8" w:space="0" w:color="00283E"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1B9590" w:themeColor="accent3"/>
        <w:left w:val="single" w:sz="8" w:space="0" w:color="1B9590" w:themeColor="accent3"/>
        <w:bottom w:val="single" w:sz="8" w:space="0" w:color="1B9590" w:themeColor="accent3"/>
        <w:right w:val="single" w:sz="8" w:space="0" w:color="1B9590" w:themeColor="accent3"/>
      </w:tblBorders>
    </w:tblPr>
    <w:tblStylePr w:type="firstRow">
      <w:pPr>
        <w:spacing w:before="0" w:after="0" w:line="240" w:lineRule="auto"/>
      </w:pPr>
      <w:rPr>
        <w:b/>
        <w:bCs/>
        <w:color w:val="FFFFFF" w:themeColor="background1"/>
      </w:rPr>
      <w:tblPr/>
      <w:tcPr>
        <w:shd w:val="clear" w:color="auto" w:fill="1B9590" w:themeFill="accent3"/>
      </w:tcPr>
    </w:tblStylePr>
    <w:tblStylePr w:type="lastRow">
      <w:pPr>
        <w:spacing w:before="0" w:after="0" w:line="240" w:lineRule="auto"/>
      </w:pPr>
      <w:rPr>
        <w:b/>
        <w:bCs/>
      </w:rPr>
      <w:tblPr/>
      <w:tcPr>
        <w:tcBorders>
          <w:top w:val="double" w:sz="6" w:space="0" w:color="1B9590" w:themeColor="accent3"/>
          <w:left w:val="single" w:sz="8" w:space="0" w:color="1B9590" w:themeColor="accent3"/>
          <w:bottom w:val="single" w:sz="8" w:space="0" w:color="1B9590" w:themeColor="accent3"/>
          <w:right w:val="single" w:sz="8" w:space="0" w:color="1B9590" w:themeColor="accent3"/>
        </w:tcBorders>
      </w:tcPr>
    </w:tblStylePr>
    <w:tblStylePr w:type="firstCol">
      <w:rPr>
        <w:b/>
        <w:bCs/>
      </w:rPr>
    </w:tblStylePr>
    <w:tblStylePr w:type="lastCol">
      <w:rPr>
        <w:b/>
        <w:bCs/>
      </w:rPr>
    </w:tblStylePr>
    <w:tblStylePr w:type="band1Vert">
      <w:tblPr/>
      <w:tcPr>
        <w:tcBorders>
          <w:top w:val="single" w:sz="8" w:space="0" w:color="1B9590" w:themeColor="accent3"/>
          <w:left w:val="single" w:sz="8" w:space="0" w:color="1B9590" w:themeColor="accent3"/>
          <w:bottom w:val="single" w:sz="8" w:space="0" w:color="1B9590" w:themeColor="accent3"/>
          <w:right w:val="single" w:sz="8" w:space="0" w:color="1B9590" w:themeColor="accent3"/>
        </w:tcBorders>
      </w:tcPr>
    </w:tblStylePr>
    <w:tblStylePr w:type="band1Horz">
      <w:tblPr/>
      <w:tcPr>
        <w:tcBorders>
          <w:top w:val="single" w:sz="8" w:space="0" w:color="1B9590" w:themeColor="accent3"/>
          <w:left w:val="single" w:sz="8" w:space="0" w:color="1B9590" w:themeColor="accent3"/>
          <w:bottom w:val="single" w:sz="8" w:space="0" w:color="1B9590" w:themeColor="accent3"/>
          <w:right w:val="single" w:sz="8" w:space="0" w:color="1B9590"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61C6C6" w:themeColor="accent4"/>
        <w:left w:val="single" w:sz="8" w:space="0" w:color="61C6C6" w:themeColor="accent4"/>
        <w:bottom w:val="single" w:sz="8" w:space="0" w:color="61C6C6" w:themeColor="accent4"/>
        <w:right w:val="single" w:sz="8" w:space="0" w:color="61C6C6" w:themeColor="accent4"/>
      </w:tblBorders>
    </w:tblPr>
    <w:tblStylePr w:type="firstRow">
      <w:pPr>
        <w:spacing w:before="0" w:after="0" w:line="240" w:lineRule="auto"/>
      </w:pPr>
      <w:rPr>
        <w:b/>
        <w:bCs/>
        <w:color w:val="FFFFFF" w:themeColor="background1"/>
      </w:rPr>
      <w:tblPr/>
      <w:tcPr>
        <w:shd w:val="clear" w:color="auto" w:fill="61C6C6" w:themeFill="accent4"/>
      </w:tcPr>
    </w:tblStylePr>
    <w:tblStylePr w:type="lastRow">
      <w:pPr>
        <w:spacing w:before="0" w:after="0" w:line="240" w:lineRule="auto"/>
      </w:pPr>
      <w:rPr>
        <w:b/>
        <w:bCs/>
      </w:rPr>
      <w:tblPr/>
      <w:tcPr>
        <w:tcBorders>
          <w:top w:val="double" w:sz="6" w:space="0" w:color="61C6C6" w:themeColor="accent4"/>
          <w:left w:val="single" w:sz="8" w:space="0" w:color="61C6C6" w:themeColor="accent4"/>
          <w:bottom w:val="single" w:sz="8" w:space="0" w:color="61C6C6" w:themeColor="accent4"/>
          <w:right w:val="single" w:sz="8" w:space="0" w:color="61C6C6" w:themeColor="accent4"/>
        </w:tcBorders>
      </w:tcPr>
    </w:tblStylePr>
    <w:tblStylePr w:type="firstCol">
      <w:rPr>
        <w:b/>
        <w:bCs/>
      </w:rPr>
    </w:tblStylePr>
    <w:tblStylePr w:type="lastCol">
      <w:rPr>
        <w:b/>
        <w:bCs/>
      </w:rPr>
    </w:tblStylePr>
    <w:tblStylePr w:type="band1Vert">
      <w:tblPr/>
      <w:tcPr>
        <w:tcBorders>
          <w:top w:val="single" w:sz="8" w:space="0" w:color="61C6C6" w:themeColor="accent4"/>
          <w:left w:val="single" w:sz="8" w:space="0" w:color="61C6C6" w:themeColor="accent4"/>
          <w:bottom w:val="single" w:sz="8" w:space="0" w:color="61C6C6" w:themeColor="accent4"/>
          <w:right w:val="single" w:sz="8" w:space="0" w:color="61C6C6" w:themeColor="accent4"/>
        </w:tcBorders>
      </w:tcPr>
    </w:tblStylePr>
    <w:tblStylePr w:type="band1Horz">
      <w:tblPr/>
      <w:tcPr>
        <w:tcBorders>
          <w:top w:val="single" w:sz="8" w:space="0" w:color="61C6C6" w:themeColor="accent4"/>
          <w:left w:val="single" w:sz="8" w:space="0" w:color="61C6C6" w:themeColor="accent4"/>
          <w:bottom w:val="single" w:sz="8" w:space="0" w:color="61C6C6" w:themeColor="accent4"/>
          <w:right w:val="single" w:sz="8" w:space="0" w:color="61C6C6" w:themeColor="accent4"/>
        </w:tcBorders>
      </w:tcPr>
    </w:tblStylePr>
  </w:style>
  <w:style w:type="table" w:customStyle="1" w:styleId="Style1">
    <w:name w:val="Style1"/>
    <w:basedOn w:val="TableNormal"/>
    <w:uiPriority w:val="99"/>
    <w:rsid w:val="00DA0F02"/>
    <w:pPr>
      <w:spacing w:after="0" w:line="240" w:lineRule="auto"/>
    </w:pPr>
    <w:rPr>
      <w:rFonts w:ascii="Arial" w:hAnsi="Arial"/>
      <w:color w:val="000000" w:themeColor="text1"/>
      <w:sz w:val="24"/>
    </w:rPr>
    <w:tblPr>
      <w:tblBorders>
        <w:bottom w:val="single" w:sz="2" w:space="0" w:color="005677" w:themeColor="accent1"/>
        <w:insideH w:val="single" w:sz="2" w:space="0" w:color="005677" w:themeColor="accent1"/>
      </w:tblBorders>
    </w:tblPr>
    <w:tcPr>
      <w:shd w:val="clear" w:color="auto" w:fill="auto"/>
      <w:vAlign w:val="center"/>
    </w:tcPr>
    <w:tblStylePr w:type="firstRow">
      <w:pPr>
        <w:jc w:val="left"/>
      </w:pPr>
      <w:rPr>
        <w:rFonts w:ascii="Arial" w:hAnsi="Arial"/>
        <w:b/>
        <w:color w:val="FFFFFF" w:themeColor="background1"/>
        <w:sz w:val="28"/>
      </w:rPr>
      <w:tblPr/>
      <w:tcPr>
        <w:shd w:val="clear" w:color="auto" w:fill="005677"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163B54"/>
    <w:pPr>
      <w:spacing w:after="100"/>
    </w:pPr>
    <w:rPr>
      <w:sz w:val="24"/>
    </w:rPr>
  </w:style>
  <w:style w:type="paragraph" w:styleId="TOC2">
    <w:name w:val="toc 2"/>
    <w:basedOn w:val="Normal"/>
    <w:next w:val="Normal"/>
    <w:autoRedefine/>
    <w:uiPriority w:val="39"/>
    <w:unhideWhenUsed/>
    <w:qFormat/>
    <w:rsid w:val="00D30D2F"/>
    <w:pPr>
      <w:tabs>
        <w:tab w:val="left" w:pos="567"/>
        <w:tab w:val="right" w:leader="dot" w:pos="8896"/>
      </w:tabs>
      <w:spacing w:after="100"/>
      <w:ind w:left="200"/>
    </w:pPr>
    <w:rPr>
      <w:color w:val="58595B"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1B9590" w:themeColor="accent3"/>
        <w:bottom w:val="single" w:sz="4" w:space="1" w:color="1B9590" w:themeColor="accent3"/>
      </w:pBdr>
      <w:spacing w:before="240" w:after="240"/>
    </w:pPr>
    <w:rPr>
      <w:i/>
      <w:iCs/>
      <w:color w:val="005677" w:themeColor="accent1"/>
      <w:sz w:val="24"/>
    </w:rPr>
  </w:style>
  <w:style w:type="character" w:customStyle="1" w:styleId="QuoteChar">
    <w:name w:val="Quote Char"/>
    <w:basedOn w:val="DefaultParagraphFont"/>
    <w:link w:val="Quote"/>
    <w:uiPriority w:val="29"/>
    <w:rsid w:val="009D7BB6"/>
    <w:rPr>
      <w:i/>
      <w:iCs/>
      <w:color w:val="005677" w:themeColor="accent1"/>
      <w:sz w:val="24"/>
    </w:rPr>
  </w:style>
  <w:style w:type="character" w:styleId="SubtleEmphasis">
    <w:name w:val="Subtle Emphasis"/>
    <w:basedOn w:val="DefaultParagraphFont"/>
    <w:uiPriority w:val="19"/>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005677" w:themeColor="accent1"/>
    </w:rPr>
  </w:style>
  <w:style w:type="paragraph" w:styleId="Caption">
    <w:name w:val="caption"/>
    <w:basedOn w:val="Normal"/>
    <w:next w:val="Normal"/>
    <w:uiPriority w:val="35"/>
    <w:unhideWhenUsed/>
    <w:qFormat/>
    <w:rsid w:val="00B526AB"/>
    <w:pPr>
      <w:spacing w:after="360" w:line="240" w:lineRule="auto"/>
    </w:pPr>
    <w:rPr>
      <w:bCs/>
      <w:color w:val="005677" w:themeColor="accent1"/>
      <w:sz w:val="18"/>
      <w:szCs w:val="18"/>
    </w:rPr>
  </w:style>
  <w:style w:type="character" w:customStyle="1" w:styleId="Tabletitle">
    <w:name w:val="Table title"/>
    <w:basedOn w:val="DefaultParagraphFont"/>
    <w:uiPriority w:val="1"/>
    <w:qFormat/>
    <w:rsid w:val="00D87BC8"/>
    <w:rPr>
      <w:b/>
      <w:color w:val="005677" w:themeColor="accent1"/>
    </w:rPr>
  </w:style>
  <w:style w:type="character" w:customStyle="1" w:styleId="Figuretitle">
    <w:name w:val="Figure title"/>
    <w:basedOn w:val="Tabletitle"/>
    <w:uiPriority w:val="1"/>
    <w:qFormat/>
    <w:rsid w:val="00D87BC8"/>
    <w:rPr>
      <w:b/>
      <w:color w:val="005677" w:themeColor="accent1"/>
    </w:rPr>
  </w:style>
  <w:style w:type="paragraph" w:customStyle="1" w:styleId="Credit">
    <w:name w:val="Credit"/>
    <w:basedOn w:val="Caption"/>
    <w:qFormat/>
    <w:rsid w:val="00A51E16"/>
    <w:rPr>
      <w:color w:val="58595B"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00283E" w:themeColor="accent2"/>
        <w:left w:val="single" w:sz="4" w:space="4" w:color="00283E" w:themeColor="accent2"/>
        <w:bottom w:val="single" w:sz="4" w:space="4" w:color="00283E" w:themeColor="accent2"/>
        <w:right w:val="single" w:sz="4" w:space="4" w:color="00283E" w:themeColor="accent2"/>
      </w:pBdr>
      <w:shd w:val="clear" w:color="auto" w:fill="D1EEFF" w:themeFill="accent2" w:themeFillTint="1A"/>
      <w:ind w:left="113" w:right="113"/>
    </w:pPr>
  </w:style>
  <w:style w:type="paragraph" w:customStyle="1" w:styleId="Casestudytitle">
    <w:name w:val="Case study title"/>
    <w:basedOn w:val="Casestudy"/>
    <w:qFormat/>
    <w:rsid w:val="002D3954"/>
    <w:pPr>
      <w:spacing w:before="360"/>
    </w:pPr>
    <w:rPr>
      <w:color w:val="00283E" w:themeColor="accent2"/>
      <w:sz w:val="28"/>
    </w:rPr>
  </w:style>
  <w:style w:type="paragraph" w:customStyle="1" w:styleId="Casestudysource">
    <w:name w:val="Case study source"/>
    <w:basedOn w:val="Casestudy"/>
    <w:qFormat/>
    <w:rsid w:val="00F25F29"/>
    <w:pPr>
      <w:spacing w:before="240" w:after="480"/>
    </w:pPr>
    <w:rPr>
      <w:color w:val="00283E"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iPriority w:val="99"/>
    <w:unhideWhenUsed/>
    <w:rsid w:val="00991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1FDD"/>
    <w:rPr>
      <w:sz w:val="20"/>
    </w:rPr>
  </w:style>
  <w:style w:type="character" w:styleId="PageNumber">
    <w:name w:val="page number"/>
    <w:basedOn w:val="DefaultParagraphFont"/>
    <w:uiPriority w:val="99"/>
    <w:semiHidden/>
    <w:unhideWhenUsed/>
    <w:rsid w:val="0031658C"/>
  </w:style>
  <w:style w:type="character" w:customStyle="1" w:styleId="Heading6Char">
    <w:name w:val="Heading 6 Char"/>
    <w:basedOn w:val="DefaultParagraphFont"/>
    <w:link w:val="Heading6"/>
    <w:uiPriority w:val="9"/>
    <w:rsid w:val="00C81ADD"/>
    <w:rPr>
      <w:rFonts w:asciiTheme="majorHAnsi" w:eastAsiaTheme="majorEastAsia" w:hAnsiTheme="majorHAnsi" w:cstheme="majorBidi"/>
      <w:b/>
      <w:i/>
      <w:iCs/>
      <w:color w:val="002A3B" w:themeColor="accent1" w:themeShade="7F"/>
      <w:sz w:val="20"/>
    </w:rPr>
  </w:style>
  <w:style w:type="character" w:customStyle="1" w:styleId="Heading7Char">
    <w:name w:val="Heading 7 Char"/>
    <w:basedOn w:val="DefaultParagraphFont"/>
    <w:link w:val="Heading7"/>
    <w:uiPriority w:val="9"/>
    <w:rsid w:val="00C81ADD"/>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B37916"/>
    <w:pPr>
      <w:ind w:left="600"/>
    </w:pPr>
  </w:style>
  <w:style w:type="paragraph" w:styleId="TOC5">
    <w:name w:val="toc 5"/>
    <w:basedOn w:val="Normal"/>
    <w:next w:val="Normal"/>
    <w:autoRedefine/>
    <w:uiPriority w:val="39"/>
    <w:unhideWhenUsed/>
    <w:rsid w:val="00B37916"/>
    <w:pPr>
      <w:ind w:left="800"/>
    </w:pPr>
  </w:style>
  <w:style w:type="paragraph" w:styleId="TOC6">
    <w:name w:val="toc 6"/>
    <w:basedOn w:val="Normal"/>
    <w:next w:val="Normal"/>
    <w:autoRedefine/>
    <w:uiPriority w:val="39"/>
    <w:unhideWhenUsed/>
    <w:rsid w:val="00B37916"/>
    <w:pPr>
      <w:ind w:left="1000"/>
    </w:pPr>
  </w:style>
  <w:style w:type="paragraph" w:styleId="TOC7">
    <w:name w:val="toc 7"/>
    <w:basedOn w:val="Normal"/>
    <w:next w:val="Normal"/>
    <w:autoRedefine/>
    <w:uiPriority w:val="39"/>
    <w:unhideWhenUsed/>
    <w:rsid w:val="00B37916"/>
    <w:pPr>
      <w:ind w:left="1200"/>
    </w:pPr>
  </w:style>
  <w:style w:type="paragraph" w:styleId="TOC8">
    <w:name w:val="toc 8"/>
    <w:basedOn w:val="Normal"/>
    <w:next w:val="Normal"/>
    <w:autoRedefine/>
    <w:uiPriority w:val="39"/>
    <w:unhideWhenUsed/>
    <w:rsid w:val="00B37916"/>
    <w:pPr>
      <w:ind w:left="1400"/>
    </w:pPr>
  </w:style>
  <w:style w:type="paragraph" w:styleId="TOC9">
    <w:name w:val="toc 9"/>
    <w:basedOn w:val="Normal"/>
    <w:next w:val="Normal"/>
    <w:autoRedefine/>
    <w:uiPriority w:val="39"/>
    <w:unhideWhenUsed/>
    <w:rsid w:val="00B37916"/>
    <w:pPr>
      <w:ind w:left="1600"/>
    </w:pPr>
  </w:style>
  <w:style w:type="paragraph" w:styleId="ListParagraph">
    <w:name w:val="List Paragraph"/>
    <w:basedOn w:val="Normal"/>
    <w:uiPriority w:val="34"/>
    <w:qFormat/>
    <w:rsid w:val="006B57F5"/>
    <w:pPr>
      <w:spacing w:after="200"/>
      <w:ind w:left="720"/>
      <w:contextualSpacing/>
    </w:pPr>
    <w:rPr>
      <w:sz w:val="22"/>
    </w:rPr>
  </w:style>
  <w:style w:type="character" w:styleId="CommentReference">
    <w:name w:val="annotation reference"/>
    <w:basedOn w:val="DefaultParagraphFont"/>
    <w:uiPriority w:val="99"/>
    <w:semiHidden/>
    <w:unhideWhenUsed/>
    <w:rsid w:val="001B37D0"/>
    <w:rPr>
      <w:sz w:val="18"/>
      <w:szCs w:val="18"/>
    </w:rPr>
  </w:style>
  <w:style w:type="character" w:customStyle="1" w:styleId="Heading8Char">
    <w:name w:val="Heading 8 Char"/>
    <w:basedOn w:val="DefaultParagraphFont"/>
    <w:link w:val="Heading8"/>
    <w:uiPriority w:val="9"/>
    <w:semiHidden/>
    <w:rsid w:val="00C81A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1ADD"/>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semiHidden/>
    <w:unhideWhenUsed/>
    <w:rsid w:val="001B37D0"/>
    <w:pPr>
      <w:spacing w:line="240" w:lineRule="auto"/>
    </w:pPr>
    <w:rPr>
      <w:sz w:val="24"/>
      <w:szCs w:val="24"/>
    </w:rPr>
  </w:style>
  <w:style w:type="character" w:customStyle="1" w:styleId="CommentTextChar">
    <w:name w:val="Comment Text Char"/>
    <w:basedOn w:val="DefaultParagraphFont"/>
    <w:link w:val="CommentText"/>
    <w:uiPriority w:val="99"/>
    <w:semiHidden/>
    <w:rsid w:val="001B37D0"/>
    <w:rPr>
      <w:sz w:val="24"/>
      <w:szCs w:val="24"/>
    </w:rPr>
  </w:style>
  <w:style w:type="paragraph" w:styleId="CommentSubject">
    <w:name w:val="annotation subject"/>
    <w:basedOn w:val="CommentText"/>
    <w:next w:val="CommentText"/>
    <w:link w:val="CommentSubjectChar"/>
    <w:uiPriority w:val="99"/>
    <w:semiHidden/>
    <w:unhideWhenUsed/>
    <w:rsid w:val="001B37D0"/>
    <w:rPr>
      <w:b/>
      <w:bCs/>
      <w:sz w:val="20"/>
      <w:szCs w:val="20"/>
    </w:rPr>
  </w:style>
  <w:style w:type="character" w:customStyle="1" w:styleId="CommentSubjectChar">
    <w:name w:val="Comment Subject Char"/>
    <w:basedOn w:val="CommentTextChar"/>
    <w:link w:val="CommentSubject"/>
    <w:uiPriority w:val="99"/>
    <w:semiHidden/>
    <w:rsid w:val="001B37D0"/>
    <w:rPr>
      <w:b/>
      <w:bCs/>
      <w:sz w:val="20"/>
      <w:szCs w:val="20"/>
    </w:rPr>
  </w:style>
  <w:style w:type="character" w:styleId="FollowedHyperlink">
    <w:name w:val="FollowedHyperlink"/>
    <w:basedOn w:val="DefaultParagraphFont"/>
    <w:uiPriority w:val="99"/>
    <w:semiHidden/>
    <w:unhideWhenUsed/>
    <w:rsid w:val="00A5579C"/>
    <w:rPr>
      <w:color w:val="C973AF" w:themeColor="followedHyperlink"/>
      <w:u w:val="single"/>
    </w:rPr>
  </w:style>
  <w:style w:type="paragraph" w:styleId="PlainText">
    <w:name w:val="Plain Text"/>
    <w:basedOn w:val="Normal"/>
    <w:link w:val="PlainTextChar"/>
    <w:uiPriority w:val="99"/>
    <w:semiHidden/>
    <w:unhideWhenUsed/>
    <w:rsid w:val="006261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6261BA"/>
    <w:rPr>
      <w:rFonts w:ascii="Calibri" w:hAnsi="Calibri"/>
      <w:szCs w:val="21"/>
    </w:rPr>
  </w:style>
  <w:style w:type="paragraph" w:styleId="Revision">
    <w:name w:val="Revision"/>
    <w:hidden/>
    <w:uiPriority w:val="99"/>
    <w:semiHidden/>
    <w:rsid w:val="00BF39B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4274">
      <w:bodyDiv w:val="1"/>
      <w:marLeft w:val="0"/>
      <w:marRight w:val="0"/>
      <w:marTop w:val="0"/>
      <w:marBottom w:val="0"/>
      <w:divBdr>
        <w:top w:val="none" w:sz="0" w:space="0" w:color="auto"/>
        <w:left w:val="none" w:sz="0" w:space="0" w:color="auto"/>
        <w:bottom w:val="none" w:sz="0" w:space="0" w:color="auto"/>
        <w:right w:val="none" w:sz="0" w:space="0" w:color="auto"/>
      </w:divBdr>
    </w:div>
    <w:div w:id="293953576">
      <w:bodyDiv w:val="1"/>
      <w:marLeft w:val="0"/>
      <w:marRight w:val="0"/>
      <w:marTop w:val="0"/>
      <w:marBottom w:val="0"/>
      <w:divBdr>
        <w:top w:val="none" w:sz="0" w:space="0" w:color="auto"/>
        <w:left w:val="none" w:sz="0" w:space="0" w:color="auto"/>
        <w:bottom w:val="none" w:sz="0" w:space="0" w:color="auto"/>
        <w:right w:val="none" w:sz="0" w:space="0" w:color="auto"/>
      </w:divBdr>
    </w:div>
    <w:div w:id="311562920">
      <w:bodyDiv w:val="1"/>
      <w:marLeft w:val="0"/>
      <w:marRight w:val="0"/>
      <w:marTop w:val="0"/>
      <w:marBottom w:val="0"/>
      <w:divBdr>
        <w:top w:val="none" w:sz="0" w:space="0" w:color="auto"/>
        <w:left w:val="none" w:sz="0" w:space="0" w:color="auto"/>
        <w:bottom w:val="none" w:sz="0" w:space="0" w:color="auto"/>
        <w:right w:val="none" w:sz="0" w:space="0" w:color="auto"/>
      </w:divBdr>
    </w:div>
    <w:div w:id="313993938">
      <w:bodyDiv w:val="1"/>
      <w:marLeft w:val="0"/>
      <w:marRight w:val="0"/>
      <w:marTop w:val="0"/>
      <w:marBottom w:val="0"/>
      <w:divBdr>
        <w:top w:val="none" w:sz="0" w:space="0" w:color="auto"/>
        <w:left w:val="none" w:sz="0" w:space="0" w:color="auto"/>
        <w:bottom w:val="none" w:sz="0" w:space="0" w:color="auto"/>
        <w:right w:val="none" w:sz="0" w:space="0" w:color="auto"/>
      </w:divBdr>
    </w:div>
    <w:div w:id="456729129">
      <w:bodyDiv w:val="1"/>
      <w:marLeft w:val="0"/>
      <w:marRight w:val="0"/>
      <w:marTop w:val="0"/>
      <w:marBottom w:val="0"/>
      <w:divBdr>
        <w:top w:val="none" w:sz="0" w:space="0" w:color="auto"/>
        <w:left w:val="none" w:sz="0" w:space="0" w:color="auto"/>
        <w:bottom w:val="none" w:sz="0" w:space="0" w:color="auto"/>
        <w:right w:val="none" w:sz="0" w:space="0" w:color="auto"/>
      </w:divBdr>
      <w:divsChild>
        <w:div w:id="633953027">
          <w:marLeft w:val="0"/>
          <w:marRight w:val="0"/>
          <w:marTop w:val="0"/>
          <w:marBottom w:val="0"/>
          <w:divBdr>
            <w:top w:val="none" w:sz="0" w:space="0" w:color="auto"/>
            <w:left w:val="none" w:sz="0" w:space="0" w:color="auto"/>
            <w:bottom w:val="none" w:sz="0" w:space="0" w:color="auto"/>
            <w:right w:val="none" w:sz="0" w:space="0" w:color="auto"/>
          </w:divBdr>
          <w:divsChild>
            <w:div w:id="1817914288">
              <w:marLeft w:val="0"/>
              <w:marRight w:val="0"/>
              <w:marTop w:val="0"/>
              <w:marBottom w:val="0"/>
              <w:divBdr>
                <w:top w:val="none" w:sz="0" w:space="0" w:color="auto"/>
                <w:left w:val="none" w:sz="0" w:space="0" w:color="auto"/>
                <w:bottom w:val="none" w:sz="0" w:space="0" w:color="auto"/>
                <w:right w:val="none" w:sz="0" w:space="0" w:color="auto"/>
              </w:divBdr>
              <w:divsChild>
                <w:div w:id="1358309889">
                  <w:marLeft w:val="0"/>
                  <w:marRight w:val="0"/>
                  <w:marTop w:val="0"/>
                  <w:marBottom w:val="0"/>
                  <w:divBdr>
                    <w:top w:val="none" w:sz="0" w:space="0" w:color="auto"/>
                    <w:left w:val="none" w:sz="0" w:space="0" w:color="auto"/>
                    <w:bottom w:val="none" w:sz="0" w:space="0" w:color="auto"/>
                    <w:right w:val="none" w:sz="0" w:space="0" w:color="auto"/>
                  </w:divBdr>
                  <w:divsChild>
                    <w:div w:id="1174225947">
                      <w:marLeft w:val="150"/>
                      <w:marRight w:val="150"/>
                      <w:marTop w:val="0"/>
                      <w:marBottom w:val="0"/>
                      <w:divBdr>
                        <w:top w:val="none" w:sz="0" w:space="0" w:color="auto"/>
                        <w:left w:val="none" w:sz="0" w:space="0" w:color="auto"/>
                        <w:bottom w:val="none" w:sz="0" w:space="0" w:color="auto"/>
                        <w:right w:val="none" w:sz="0" w:space="0" w:color="auto"/>
                      </w:divBdr>
                      <w:divsChild>
                        <w:div w:id="907038400">
                          <w:marLeft w:val="0"/>
                          <w:marRight w:val="0"/>
                          <w:marTop w:val="0"/>
                          <w:marBottom w:val="0"/>
                          <w:divBdr>
                            <w:top w:val="none" w:sz="0" w:space="0" w:color="auto"/>
                            <w:left w:val="none" w:sz="0" w:space="0" w:color="auto"/>
                            <w:bottom w:val="none" w:sz="0" w:space="0" w:color="auto"/>
                            <w:right w:val="none" w:sz="0" w:space="0" w:color="auto"/>
                          </w:divBdr>
                          <w:divsChild>
                            <w:div w:id="1687099575">
                              <w:marLeft w:val="0"/>
                              <w:marRight w:val="0"/>
                              <w:marTop w:val="0"/>
                              <w:marBottom w:val="0"/>
                              <w:divBdr>
                                <w:top w:val="none" w:sz="0" w:space="0" w:color="auto"/>
                                <w:left w:val="none" w:sz="0" w:space="0" w:color="auto"/>
                                <w:bottom w:val="none" w:sz="0" w:space="0" w:color="auto"/>
                                <w:right w:val="none" w:sz="0" w:space="0" w:color="auto"/>
                              </w:divBdr>
                              <w:divsChild>
                                <w:div w:id="1626959602">
                                  <w:marLeft w:val="0"/>
                                  <w:marRight w:val="0"/>
                                  <w:marTop w:val="0"/>
                                  <w:marBottom w:val="0"/>
                                  <w:divBdr>
                                    <w:top w:val="none" w:sz="0" w:space="0" w:color="auto"/>
                                    <w:left w:val="none" w:sz="0" w:space="0" w:color="auto"/>
                                    <w:bottom w:val="none" w:sz="0" w:space="0" w:color="auto"/>
                                    <w:right w:val="none" w:sz="0" w:space="0" w:color="auto"/>
                                  </w:divBdr>
                                  <w:divsChild>
                                    <w:div w:id="1285695670">
                                      <w:marLeft w:val="0"/>
                                      <w:marRight w:val="0"/>
                                      <w:marTop w:val="0"/>
                                      <w:marBottom w:val="0"/>
                                      <w:divBdr>
                                        <w:top w:val="none" w:sz="0" w:space="0" w:color="auto"/>
                                        <w:left w:val="none" w:sz="0" w:space="0" w:color="auto"/>
                                        <w:bottom w:val="none" w:sz="0" w:space="0" w:color="auto"/>
                                        <w:right w:val="none" w:sz="0" w:space="0" w:color="auto"/>
                                      </w:divBdr>
                                      <w:divsChild>
                                        <w:div w:id="1959485072">
                                          <w:marLeft w:val="0"/>
                                          <w:marRight w:val="0"/>
                                          <w:marTop w:val="0"/>
                                          <w:marBottom w:val="0"/>
                                          <w:divBdr>
                                            <w:top w:val="none" w:sz="0" w:space="0" w:color="auto"/>
                                            <w:left w:val="none" w:sz="0" w:space="0" w:color="auto"/>
                                            <w:bottom w:val="none" w:sz="0" w:space="0" w:color="auto"/>
                                            <w:right w:val="none" w:sz="0" w:space="0" w:color="auto"/>
                                          </w:divBdr>
                                          <w:divsChild>
                                            <w:div w:id="463238052">
                                              <w:marLeft w:val="0"/>
                                              <w:marRight w:val="0"/>
                                              <w:marTop w:val="0"/>
                                              <w:marBottom w:val="0"/>
                                              <w:divBdr>
                                                <w:top w:val="none" w:sz="0" w:space="0" w:color="auto"/>
                                                <w:left w:val="none" w:sz="0" w:space="0" w:color="auto"/>
                                                <w:bottom w:val="none" w:sz="0" w:space="0" w:color="auto"/>
                                                <w:right w:val="none" w:sz="0" w:space="0" w:color="auto"/>
                                              </w:divBdr>
                                              <w:divsChild>
                                                <w:div w:id="639774967">
                                                  <w:marLeft w:val="0"/>
                                                  <w:marRight w:val="0"/>
                                                  <w:marTop w:val="0"/>
                                                  <w:marBottom w:val="0"/>
                                                  <w:divBdr>
                                                    <w:top w:val="none" w:sz="0" w:space="0" w:color="auto"/>
                                                    <w:left w:val="none" w:sz="0" w:space="0" w:color="auto"/>
                                                    <w:bottom w:val="none" w:sz="0" w:space="0" w:color="auto"/>
                                                    <w:right w:val="none" w:sz="0" w:space="0" w:color="auto"/>
                                                  </w:divBdr>
                                                  <w:divsChild>
                                                    <w:div w:id="9780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1455">
      <w:bodyDiv w:val="1"/>
      <w:marLeft w:val="0"/>
      <w:marRight w:val="0"/>
      <w:marTop w:val="0"/>
      <w:marBottom w:val="0"/>
      <w:divBdr>
        <w:top w:val="none" w:sz="0" w:space="0" w:color="auto"/>
        <w:left w:val="none" w:sz="0" w:space="0" w:color="auto"/>
        <w:bottom w:val="none" w:sz="0" w:space="0" w:color="auto"/>
        <w:right w:val="none" w:sz="0" w:space="0" w:color="auto"/>
      </w:divBdr>
    </w:div>
    <w:div w:id="755368683">
      <w:bodyDiv w:val="1"/>
      <w:marLeft w:val="0"/>
      <w:marRight w:val="0"/>
      <w:marTop w:val="0"/>
      <w:marBottom w:val="0"/>
      <w:divBdr>
        <w:top w:val="none" w:sz="0" w:space="0" w:color="auto"/>
        <w:left w:val="none" w:sz="0" w:space="0" w:color="auto"/>
        <w:bottom w:val="none" w:sz="0" w:space="0" w:color="auto"/>
        <w:right w:val="none" w:sz="0" w:space="0" w:color="auto"/>
      </w:divBdr>
    </w:div>
    <w:div w:id="962660638">
      <w:bodyDiv w:val="1"/>
      <w:marLeft w:val="0"/>
      <w:marRight w:val="0"/>
      <w:marTop w:val="0"/>
      <w:marBottom w:val="0"/>
      <w:divBdr>
        <w:top w:val="none" w:sz="0" w:space="0" w:color="auto"/>
        <w:left w:val="none" w:sz="0" w:space="0" w:color="auto"/>
        <w:bottom w:val="none" w:sz="0" w:space="0" w:color="auto"/>
        <w:right w:val="none" w:sz="0" w:space="0" w:color="auto"/>
      </w:divBdr>
    </w:div>
    <w:div w:id="1128890033">
      <w:bodyDiv w:val="1"/>
      <w:marLeft w:val="0"/>
      <w:marRight w:val="0"/>
      <w:marTop w:val="0"/>
      <w:marBottom w:val="0"/>
      <w:divBdr>
        <w:top w:val="none" w:sz="0" w:space="0" w:color="auto"/>
        <w:left w:val="none" w:sz="0" w:space="0" w:color="auto"/>
        <w:bottom w:val="none" w:sz="0" w:space="0" w:color="auto"/>
        <w:right w:val="none" w:sz="0" w:space="0" w:color="auto"/>
      </w:divBdr>
    </w:div>
    <w:div w:id="1354267282">
      <w:bodyDiv w:val="1"/>
      <w:marLeft w:val="0"/>
      <w:marRight w:val="0"/>
      <w:marTop w:val="0"/>
      <w:marBottom w:val="0"/>
      <w:divBdr>
        <w:top w:val="none" w:sz="0" w:space="0" w:color="auto"/>
        <w:left w:val="none" w:sz="0" w:space="0" w:color="auto"/>
        <w:bottom w:val="none" w:sz="0" w:space="0" w:color="auto"/>
        <w:right w:val="none" w:sz="0" w:space="0" w:color="auto"/>
      </w:divBdr>
    </w:div>
    <w:div w:id="1397824916">
      <w:bodyDiv w:val="1"/>
      <w:marLeft w:val="0"/>
      <w:marRight w:val="0"/>
      <w:marTop w:val="0"/>
      <w:marBottom w:val="0"/>
      <w:divBdr>
        <w:top w:val="none" w:sz="0" w:space="0" w:color="auto"/>
        <w:left w:val="none" w:sz="0" w:space="0" w:color="auto"/>
        <w:bottom w:val="none" w:sz="0" w:space="0" w:color="auto"/>
        <w:right w:val="none" w:sz="0" w:space="0" w:color="auto"/>
      </w:divBdr>
    </w:div>
    <w:div w:id="1559972912">
      <w:bodyDiv w:val="1"/>
      <w:marLeft w:val="0"/>
      <w:marRight w:val="0"/>
      <w:marTop w:val="0"/>
      <w:marBottom w:val="0"/>
      <w:divBdr>
        <w:top w:val="none" w:sz="0" w:space="0" w:color="auto"/>
        <w:left w:val="none" w:sz="0" w:space="0" w:color="auto"/>
        <w:bottom w:val="none" w:sz="0" w:space="0" w:color="auto"/>
        <w:right w:val="none" w:sz="0" w:space="0" w:color="auto"/>
      </w:divBdr>
    </w:div>
    <w:div w:id="1614557798">
      <w:bodyDiv w:val="1"/>
      <w:marLeft w:val="0"/>
      <w:marRight w:val="0"/>
      <w:marTop w:val="0"/>
      <w:marBottom w:val="0"/>
      <w:divBdr>
        <w:top w:val="none" w:sz="0" w:space="0" w:color="auto"/>
        <w:left w:val="none" w:sz="0" w:space="0" w:color="auto"/>
        <w:bottom w:val="none" w:sz="0" w:space="0" w:color="auto"/>
        <w:right w:val="none" w:sz="0" w:space="0" w:color="auto"/>
      </w:divBdr>
    </w:div>
    <w:div w:id="1698114435">
      <w:bodyDiv w:val="1"/>
      <w:marLeft w:val="0"/>
      <w:marRight w:val="0"/>
      <w:marTop w:val="0"/>
      <w:marBottom w:val="0"/>
      <w:divBdr>
        <w:top w:val="none" w:sz="0" w:space="0" w:color="auto"/>
        <w:left w:val="none" w:sz="0" w:space="0" w:color="auto"/>
        <w:bottom w:val="none" w:sz="0" w:space="0" w:color="auto"/>
        <w:right w:val="none" w:sz="0" w:space="0" w:color="auto"/>
      </w:divBdr>
    </w:div>
    <w:div w:id="1751930451">
      <w:bodyDiv w:val="1"/>
      <w:marLeft w:val="0"/>
      <w:marRight w:val="0"/>
      <w:marTop w:val="0"/>
      <w:marBottom w:val="0"/>
      <w:divBdr>
        <w:top w:val="none" w:sz="0" w:space="0" w:color="auto"/>
        <w:left w:val="none" w:sz="0" w:space="0" w:color="auto"/>
        <w:bottom w:val="none" w:sz="0" w:space="0" w:color="auto"/>
        <w:right w:val="none" w:sz="0" w:space="0" w:color="auto"/>
      </w:divBdr>
    </w:div>
    <w:div w:id="1847750588">
      <w:bodyDiv w:val="1"/>
      <w:marLeft w:val="0"/>
      <w:marRight w:val="0"/>
      <w:marTop w:val="0"/>
      <w:marBottom w:val="0"/>
      <w:divBdr>
        <w:top w:val="none" w:sz="0" w:space="0" w:color="auto"/>
        <w:left w:val="none" w:sz="0" w:space="0" w:color="auto"/>
        <w:bottom w:val="none" w:sz="0" w:space="0" w:color="auto"/>
        <w:right w:val="none" w:sz="0" w:space="0" w:color="auto"/>
      </w:divBdr>
      <w:divsChild>
        <w:div w:id="1347515393">
          <w:marLeft w:val="0"/>
          <w:marRight w:val="0"/>
          <w:marTop w:val="0"/>
          <w:marBottom w:val="0"/>
          <w:divBdr>
            <w:top w:val="none" w:sz="0" w:space="0" w:color="auto"/>
            <w:left w:val="none" w:sz="0" w:space="0" w:color="auto"/>
            <w:bottom w:val="none" w:sz="0" w:space="0" w:color="auto"/>
            <w:right w:val="none" w:sz="0" w:space="0" w:color="auto"/>
          </w:divBdr>
          <w:divsChild>
            <w:div w:id="101731665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2053769880">
                      <w:marLeft w:val="150"/>
                      <w:marRight w:val="150"/>
                      <w:marTop w:val="0"/>
                      <w:marBottom w:val="0"/>
                      <w:divBdr>
                        <w:top w:val="none" w:sz="0" w:space="0" w:color="auto"/>
                        <w:left w:val="none" w:sz="0" w:space="0" w:color="auto"/>
                        <w:bottom w:val="none" w:sz="0" w:space="0" w:color="auto"/>
                        <w:right w:val="none" w:sz="0" w:space="0" w:color="auto"/>
                      </w:divBdr>
                      <w:divsChild>
                        <w:div w:id="1502311902">
                          <w:marLeft w:val="0"/>
                          <w:marRight w:val="0"/>
                          <w:marTop w:val="0"/>
                          <w:marBottom w:val="0"/>
                          <w:divBdr>
                            <w:top w:val="none" w:sz="0" w:space="0" w:color="auto"/>
                            <w:left w:val="none" w:sz="0" w:space="0" w:color="auto"/>
                            <w:bottom w:val="none" w:sz="0" w:space="0" w:color="auto"/>
                            <w:right w:val="none" w:sz="0" w:space="0" w:color="auto"/>
                          </w:divBdr>
                          <w:divsChild>
                            <w:div w:id="76944511">
                              <w:marLeft w:val="0"/>
                              <w:marRight w:val="0"/>
                              <w:marTop w:val="0"/>
                              <w:marBottom w:val="0"/>
                              <w:divBdr>
                                <w:top w:val="none" w:sz="0" w:space="0" w:color="auto"/>
                                <w:left w:val="none" w:sz="0" w:space="0" w:color="auto"/>
                                <w:bottom w:val="none" w:sz="0" w:space="0" w:color="auto"/>
                                <w:right w:val="none" w:sz="0" w:space="0" w:color="auto"/>
                              </w:divBdr>
                              <w:divsChild>
                                <w:div w:id="136148954">
                                  <w:marLeft w:val="0"/>
                                  <w:marRight w:val="0"/>
                                  <w:marTop w:val="0"/>
                                  <w:marBottom w:val="0"/>
                                  <w:divBdr>
                                    <w:top w:val="none" w:sz="0" w:space="0" w:color="auto"/>
                                    <w:left w:val="none" w:sz="0" w:space="0" w:color="auto"/>
                                    <w:bottom w:val="none" w:sz="0" w:space="0" w:color="auto"/>
                                    <w:right w:val="none" w:sz="0" w:space="0" w:color="auto"/>
                                  </w:divBdr>
                                  <w:divsChild>
                                    <w:div w:id="1345860435">
                                      <w:marLeft w:val="0"/>
                                      <w:marRight w:val="0"/>
                                      <w:marTop w:val="0"/>
                                      <w:marBottom w:val="0"/>
                                      <w:divBdr>
                                        <w:top w:val="none" w:sz="0" w:space="0" w:color="auto"/>
                                        <w:left w:val="none" w:sz="0" w:space="0" w:color="auto"/>
                                        <w:bottom w:val="none" w:sz="0" w:space="0" w:color="auto"/>
                                        <w:right w:val="none" w:sz="0" w:space="0" w:color="auto"/>
                                      </w:divBdr>
                                      <w:divsChild>
                                        <w:div w:id="205066440">
                                          <w:marLeft w:val="0"/>
                                          <w:marRight w:val="0"/>
                                          <w:marTop w:val="0"/>
                                          <w:marBottom w:val="0"/>
                                          <w:divBdr>
                                            <w:top w:val="none" w:sz="0" w:space="0" w:color="auto"/>
                                            <w:left w:val="none" w:sz="0" w:space="0" w:color="auto"/>
                                            <w:bottom w:val="none" w:sz="0" w:space="0" w:color="auto"/>
                                            <w:right w:val="none" w:sz="0" w:space="0" w:color="auto"/>
                                          </w:divBdr>
                                          <w:divsChild>
                                            <w:div w:id="120656584">
                                              <w:marLeft w:val="0"/>
                                              <w:marRight w:val="0"/>
                                              <w:marTop w:val="0"/>
                                              <w:marBottom w:val="0"/>
                                              <w:divBdr>
                                                <w:top w:val="none" w:sz="0" w:space="0" w:color="auto"/>
                                                <w:left w:val="none" w:sz="0" w:space="0" w:color="auto"/>
                                                <w:bottom w:val="none" w:sz="0" w:space="0" w:color="auto"/>
                                                <w:right w:val="none" w:sz="0" w:space="0" w:color="auto"/>
                                              </w:divBdr>
                                              <w:divsChild>
                                                <w:div w:id="550385698">
                                                  <w:marLeft w:val="0"/>
                                                  <w:marRight w:val="0"/>
                                                  <w:marTop w:val="0"/>
                                                  <w:marBottom w:val="0"/>
                                                  <w:divBdr>
                                                    <w:top w:val="none" w:sz="0" w:space="0" w:color="auto"/>
                                                    <w:left w:val="none" w:sz="0" w:space="0" w:color="auto"/>
                                                    <w:bottom w:val="none" w:sz="0" w:space="0" w:color="auto"/>
                                                    <w:right w:val="none" w:sz="0" w:space="0" w:color="auto"/>
                                                  </w:divBdr>
                                                  <w:divsChild>
                                                    <w:div w:id="1873759508">
                                                      <w:marLeft w:val="0"/>
                                                      <w:marRight w:val="0"/>
                                                      <w:marTop w:val="0"/>
                                                      <w:marBottom w:val="0"/>
                                                      <w:divBdr>
                                                        <w:top w:val="none" w:sz="0" w:space="0" w:color="auto"/>
                                                        <w:left w:val="none" w:sz="0" w:space="0" w:color="auto"/>
                                                        <w:bottom w:val="none" w:sz="0" w:space="0" w:color="auto"/>
                                                        <w:right w:val="none" w:sz="0" w:space="0" w:color="auto"/>
                                                      </w:divBdr>
                                                      <w:divsChild>
                                                        <w:div w:id="9560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4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a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dustry.gov.au/ai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ip@industry.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dustry.gov.au/a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im\AppData\Local\Microsoft\Windows\Temporary%20Internet%20Files\Content.MSO\30B5A49E.dotx" TargetMode="External"/></Relationships>
</file>

<file path=word/theme/theme1.xml><?xml version="1.0" encoding="utf-8"?>
<a:theme xmlns:a="http://schemas.openxmlformats.org/drawingml/2006/main" name="Office Theme">
  <a:themeElements>
    <a:clrScheme name="Corporate Test">
      <a:dk1>
        <a:sysClr val="windowText" lastClr="000000"/>
      </a:dk1>
      <a:lt1>
        <a:sysClr val="window" lastClr="FFFFFF"/>
      </a:lt1>
      <a:dk2>
        <a:srgbClr val="58595B"/>
      </a:dk2>
      <a:lt2>
        <a:srgbClr val="939598"/>
      </a:lt2>
      <a:accent1>
        <a:srgbClr val="005677"/>
      </a:accent1>
      <a:accent2>
        <a:srgbClr val="00283E"/>
      </a:accent2>
      <a:accent3>
        <a:srgbClr val="1B9590"/>
      </a:accent3>
      <a:accent4>
        <a:srgbClr val="61C6C6"/>
      </a:accent4>
      <a:accent5>
        <a:srgbClr val="9CD9E0"/>
      </a:accent5>
      <a:accent6>
        <a:srgbClr val="C973AF"/>
      </a:accent6>
      <a:hlink>
        <a:srgbClr val="005677"/>
      </a:hlink>
      <a:folHlink>
        <a:srgbClr val="C973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KeywordsLookupField xmlns="c0b4bd0a-f6ac-422c-a0b2-ddc3a705a698"/>
    <IncludeInRSSFeeds xmlns="b7ec3e40-8246-4305-8d4c-91fac2012213">false</IncludeInRSSFeeds>
    <IncludeInContentRollups xmlns="b7ec3e40-8246-4305-8d4c-91fac2012213">false</IncludeInContentRollups>
    <CorePublishingDocumentContact xmlns="b7ec3e40-8246-4305-8d4c-91fac2012213">
      <UserInfo>
        <DisplayName>online</DisplayName>
        <AccountId>189</AccountId>
        <AccountType/>
      </UserInfo>
    </CorePublishingDocumentContact>
    <SubjectLookupField xmlns="c0b4bd0a-f6ac-422c-a0b2-ddc3a705a698"/>
    <CorePublishingFileReference xmlns="b7ec3e40-8246-4305-8d4c-91fac2012213">7274</CorePublishingFileReference>
    <CorePublishingDocumentChangeDescription xmlns="b7ec3e40-8246-4305-8d4c-91fac2012213" xsi:nil="true"/>
    <PublishingExpirationDate xmlns="http://schemas.microsoft.com/sharepoint/v3" xsi:nil="true"/>
    <PublishingStartDate xmlns="http://schemas.microsoft.com/sharepoint/v3" xsi:nil="true"/>
    <IPSCategory xmlns="b7ec3e40-8246-4305-8d4c-91fac2012213" xsi:nil="true"/>
    <IncludeInNotificationsAndUpdates xmlns="b7ec3e40-8246-4305-8d4c-91fac2012213">true</IncludeInNotificationsAndUpdates>
    <CorePublishingComments xmlns="b7ec3e40-8246-4305-8d4c-91fac2012213" xsi:nil="true"/>
    <DocumentRollupCategory xmlns="c0b4bd0a-f6ac-422c-a0b2-ddc3a705a6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F62A7FEBB38EF94E93375DF6870F28F8" ma:contentTypeVersion="77" ma:contentTypeDescription="Core Publishing Document, inherited from OOTB document." ma:contentTypeScope="" ma:versionID="30f2d5a0f8176520604a4306d7c23fe1">
  <xsd:schema xmlns:xsd="http://www.w3.org/2001/XMLSchema" xmlns:xs="http://www.w3.org/2001/XMLSchema" xmlns:p="http://schemas.microsoft.com/office/2006/metadata/properties" xmlns:ns1="http://schemas.microsoft.com/sharepoint/v3" xmlns:ns2="b7ec3e40-8246-4305-8d4c-91fac2012213" xmlns:ns3="c0b4bd0a-f6ac-422c-a0b2-ddc3a705a698" targetNamespace="http://schemas.microsoft.com/office/2006/metadata/properties" ma:root="true" ma:fieldsID="67bbe229ac946e6dc8207ab5c4a01734" ns1:_="" ns2:_="" ns3:_="">
    <xsd:import namespace="http://schemas.microsoft.com/sharepoint/v3"/>
    <xsd:import namespace="b7ec3e40-8246-4305-8d4c-91fac2012213"/>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c3e40-8246-4305-8d4c-91fac2012213"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772EF-6A77-48C1-A688-AF86952765D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ec3e40-8246-4305-8d4c-91fac2012213"/>
    <ds:schemaRef ds:uri="http://schemas.microsoft.com/sharepoint/v3"/>
    <ds:schemaRef ds:uri="http://purl.org/dc/terms/"/>
    <ds:schemaRef ds:uri="c0b4bd0a-f6ac-422c-a0b2-ddc3a705a698"/>
    <ds:schemaRef ds:uri="http://www.w3.org/XML/1998/namespace"/>
    <ds:schemaRef ds:uri="http://purl.org/dc/dcmitype/"/>
  </ds:schemaRefs>
</ds:datastoreItem>
</file>

<file path=customXml/itemProps2.xml><?xml version="1.0" encoding="utf-8"?>
<ds:datastoreItem xmlns:ds="http://schemas.openxmlformats.org/officeDocument/2006/customXml" ds:itemID="{69ADAFFE-48E0-42D5-8489-9604C1823901}">
  <ds:schemaRefs>
    <ds:schemaRef ds:uri="http://schemas.microsoft.com/sharepoint/v3/contenttype/forms"/>
  </ds:schemaRefs>
</ds:datastoreItem>
</file>

<file path=customXml/itemProps3.xml><?xml version="1.0" encoding="utf-8"?>
<ds:datastoreItem xmlns:ds="http://schemas.openxmlformats.org/officeDocument/2006/customXml" ds:itemID="{4E0EA8F8-8B60-49B1-90E0-CE4F78B7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c3e40-8246-4305-8d4c-91fac2012213"/>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5DB5E-553F-4D75-8900-B4DF8E45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30B5A49E</Template>
  <TotalTime>0</TotalTime>
  <Pages>3</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Report</vt:lpstr>
    </vt:vector>
  </TitlesOfParts>
  <Company>Australian Government | Department of Industry, Innovation and Science</Company>
  <LinksUpToDate>false</LinksUpToDate>
  <CharactersWithSpaces>48270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Macphail, Tara</dc:creator>
  <cp:keywords>Report template</cp:keywords>
  <cp:lastModifiedBy>Bingham, Adam</cp:lastModifiedBy>
  <cp:revision>2</cp:revision>
  <cp:lastPrinted>2016-08-30T04:10:00Z</cp:lastPrinted>
  <dcterms:created xsi:type="dcterms:W3CDTF">2019-01-25T04:22:00Z</dcterms:created>
  <dcterms:modified xsi:type="dcterms:W3CDTF">2019-01-25T04:22:00Z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0x01010097F86F0C24D64525B252BB20BD9D45A700F62A7FEBB38EF94E93375DF6870F28F8</vt:lpwstr>
  </property>
  <property fmtid="{D5CDD505-2E9C-101B-9397-08002B2CF9AE}" pid="7" name="DocHub_Year">
    <vt:lpwstr>15;#2016-17|5fb9d5be-9157-4d58-b0c7-60086eb32349</vt:lpwstr>
  </property>
  <property fmtid="{D5CDD505-2E9C-101B-9397-08002B2CF9AE}" pid="8" name="DocHub_ProjectProponent">
    <vt:lpwstr/>
  </property>
  <property fmtid="{D5CDD505-2E9C-101B-9397-08002B2CF9AE}" pid="9" name="DocHub_WorkActivity">
    <vt:lpwstr/>
  </property>
  <property fmtid="{D5CDD505-2E9C-101B-9397-08002B2CF9AE}" pid="10" name="DocHub_DocStatus">
    <vt:lpwstr>426;#Final|46e4187b-f204-4589-bbeb-a903d185cdad</vt:lpwstr>
  </property>
  <property fmtid="{D5CDD505-2E9C-101B-9397-08002B2CF9AE}" pid="11" name="DocHub_DocumentType">
    <vt:lpwstr>218;#Evaluation|defa610e-19fa-4ca0-b3b7-de93969f2717</vt:lpwstr>
  </property>
  <property fmtid="{D5CDD505-2E9C-101B-9397-08002B2CF9AE}" pid="12" name="DocHub_SecurityClassification">
    <vt:lpwstr>3;#For Official Use Only|11f6fb0b-52ce-4109-8f7f-521b2a62f692</vt:lpwstr>
  </property>
  <property fmtid="{D5CDD505-2E9C-101B-9397-08002B2CF9AE}" pid="13" name="DocHub_GovernmentEntities">
    <vt:lpwstr/>
  </property>
  <property fmtid="{D5CDD505-2E9C-101B-9397-08002B2CF9AE}" pid="14" name="DocHub_AIPProcess">
    <vt:lpwstr/>
  </property>
  <property fmtid="{D5CDD505-2E9C-101B-9397-08002B2CF9AE}" pid="15" name="DocHub_AIPCategory">
    <vt:lpwstr/>
  </property>
  <property fmtid="{D5CDD505-2E9C-101B-9397-08002B2CF9AE}" pid="16" name="DocHub_Keywords">
    <vt:lpwstr/>
  </property>
  <property fmtid="{D5CDD505-2E9C-101B-9397-08002B2CF9AE}" pid="17" name="DocHub_Sector">
    <vt:lpwstr/>
  </property>
  <property fmtid="{D5CDD505-2E9C-101B-9397-08002B2CF9AE}" pid="18" name="DocHub_BriefingCorrespondenceType">
    <vt:lpwstr/>
  </property>
  <property fmtid="{D5CDD505-2E9C-101B-9397-08002B2CF9AE}" pid="19" name="_dlc_DocIdItemGuid">
    <vt:lpwstr>acdc264d-38cd-4843-85bd-9ea901a6931f</vt:lpwstr>
  </property>
</Properties>
</file>