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B88BD" w14:textId="77777777" w:rsidR="00AE08C5" w:rsidRDefault="00AE08C5">
      <w:pPr>
        <w:rPr>
          <w:rFonts w:ascii="Calibri" w:eastAsia="Times New Roman" w:hAnsi="Calibri" w:cs="Arial"/>
          <w:b/>
          <w:bCs/>
          <w:color w:val="963634"/>
          <w:sz w:val="48"/>
          <w:szCs w:val="48"/>
          <w:lang w:eastAsia="en-AU"/>
        </w:rPr>
      </w:pPr>
      <w:bookmarkStart w:id="0" w:name="_GoBack"/>
      <w:bookmarkEnd w:id="0"/>
      <w:r w:rsidRPr="00AE08C5">
        <w:rPr>
          <w:rFonts w:ascii="Arial" w:eastAsia="Times New Roman" w:hAnsi="Arial" w:cs="Arial"/>
          <w:noProof/>
          <w:sz w:val="20"/>
          <w:szCs w:val="20"/>
          <w:lang w:eastAsia="en-AU"/>
        </w:rPr>
        <w:drawing>
          <wp:inline distT="0" distB="0" distL="0" distR="0" wp14:anchorId="79DA60C4" wp14:editId="49BF3D75">
            <wp:extent cx="2656800" cy="867600"/>
            <wp:effectExtent l="0" t="0" r="0" b="8890"/>
            <wp:docPr id="9226" name="Picture 9226"/>
            <wp:cNvGraphicFramePr/>
            <a:graphic xmlns:a="http://schemas.openxmlformats.org/drawingml/2006/main">
              <a:graphicData uri="http://schemas.openxmlformats.org/drawingml/2006/picture">
                <pic:pic xmlns:pic="http://schemas.openxmlformats.org/drawingml/2006/picture">
                  <pic:nvPicPr>
                    <pic:cNvPr id="9226"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800" cy="867600"/>
                    </a:xfrm>
                    <a:prstGeom prst="rect">
                      <a:avLst/>
                    </a:prstGeom>
                    <a:noFill/>
                    <a:ln>
                      <a:noFill/>
                    </a:ln>
                    <a:extLst/>
                  </pic:spPr>
                </pic:pic>
              </a:graphicData>
            </a:graphic>
          </wp:inline>
        </w:drawing>
      </w:r>
    </w:p>
    <w:p w14:paraId="5179959F" w14:textId="0956716A" w:rsidR="00AE08C5" w:rsidRPr="00A313EE" w:rsidRDefault="00AE08C5">
      <w:pPr>
        <w:rPr>
          <w:rFonts w:ascii="Arial" w:eastAsia="Times New Roman" w:hAnsi="Arial" w:cs="Arial"/>
          <w:b/>
          <w:bCs/>
          <w:color w:val="963634"/>
          <w:sz w:val="28"/>
          <w:szCs w:val="28"/>
          <w:lang w:eastAsia="en-AU"/>
        </w:rPr>
      </w:pPr>
      <w:r w:rsidRPr="00AE08C5">
        <w:rPr>
          <w:rFonts w:ascii="Arial" w:eastAsia="Times New Roman" w:hAnsi="Arial" w:cs="Arial"/>
          <w:b/>
          <w:bCs/>
          <w:color w:val="963634"/>
          <w:sz w:val="28"/>
          <w:szCs w:val="28"/>
          <w:lang w:eastAsia="en-AU"/>
        </w:rPr>
        <w:t xml:space="preserve">Successful </w:t>
      </w:r>
      <w:r w:rsidR="00CE0D72">
        <w:rPr>
          <w:rFonts w:ascii="Arial" w:eastAsia="Times New Roman" w:hAnsi="Arial" w:cs="Arial"/>
          <w:b/>
          <w:bCs/>
          <w:color w:val="963634"/>
          <w:sz w:val="28"/>
          <w:szCs w:val="28"/>
          <w:lang w:eastAsia="en-AU"/>
        </w:rPr>
        <w:t>Joint Research Centre</w:t>
      </w:r>
      <w:r w:rsidRPr="00AE08C5">
        <w:rPr>
          <w:rFonts w:ascii="Arial" w:eastAsia="Times New Roman" w:hAnsi="Arial" w:cs="Arial"/>
          <w:b/>
          <w:bCs/>
          <w:color w:val="963634"/>
          <w:sz w:val="28"/>
          <w:szCs w:val="28"/>
          <w:lang w:eastAsia="en-AU"/>
        </w:rPr>
        <w:t xml:space="preserve"> projects funded under the Australia-China Science and Research Fund (ACSRF)</w:t>
      </w:r>
    </w:p>
    <w:p w14:paraId="406DE23B" w14:textId="71B9497C" w:rsidR="00AE08C5" w:rsidRPr="00A313EE" w:rsidRDefault="00CE0D72" w:rsidP="00AE08C5">
      <w:pPr>
        <w:rPr>
          <w:rFonts w:ascii="Arial" w:hAnsi="Arial" w:cs="Arial"/>
        </w:rPr>
      </w:pPr>
      <w:r>
        <w:rPr>
          <w:rFonts w:ascii="Arial" w:hAnsi="Arial" w:cs="Arial"/>
          <w:b/>
        </w:rPr>
        <w:t>Joint Research Centres (2011 - current)</w:t>
      </w:r>
    </w:p>
    <w:p w14:paraId="6611CAB2" w14:textId="014749FD" w:rsidR="00476815" w:rsidRPr="00476815" w:rsidRDefault="00476815" w:rsidP="00476815">
      <w:pPr>
        <w:rPr>
          <w:rFonts w:ascii="Arial" w:hAnsi="Arial" w:cs="Arial"/>
        </w:rPr>
      </w:pPr>
      <w:r w:rsidRPr="00476815">
        <w:rPr>
          <w:rFonts w:ascii="Arial" w:hAnsi="Arial" w:cs="Arial"/>
        </w:rPr>
        <w:t>Australia-China Science and Research Fund (ACSRF) – Joint Research Centres (JRCs) are virtual centres that link Australian and Chinese research institutions conducting a portfolio of research-related activities in priority areas agreed to by the Australian and Chinese governments. ACSRF–JRCs link Australian and Chinese research institutions to build research capacity, maximise the application and commercialisation of research outcomes, and boost collaboration between researchers and indus</w:t>
      </w:r>
      <w:r>
        <w:rPr>
          <w:rFonts w:ascii="Arial" w:hAnsi="Arial" w:cs="Arial"/>
        </w:rPr>
        <w:t>try.</w:t>
      </w:r>
    </w:p>
    <w:p w14:paraId="5399FBAF" w14:textId="77777777" w:rsidR="00476815" w:rsidRPr="00476815" w:rsidRDefault="00476815" w:rsidP="00476815">
      <w:pPr>
        <w:rPr>
          <w:rFonts w:ascii="Arial" w:hAnsi="Arial" w:cs="Arial"/>
        </w:rPr>
      </w:pPr>
      <w:r w:rsidRPr="00476815">
        <w:rPr>
          <w:rFonts w:ascii="Arial" w:hAnsi="Arial" w:cs="Arial"/>
        </w:rPr>
        <w:t>ACSRF–JRCs’ activities include:</w:t>
      </w:r>
    </w:p>
    <w:p w14:paraId="55594D6D" w14:textId="77777777" w:rsidR="00476815" w:rsidRPr="00476815" w:rsidRDefault="00476815" w:rsidP="00476815">
      <w:pPr>
        <w:pStyle w:val="ListParagraph"/>
        <w:numPr>
          <w:ilvl w:val="0"/>
          <w:numId w:val="4"/>
        </w:numPr>
        <w:rPr>
          <w:rFonts w:ascii="Arial" w:hAnsi="Arial" w:cs="Arial"/>
        </w:rPr>
      </w:pPr>
      <w:r w:rsidRPr="00476815">
        <w:rPr>
          <w:rFonts w:ascii="Arial" w:hAnsi="Arial" w:cs="Arial"/>
        </w:rPr>
        <w:t>Joint research programs with Chinese partner/s</w:t>
      </w:r>
    </w:p>
    <w:p w14:paraId="5DFC3B2B" w14:textId="77777777" w:rsidR="00476815" w:rsidRPr="00476815" w:rsidRDefault="00476815" w:rsidP="00476815">
      <w:pPr>
        <w:pStyle w:val="ListParagraph"/>
        <w:numPr>
          <w:ilvl w:val="0"/>
          <w:numId w:val="4"/>
        </w:numPr>
        <w:rPr>
          <w:rFonts w:ascii="Arial" w:hAnsi="Arial" w:cs="Arial"/>
        </w:rPr>
      </w:pPr>
      <w:r w:rsidRPr="00476815">
        <w:rPr>
          <w:rFonts w:ascii="Arial" w:hAnsi="Arial" w:cs="Arial"/>
        </w:rPr>
        <w:t>Conferences, workshops and symposia</w:t>
      </w:r>
    </w:p>
    <w:p w14:paraId="3076C207" w14:textId="77777777" w:rsidR="00476815" w:rsidRPr="00476815" w:rsidRDefault="00476815" w:rsidP="00476815">
      <w:pPr>
        <w:pStyle w:val="ListParagraph"/>
        <w:numPr>
          <w:ilvl w:val="0"/>
          <w:numId w:val="4"/>
        </w:numPr>
        <w:rPr>
          <w:rFonts w:ascii="Arial" w:hAnsi="Arial" w:cs="Arial"/>
        </w:rPr>
      </w:pPr>
      <w:r w:rsidRPr="00476815">
        <w:rPr>
          <w:rFonts w:ascii="Arial" w:hAnsi="Arial" w:cs="Arial"/>
        </w:rPr>
        <w:t>Exchanges and secondments of personnel between Australia and China</w:t>
      </w:r>
    </w:p>
    <w:p w14:paraId="6CE0607A" w14:textId="77777777" w:rsidR="00476815" w:rsidRDefault="00476815" w:rsidP="00476815">
      <w:pPr>
        <w:pStyle w:val="ListParagraph"/>
        <w:numPr>
          <w:ilvl w:val="0"/>
          <w:numId w:val="4"/>
        </w:numPr>
      </w:pPr>
      <w:r w:rsidRPr="00476815">
        <w:rPr>
          <w:rFonts w:ascii="Arial" w:hAnsi="Arial" w:cs="Arial"/>
        </w:rPr>
        <w:t>New research-related information sharing and communication initiatives</w:t>
      </w:r>
      <w:r w:rsidR="00AE08C5">
        <w:br w:type="page"/>
      </w:r>
    </w:p>
    <w:tbl>
      <w:tblPr>
        <w:tblStyle w:val="Style1"/>
        <w:tblW w:w="0" w:type="auto"/>
        <w:tblLook w:val="04A0" w:firstRow="1" w:lastRow="0" w:firstColumn="1" w:lastColumn="0" w:noHBand="0" w:noVBand="1"/>
      </w:tblPr>
      <w:tblGrid>
        <w:gridCol w:w="1704"/>
        <w:gridCol w:w="1410"/>
        <w:gridCol w:w="2126"/>
        <w:gridCol w:w="1218"/>
        <w:gridCol w:w="5431"/>
        <w:gridCol w:w="1784"/>
        <w:gridCol w:w="2021"/>
      </w:tblGrid>
      <w:tr w:rsidR="001B0EAE" w:rsidRPr="001B0EAE" w14:paraId="2FFC2F25" w14:textId="77777777" w:rsidTr="00D008E5">
        <w:trPr>
          <w:cnfStyle w:val="100000000000" w:firstRow="1" w:lastRow="0" w:firstColumn="0" w:lastColumn="0" w:oddVBand="0" w:evenVBand="0" w:oddHBand="0" w:evenHBand="0" w:firstRowFirstColumn="0" w:firstRowLastColumn="0" w:lastRowFirstColumn="0" w:lastRowLastColumn="0"/>
          <w:trHeight w:val="983"/>
          <w:tblHeader/>
        </w:trPr>
        <w:tc>
          <w:tcPr>
            <w:tcW w:w="1704" w:type="dxa"/>
            <w:vAlign w:val="center"/>
            <w:hideMark/>
          </w:tcPr>
          <w:p w14:paraId="76E2181C" w14:textId="77777777" w:rsidR="00476815" w:rsidRPr="001B0EAE" w:rsidRDefault="00476815" w:rsidP="00476815">
            <w:pPr>
              <w:rPr>
                <w:rFonts w:ascii="Arial" w:hAnsi="Arial" w:cs="Arial"/>
                <w:bCs/>
                <w:sz w:val="20"/>
                <w:szCs w:val="20"/>
              </w:rPr>
            </w:pPr>
            <w:r w:rsidRPr="001B0EAE">
              <w:rPr>
                <w:rFonts w:ascii="Arial" w:hAnsi="Arial" w:cs="Arial"/>
                <w:bCs/>
                <w:sz w:val="20"/>
                <w:szCs w:val="20"/>
              </w:rPr>
              <w:lastRenderedPageBreak/>
              <w:t>Priority area</w:t>
            </w:r>
          </w:p>
        </w:tc>
        <w:tc>
          <w:tcPr>
            <w:tcW w:w="1410" w:type="dxa"/>
            <w:vAlign w:val="center"/>
            <w:hideMark/>
          </w:tcPr>
          <w:p w14:paraId="5AC3EAAC" w14:textId="77777777" w:rsidR="00476815" w:rsidRPr="001B0EAE" w:rsidRDefault="00476815" w:rsidP="00476815">
            <w:pPr>
              <w:rPr>
                <w:rFonts w:ascii="Arial" w:hAnsi="Arial" w:cs="Arial"/>
                <w:bCs/>
                <w:sz w:val="20"/>
                <w:szCs w:val="20"/>
              </w:rPr>
            </w:pPr>
            <w:r w:rsidRPr="001B0EAE">
              <w:rPr>
                <w:rFonts w:ascii="Arial" w:hAnsi="Arial" w:cs="Arial"/>
                <w:bCs/>
                <w:sz w:val="20"/>
                <w:szCs w:val="20"/>
              </w:rPr>
              <w:t xml:space="preserve">Grant Type </w:t>
            </w:r>
          </w:p>
        </w:tc>
        <w:tc>
          <w:tcPr>
            <w:tcW w:w="2126" w:type="dxa"/>
            <w:vAlign w:val="center"/>
            <w:hideMark/>
          </w:tcPr>
          <w:p w14:paraId="290EB61B" w14:textId="77777777" w:rsidR="00476815" w:rsidRPr="001B0EAE" w:rsidRDefault="00476815" w:rsidP="00476815">
            <w:pPr>
              <w:rPr>
                <w:rFonts w:ascii="Arial" w:hAnsi="Arial" w:cs="Arial"/>
                <w:bCs/>
                <w:sz w:val="20"/>
                <w:szCs w:val="20"/>
              </w:rPr>
            </w:pPr>
            <w:r w:rsidRPr="001B0EAE">
              <w:rPr>
                <w:rFonts w:ascii="Arial" w:hAnsi="Arial" w:cs="Arial"/>
                <w:bCs/>
                <w:sz w:val="20"/>
                <w:szCs w:val="20"/>
              </w:rPr>
              <w:t>Project Title</w:t>
            </w:r>
          </w:p>
        </w:tc>
        <w:tc>
          <w:tcPr>
            <w:tcW w:w="1218" w:type="dxa"/>
            <w:vAlign w:val="center"/>
            <w:hideMark/>
          </w:tcPr>
          <w:p w14:paraId="346CF9AF" w14:textId="77777777" w:rsidR="00476815" w:rsidRPr="001B0EAE" w:rsidRDefault="00476815" w:rsidP="00476815">
            <w:pPr>
              <w:rPr>
                <w:rFonts w:ascii="Arial" w:hAnsi="Arial" w:cs="Arial"/>
                <w:bCs/>
                <w:sz w:val="20"/>
                <w:szCs w:val="20"/>
              </w:rPr>
            </w:pPr>
            <w:r w:rsidRPr="001B0EAE">
              <w:rPr>
                <w:rFonts w:ascii="Arial" w:hAnsi="Arial" w:cs="Arial"/>
                <w:bCs/>
                <w:sz w:val="20"/>
                <w:szCs w:val="20"/>
              </w:rPr>
              <w:t>Australian Govt. Funding</w:t>
            </w:r>
          </w:p>
        </w:tc>
        <w:tc>
          <w:tcPr>
            <w:tcW w:w="5431" w:type="dxa"/>
            <w:vAlign w:val="center"/>
            <w:hideMark/>
          </w:tcPr>
          <w:p w14:paraId="53B37A2D" w14:textId="77777777" w:rsidR="00476815" w:rsidRPr="001B0EAE" w:rsidRDefault="00476815" w:rsidP="00476815">
            <w:pPr>
              <w:rPr>
                <w:rFonts w:ascii="Arial" w:hAnsi="Arial" w:cs="Arial"/>
                <w:bCs/>
                <w:sz w:val="20"/>
                <w:szCs w:val="20"/>
              </w:rPr>
            </w:pPr>
            <w:r w:rsidRPr="001B0EAE">
              <w:rPr>
                <w:rFonts w:ascii="Arial" w:hAnsi="Arial" w:cs="Arial"/>
                <w:bCs/>
                <w:sz w:val="20"/>
                <w:szCs w:val="20"/>
              </w:rPr>
              <w:t xml:space="preserve">Project Description </w:t>
            </w:r>
          </w:p>
        </w:tc>
        <w:tc>
          <w:tcPr>
            <w:tcW w:w="1784" w:type="dxa"/>
            <w:vAlign w:val="center"/>
            <w:hideMark/>
          </w:tcPr>
          <w:p w14:paraId="2762F4C1" w14:textId="77777777" w:rsidR="00476815" w:rsidRPr="001B0EAE" w:rsidRDefault="00476815" w:rsidP="00476815">
            <w:pPr>
              <w:rPr>
                <w:rFonts w:ascii="Arial" w:hAnsi="Arial" w:cs="Arial"/>
                <w:bCs/>
                <w:sz w:val="20"/>
                <w:szCs w:val="20"/>
              </w:rPr>
            </w:pPr>
            <w:r w:rsidRPr="001B0EAE">
              <w:rPr>
                <w:rFonts w:ascii="Arial" w:hAnsi="Arial" w:cs="Arial"/>
                <w:bCs/>
                <w:sz w:val="20"/>
                <w:szCs w:val="20"/>
              </w:rPr>
              <w:t xml:space="preserve">Australian Lead Organisation </w:t>
            </w:r>
          </w:p>
        </w:tc>
        <w:tc>
          <w:tcPr>
            <w:tcW w:w="2021" w:type="dxa"/>
            <w:vAlign w:val="center"/>
            <w:hideMark/>
          </w:tcPr>
          <w:p w14:paraId="1A5452E1" w14:textId="77777777" w:rsidR="00476815" w:rsidRPr="001B0EAE" w:rsidRDefault="00476815" w:rsidP="00476815">
            <w:pPr>
              <w:rPr>
                <w:rFonts w:ascii="Arial" w:hAnsi="Arial" w:cs="Arial"/>
                <w:bCs/>
                <w:sz w:val="20"/>
                <w:szCs w:val="20"/>
              </w:rPr>
            </w:pPr>
            <w:r w:rsidRPr="001B0EAE">
              <w:rPr>
                <w:rFonts w:ascii="Arial" w:hAnsi="Arial" w:cs="Arial"/>
                <w:bCs/>
                <w:sz w:val="20"/>
                <w:szCs w:val="20"/>
              </w:rPr>
              <w:t xml:space="preserve">Chinese Lead Organisation </w:t>
            </w:r>
          </w:p>
        </w:tc>
      </w:tr>
      <w:tr w:rsidR="001B0EAE" w:rsidRPr="001B0EAE" w14:paraId="5C48EE63" w14:textId="77777777" w:rsidTr="00D008E5">
        <w:trPr>
          <w:cnfStyle w:val="000000100000" w:firstRow="0" w:lastRow="0" w:firstColumn="0" w:lastColumn="0" w:oddVBand="0" w:evenVBand="0" w:oddHBand="1" w:evenHBand="0" w:firstRowFirstColumn="0" w:firstRowLastColumn="0" w:lastRowFirstColumn="0" w:lastRowLastColumn="0"/>
          <w:trHeight w:val="1684"/>
        </w:trPr>
        <w:tc>
          <w:tcPr>
            <w:tcW w:w="1704" w:type="dxa"/>
            <w:vAlign w:val="center"/>
            <w:hideMark/>
          </w:tcPr>
          <w:p w14:paraId="78A97B20" w14:textId="77777777" w:rsidR="00476815" w:rsidRPr="001B0EAE" w:rsidRDefault="00476815" w:rsidP="00476815">
            <w:pPr>
              <w:rPr>
                <w:rFonts w:ascii="Arial" w:hAnsi="Arial" w:cs="Arial"/>
                <w:sz w:val="20"/>
                <w:szCs w:val="20"/>
              </w:rPr>
            </w:pPr>
            <w:r w:rsidRPr="001B0EAE">
              <w:rPr>
                <w:rFonts w:ascii="Arial" w:hAnsi="Arial" w:cs="Arial"/>
                <w:sz w:val="20"/>
                <w:szCs w:val="20"/>
              </w:rPr>
              <w:t>Energy</w:t>
            </w:r>
          </w:p>
        </w:tc>
        <w:tc>
          <w:tcPr>
            <w:tcW w:w="1410" w:type="dxa"/>
            <w:vAlign w:val="center"/>
            <w:hideMark/>
          </w:tcPr>
          <w:p w14:paraId="18E56EEB" w14:textId="13F22060" w:rsidR="00476815" w:rsidRPr="001B0EAE" w:rsidRDefault="00476815" w:rsidP="00476815">
            <w:pPr>
              <w:rPr>
                <w:rFonts w:ascii="Arial" w:hAnsi="Arial" w:cs="Arial"/>
                <w:sz w:val="20"/>
                <w:szCs w:val="20"/>
              </w:rPr>
            </w:pPr>
            <w:r w:rsidRPr="001B0EAE">
              <w:rPr>
                <w:rFonts w:ascii="Arial" w:hAnsi="Arial" w:cs="Arial"/>
                <w:sz w:val="20"/>
                <w:szCs w:val="20"/>
              </w:rPr>
              <w:t xml:space="preserve">ACSRF 2011 JRC </w:t>
            </w:r>
            <w:r w:rsidR="00D008E5">
              <w:rPr>
                <w:rFonts w:ascii="Arial" w:hAnsi="Arial" w:cs="Arial"/>
                <w:sz w:val="20"/>
                <w:szCs w:val="20"/>
              </w:rPr>
              <w:br/>
            </w:r>
            <w:r w:rsidRPr="001B0EAE">
              <w:rPr>
                <w:rFonts w:ascii="Arial" w:hAnsi="Arial" w:cs="Arial"/>
                <w:sz w:val="20"/>
                <w:szCs w:val="20"/>
              </w:rPr>
              <w:t>Round 1</w:t>
            </w:r>
          </w:p>
        </w:tc>
        <w:tc>
          <w:tcPr>
            <w:tcW w:w="2126" w:type="dxa"/>
            <w:vAlign w:val="center"/>
            <w:hideMark/>
          </w:tcPr>
          <w:p w14:paraId="34DCDD40" w14:textId="77777777" w:rsidR="00476815" w:rsidRPr="001B0EAE" w:rsidRDefault="00476815" w:rsidP="00476815">
            <w:pPr>
              <w:rPr>
                <w:rFonts w:ascii="Arial" w:hAnsi="Arial" w:cs="Arial"/>
                <w:sz w:val="20"/>
                <w:szCs w:val="20"/>
              </w:rPr>
            </w:pPr>
            <w:r w:rsidRPr="001B0EAE">
              <w:rPr>
                <w:rFonts w:ascii="Arial" w:hAnsi="Arial" w:cs="Arial"/>
                <w:sz w:val="20"/>
                <w:szCs w:val="20"/>
              </w:rPr>
              <w:t>ANSTO - SINAP Joint Materials Research Centre</w:t>
            </w:r>
          </w:p>
        </w:tc>
        <w:tc>
          <w:tcPr>
            <w:tcW w:w="1218" w:type="dxa"/>
            <w:vAlign w:val="center"/>
            <w:hideMark/>
          </w:tcPr>
          <w:p w14:paraId="1820BCB7" w14:textId="108251C8" w:rsidR="00476815" w:rsidRPr="001B0EAE" w:rsidRDefault="00476815" w:rsidP="00476815">
            <w:pPr>
              <w:rPr>
                <w:rFonts w:ascii="Arial" w:hAnsi="Arial" w:cs="Arial"/>
                <w:sz w:val="20"/>
                <w:szCs w:val="20"/>
              </w:rPr>
            </w:pPr>
            <w:r w:rsidRPr="001B0EAE">
              <w:rPr>
                <w:rFonts w:ascii="Arial" w:hAnsi="Arial" w:cs="Arial"/>
                <w:sz w:val="20"/>
                <w:szCs w:val="20"/>
              </w:rPr>
              <w:t xml:space="preserve">$833,000 </w:t>
            </w:r>
          </w:p>
        </w:tc>
        <w:tc>
          <w:tcPr>
            <w:tcW w:w="5431" w:type="dxa"/>
            <w:vAlign w:val="center"/>
            <w:hideMark/>
          </w:tcPr>
          <w:p w14:paraId="3AF47180" w14:textId="3F308CFF" w:rsidR="00476815" w:rsidRPr="001B0EAE" w:rsidRDefault="00476815" w:rsidP="00476815">
            <w:pPr>
              <w:rPr>
                <w:rFonts w:ascii="Arial" w:hAnsi="Arial" w:cs="Arial"/>
                <w:sz w:val="20"/>
                <w:szCs w:val="20"/>
              </w:rPr>
            </w:pPr>
            <w:r w:rsidRPr="001B0EAE">
              <w:rPr>
                <w:rFonts w:ascii="Arial" w:hAnsi="Arial" w:cs="Arial"/>
                <w:sz w:val="20"/>
                <w:szCs w:val="20"/>
              </w:rPr>
              <w:t xml:space="preserve">This JRC will establish an Australian Chinese (SINAP) team focused on the development of materials suitable for an advanced Thorium Molten Salt Reactor (TMSR). The JRC will integrate Australian expertise in the development of materials for extreme environments with expertise within the Chinese Academy of Science (CAS) program of research on next generation power systems. </w:t>
            </w:r>
          </w:p>
        </w:tc>
        <w:tc>
          <w:tcPr>
            <w:tcW w:w="1784" w:type="dxa"/>
            <w:vAlign w:val="center"/>
            <w:hideMark/>
          </w:tcPr>
          <w:p w14:paraId="4EB31E1B" w14:textId="77777777" w:rsidR="00476815" w:rsidRPr="001B0EAE" w:rsidRDefault="00476815" w:rsidP="00476815">
            <w:pPr>
              <w:rPr>
                <w:rFonts w:ascii="Arial" w:hAnsi="Arial" w:cs="Arial"/>
                <w:sz w:val="20"/>
                <w:szCs w:val="20"/>
              </w:rPr>
            </w:pPr>
            <w:r w:rsidRPr="001B0EAE">
              <w:rPr>
                <w:rFonts w:ascii="Arial" w:hAnsi="Arial" w:cs="Arial"/>
                <w:sz w:val="20"/>
                <w:szCs w:val="20"/>
              </w:rPr>
              <w:t>Australian Nuclear Science and Technology Organisation</w:t>
            </w:r>
          </w:p>
        </w:tc>
        <w:tc>
          <w:tcPr>
            <w:tcW w:w="2021" w:type="dxa"/>
            <w:vAlign w:val="center"/>
            <w:hideMark/>
          </w:tcPr>
          <w:p w14:paraId="4896CD25" w14:textId="77777777" w:rsidR="00476815" w:rsidRPr="001B0EAE" w:rsidRDefault="00476815" w:rsidP="00476815">
            <w:pPr>
              <w:rPr>
                <w:rFonts w:ascii="Arial" w:hAnsi="Arial" w:cs="Arial"/>
                <w:sz w:val="20"/>
                <w:szCs w:val="20"/>
              </w:rPr>
            </w:pPr>
            <w:r w:rsidRPr="001B0EAE">
              <w:rPr>
                <w:rFonts w:ascii="Arial" w:hAnsi="Arial" w:cs="Arial"/>
                <w:sz w:val="20"/>
                <w:szCs w:val="20"/>
              </w:rPr>
              <w:t>Shanghai Institute for Applied Physics, Chinese Academy of Sciences</w:t>
            </w:r>
          </w:p>
        </w:tc>
      </w:tr>
      <w:tr w:rsidR="00D008E5" w:rsidRPr="001B0EAE" w14:paraId="726B358D" w14:textId="77777777" w:rsidTr="00D008E5">
        <w:trPr>
          <w:cnfStyle w:val="000000010000" w:firstRow="0" w:lastRow="0" w:firstColumn="0" w:lastColumn="0" w:oddVBand="0" w:evenVBand="0" w:oddHBand="0" w:evenHBand="1" w:firstRowFirstColumn="0" w:firstRowLastColumn="0" w:lastRowFirstColumn="0" w:lastRowLastColumn="0"/>
          <w:trHeight w:val="945"/>
        </w:trPr>
        <w:tc>
          <w:tcPr>
            <w:tcW w:w="1704" w:type="dxa"/>
            <w:vAlign w:val="center"/>
            <w:hideMark/>
          </w:tcPr>
          <w:p w14:paraId="74EE4605" w14:textId="77777777" w:rsidR="00D008E5" w:rsidRPr="001B0EAE" w:rsidRDefault="00D008E5" w:rsidP="00D008E5">
            <w:pPr>
              <w:rPr>
                <w:rFonts w:ascii="Arial" w:hAnsi="Arial" w:cs="Arial"/>
                <w:sz w:val="20"/>
                <w:szCs w:val="20"/>
              </w:rPr>
            </w:pPr>
            <w:r w:rsidRPr="001B0EAE">
              <w:rPr>
                <w:rFonts w:ascii="Arial" w:hAnsi="Arial" w:cs="Arial"/>
                <w:sz w:val="20"/>
                <w:szCs w:val="20"/>
              </w:rPr>
              <w:t>Energy</w:t>
            </w:r>
          </w:p>
        </w:tc>
        <w:tc>
          <w:tcPr>
            <w:tcW w:w="1410" w:type="dxa"/>
            <w:vAlign w:val="center"/>
            <w:hideMark/>
          </w:tcPr>
          <w:p w14:paraId="740129E5" w14:textId="33CA9B18" w:rsidR="00D008E5" w:rsidRPr="001B0EAE" w:rsidRDefault="00D008E5" w:rsidP="00D008E5">
            <w:pPr>
              <w:rPr>
                <w:rFonts w:ascii="Arial" w:hAnsi="Arial" w:cs="Arial"/>
                <w:sz w:val="20"/>
                <w:szCs w:val="20"/>
              </w:rPr>
            </w:pPr>
            <w:r w:rsidRPr="0066001A">
              <w:rPr>
                <w:rFonts w:ascii="Arial" w:hAnsi="Arial" w:cs="Arial"/>
                <w:sz w:val="20"/>
                <w:szCs w:val="20"/>
              </w:rPr>
              <w:t xml:space="preserve">ACSRF 2011 JRC </w:t>
            </w:r>
            <w:r w:rsidRPr="0066001A">
              <w:rPr>
                <w:rFonts w:ascii="Arial" w:hAnsi="Arial" w:cs="Arial"/>
                <w:sz w:val="20"/>
                <w:szCs w:val="20"/>
              </w:rPr>
              <w:br/>
              <w:t>Round 1</w:t>
            </w:r>
          </w:p>
        </w:tc>
        <w:tc>
          <w:tcPr>
            <w:tcW w:w="2126" w:type="dxa"/>
            <w:vAlign w:val="center"/>
            <w:hideMark/>
          </w:tcPr>
          <w:p w14:paraId="6BB12E99" w14:textId="77777777" w:rsidR="00D008E5" w:rsidRPr="001B0EAE" w:rsidRDefault="00D008E5" w:rsidP="00D008E5">
            <w:pPr>
              <w:rPr>
                <w:rFonts w:ascii="Arial" w:hAnsi="Arial" w:cs="Arial"/>
                <w:sz w:val="20"/>
                <w:szCs w:val="20"/>
              </w:rPr>
            </w:pPr>
            <w:r w:rsidRPr="001B0EAE">
              <w:rPr>
                <w:rFonts w:ascii="Arial" w:hAnsi="Arial" w:cs="Arial"/>
                <w:sz w:val="20"/>
                <w:szCs w:val="20"/>
              </w:rPr>
              <w:t>Australia-China Joint Research Centre for Energy</w:t>
            </w:r>
          </w:p>
        </w:tc>
        <w:tc>
          <w:tcPr>
            <w:tcW w:w="1218" w:type="dxa"/>
            <w:vAlign w:val="center"/>
            <w:hideMark/>
          </w:tcPr>
          <w:p w14:paraId="07559FE4" w14:textId="7288196E" w:rsidR="00D008E5" w:rsidRPr="001B0EAE" w:rsidRDefault="00D008E5" w:rsidP="00D008E5">
            <w:pPr>
              <w:rPr>
                <w:rFonts w:ascii="Arial" w:hAnsi="Arial" w:cs="Arial"/>
                <w:sz w:val="20"/>
                <w:szCs w:val="20"/>
              </w:rPr>
            </w:pPr>
            <w:r w:rsidRPr="001B0EAE">
              <w:rPr>
                <w:rFonts w:ascii="Arial" w:hAnsi="Arial" w:cs="Arial"/>
                <w:sz w:val="20"/>
                <w:szCs w:val="20"/>
              </w:rPr>
              <w:t xml:space="preserve">$833,000 </w:t>
            </w:r>
          </w:p>
        </w:tc>
        <w:tc>
          <w:tcPr>
            <w:tcW w:w="5431" w:type="dxa"/>
            <w:vAlign w:val="center"/>
            <w:hideMark/>
          </w:tcPr>
          <w:p w14:paraId="7AE3AE7D" w14:textId="77777777" w:rsidR="00D008E5" w:rsidRPr="001B0EAE" w:rsidRDefault="00D008E5" w:rsidP="00D008E5">
            <w:pPr>
              <w:rPr>
                <w:rFonts w:ascii="Arial" w:hAnsi="Arial" w:cs="Arial"/>
                <w:sz w:val="20"/>
                <w:szCs w:val="20"/>
              </w:rPr>
            </w:pPr>
            <w:r w:rsidRPr="001B0EAE">
              <w:rPr>
                <w:rFonts w:ascii="Arial" w:hAnsi="Arial" w:cs="Arial"/>
                <w:sz w:val="20"/>
                <w:szCs w:val="20"/>
              </w:rPr>
              <w:t>The Australia-China Joint Research Centre for Energy will develop advanced energy technologies for improved energy security and reduced CO2 emissions from both countries.</w:t>
            </w:r>
          </w:p>
        </w:tc>
        <w:tc>
          <w:tcPr>
            <w:tcW w:w="1784" w:type="dxa"/>
            <w:vAlign w:val="center"/>
            <w:hideMark/>
          </w:tcPr>
          <w:p w14:paraId="0BA9E840" w14:textId="77777777" w:rsidR="00D008E5" w:rsidRPr="001B0EAE" w:rsidRDefault="00D008E5" w:rsidP="00D008E5">
            <w:pPr>
              <w:rPr>
                <w:rFonts w:ascii="Arial" w:hAnsi="Arial" w:cs="Arial"/>
                <w:sz w:val="20"/>
                <w:szCs w:val="20"/>
              </w:rPr>
            </w:pPr>
            <w:r w:rsidRPr="001B0EAE">
              <w:rPr>
                <w:rFonts w:ascii="Arial" w:hAnsi="Arial" w:cs="Arial"/>
                <w:sz w:val="20"/>
                <w:szCs w:val="20"/>
              </w:rPr>
              <w:t>Curtin University of Technology</w:t>
            </w:r>
          </w:p>
        </w:tc>
        <w:tc>
          <w:tcPr>
            <w:tcW w:w="2021" w:type="dxa"/>
            <w:vAlign w:val="center"/>
            <w:hideMark/>
          </w:tcPr>
          <w:p w14:paraId="103F9607" w14:textId="77777777" w:rsidR="00D008E5" w:rsidRPr="001B0EAE" w:rsidRDefault="00D008E5" w:rsidP="00D008E5">
            <w:pPr>
              <w:rPr>
                <w:rFonts w:ascii="Arial" w:hAnsi="Arial" w:cs="Arial"/>
                <w:sz w:val="20"/>
                <w:szCs w:val="20"/>
              </w:rPr>
            </w:pPr>
            <w:r w:rsidRPr="001B0EAE">
              <w:rPr>
                <w:rFonts w:ascii="Arial" w:hAnsi="Arial" w:cs="Arial"/>
                <w:sz w:val="20"/>
                <w:szCs w:val="20"/>
              </w:rPr>
              <w:t>Taiyuan University of Technology</w:t>
            </w:r>
          </w:p>
        </w:tc>
      </w:tr>
      <w:tr w:rsidR="00D008E5" w:rsidRPr="001B0EAE" w14:paraId="212E225A" w14:textId="77777777" w:rsidTr="00D008E5">
        <w:trPr>
          <w:cnfStyle w:val="000000100000" w:firstRow="0" w:lastRow="0" w:firstColumn="0" w:lastColumn="0" w:oddVBand="0" w:evenVBand="0" w:oddHBand="1" w:evenHBand="0" w:firstRowFirstColumn="0" w:firstRowLastColumn="0" w:lastRowFirstColumn="0" w:lastRowLastColumn="0"/>
          <w:trHeight w:val="945"/>
        </w:trPr>
        <w:tc>
          <w:tcPr>
            <w:tcW w:w="1704" w:type="dxa"/>
            <w:vAlign w:val="center"/>
            <w:hideMark/>
          </w:tcPr>
          <w:p w14:paraId="15F2461B" w14:textId="77777777" w:rsidR="00D008E5" w:rsidRPr="001B0EAE" w:rsidRDefault="00D008E5" w:rsidP="00D008E5">
            <w:pPr>
              <w:rPr>
                <w:rFonts w:ascii="Arial" w:hAnsi="Arial" w:cs="Arial"/>
                <w:sz w:val="20"/>
                <w:szCs w:val="20"/>
              </w:rPr>
            </w:pPr>
            <w:r w:rsidRPr="001B0EAE">
              <w:rPr>
                <w:rFonts w:ascii="Arial" w:hAnsi="Arial" w:cs="Arial"/>
                <w:sz w:val="20"/>
                <w:szCs w:val="20"/>
              </w:rPr>
              <w:t>Engineering and materials science</w:t>
            </w:r>
          </w:p>
        </w:tc>
        <w:tc>
          <w:tcPr>
            <w:tcW w:w="1410" w:type="dxa"/>
            <w:vAlign w:val="center"/>
            <w:hideMark/>
          </w:tcPr>
          <w:p w14:paraId="0A78323C" w14:textId="40E146C8" w:rsidR="00D008E5" w:rsidRPr="001B0EAE" w:rsidRDefault="00D008E5" w:rsidP="00D008E5">
            <w:pPr>
              <w:rPr>
                <w:rFonts w:ascii="Arial" w:hAnsi="Arial" w:cs="Arial"/>
                <w:sz w:val="20"/>
                <w:szCs w:val="20"/>
              </w:rPr>
            </w:pPr>
            <w:r w:rsidRPr="0066001A">
              <w:rPr>
                <w:rFonts w:ascii="Arial" w:hAnsi="Arial" w:cs="Arial"/>
                <w:sz w:val="20"/>
                <w:szCs w:val="20"/>
              </w:rPr>
              <w:t xml:space="preserve">ACSRF 2011 JRC </w:t>
            </w:r>
            <w:r w:rsidRPr="0066001A">
              <w:rPr>
                <w:rFonts w:ascii="Arial" w:hAnsi="Arial" w:cs="Arial"/>
                <w:sz w:val="20"/>
                <w:szCs w:val="20"/>
              </w:rPr>
              <w:br/>
              <w:t>Round 1</w:t>
            </w:r>
          </w:p>
        </w:tc>
        <w:tc>
          <w:tcPr>
            <w:tcW w:w="2126" w:type="dxa"/>
            <w:vAlign w:val="center"/>
            <w:hideMark/>
          </w:tcPr>
          <w:p w14:paraId="402BD2A8" w14:textId="77777777" w:rsidR="00D008E5" w:rsidRPr="001B0EAE" w:rsidRDefault="00D008E5" w:rsidP="00D008E5">
            <w:pPr>
              <w:rPr>
                <w:rFonts w:ascii="Arial" w:hAnsi="Arial" w:cs="Arial"/>
                <w:sz w:val="20"/>
                <w:szCs w:val="20"/>
              </w:rPr>
            </w:pPr>
            <w:r w:rsidRPr="001B0EAE">
              <w:rPr>
                <w:rFonts w:ascii="Arial" w:hAnsi="Arial" w:cs="Arial"/>
                <w:sz w:val="20"/>
                <w:szCs w:val="20"/>
              </w:rPr>
              <w:t>Australia-China Research Centre for Light Metals</w:t>
            </w:r>
          </w:p>
        </w:tc>
        <w:tc>
          <w:tcPr>
            <w:tcW w:w="1218" w:type="dxa"/>
            <w:vAlign w:val="center"/>
            <w:hideMark/>
          </w:tcPr>
          <w:p w14:paraId="6C3D4CF9" w14:textId="60B60A48" w:rsidR="00D008E5" w:rsidRPr="001B0EAE" w:rsidRDefault="00D008E5" w:rsidP="00D008E5">
            <w:pPr>
              <w:rPr>
                <w:rFonts w:ascii="Arial" w:hAnsi="Arial" w:cs="Arial"/>
                <w:sz w:val="20"/>
                <w:szCs w:val="20"/>
              </w:rPr>
            </w:pPr>
            <w:r w:rsidRPr="001B0EAE">
              <w:rPr>
                <w:rFonts w:ascii="Arial" w:hAnsi="Arial" w:cs="Arial"/>
                <w:sz w:val="20"/>
                <w:szCs w:val="20"/>
              </w:rPr>
              <w:t xml:space="preserve">$833,000 </w:t>
            </w:r>
          </w:p>
        </w:tc>
        <w:tc>
          <w:tcPr>
            <w:tcW w:w="5431" w:type="dxa"/>
            <w:vAlign w:val="center"/>
            <w:hideMark/>
          </w:tcPr>
          <w:p w14:paraId="06BED36A" w14:textId="77777777" w:rsidR="00D008E5" w:rsidRPr="001B0EAE" w:rsidRDefault="00D008E5" w:rsidP="00D008E5">
            <w:pPr>
              <w:rPr>
                <w:rFonts w:ascii="Arial" w:hAnsi="Arial" w:cs="Arial"/>
                <w:sz w:val="20"/>
                <w:szCs w:val="20"/>
              </w:rPr>
            </w:pPr>
            <w:r w:rsidRPr="001B0EAE">
              <w:rPr>
                <w:rFonts w:ascii="Arial" w:hAnsi="Arial" w:cs="Arial"/>
                <w:sz w:val="20"/>
                <w:szCs w:val="20"/>
              </w:rPr>
              <w:t>The Centre will bring together researchers from industry and academia in the field of light alloy development and processing, to develop new light metal alloys and energy-efficient manufacturing processes.</w:t>
            </w:r>
          </w:p>
        </w:tc>
        <w:tc>
          <w:tcPr>
            <w:tcW w:w="1784" w:type="dxa"/>
            <w:vAlign w:val="center"/>
            <w:hideMark/>
          </w:tcPr>
          <w:p w14:paraId="61C12CCC" w14:textId="77777777" w:rsidR="00D008E5" w:rsidRPr="001B0EAE" w:rsidRDefault="00D008E5" w:rsidP="00D008E5">
            <w:pPr>
              <w:rPr>
                <w:rFonts w:ascii="Arial" w:hAnsi="Arial" w:cs="Arial"/>
                <w:sz w:val="20"/>
                <w:szCs w:val="20"/>
              </w:rPr>
            </w:pPr>
            <w:r w:rsidRPr="001B0EAE">
              <w:rPr>
                <w:rFonts w:ascii="Arial" w:hAnsi="Arial" w:cs="Arial"/>
                <w:sz w:val="20"/>
                <w:szCs w:val="20"/>
              </w:rPr>
              <w:t>Monash University</w:t>
            </w:r>
          </w:p>
        </w:tc>
        <w:tc>
          <w:tcPr>
            <w:tcW w:w="2021" w:type="dxa"/>
            <w:vAlign w:val="center"/>
            <w:hideMark/>
          </w:tcPr>
          <w:p w14:paraId="4AE07D27" w14:textId="77777777" w:rsidR="00D008E5" w:rsidRPr="001B0EAE" w:rsidRDefault="00D008E5" w:rsidP="00D008E5">
            <w:pPr>
              <w:rPr>
                <w:rFonts w:ascii="Arial" w:hAnsi="Arial" w:cs="Arial"/>
                <w:sz w:val="20"/>
                <w:szCs w:val="20"/>
              </w:rPr>
            </w:pPr>
            <w:r w:rsidRPr="001B0EAE">
              <w:rPr>
                <w:rFonts w:ascii="Arial" w:hAnsi="Arial" w:cs="Arial"/>
                <w:sz w:val="20"/>
                <w:szCs w:val="20"/>
              </w:rPr>
              <w:t>Central South University</w:t>
            </w:r>
          </w:p>
        </w:tc>
      </w:tr>
      <w:tr w:rsidR="00D008E5" w:rsidRPr="001B0EAE" w14:paraId="1AF7AF27" w14:textId="77777777" w:rsidTr="00D008E5">
        <w:trPr>
          <w:cnfStyle w:val="000000010000" w:firstRow="0" w:lastRow="0" w:firstColumn="0" w:lastColumn="0" w:oddVBand="0" w:evenVBand="0" w:oddHBand="0" w:evenHBand="1" w:firstRowFirstColumn="0" w:firstRowLastColumn="0" w:lastRowFirstColumn="0" w:lastRowLastColumn="0"/>
          <w:trHeight w:val="1480"/>
        </w:trPr>
        <w:tc>
          <w:tcPr>
            <w:tcW w:w="1704" w:type="dxa"/>
            <w:vAlign w:val="center"/>
            <w:hideMark/>
          </w:tcPr>
          <w:p w14:paraId="01E8A0BB" w14:textId="77777777" w:rsidR="00D008E5" w:rsidRPr="001B0EAE" w:rsidRDefault="00D008E5" w:rsidP="00D008E5">
            <w:pPr>
              <w:rPr>
                <w:rFonts w:ascii="Arial" w:hAnsi="Arial" w:cs="Arial"/>
                <w:sz w:val="20"/>
                <w:szCs w:val="20"/>
              </w:rPr>
            </w:pPr>
            <w:r w:rsidRPr="001B0EAE">
              <w:rPr>
                <w:rFonts w:ascii="Arial" w:hAnsi="Arial" w:cs="Arial"/>
                <w:sz w:val="20"/>
                <w:szCs w:val="20"/>
              </w:rPr>
              <w:t>Environment science</w:t>
            </w:r>
          </w:p>
        </w:tc>
        <w:tc>
          <w:tcPr>
            <w:tcW w:w="1410" w:type="dxa"/>
            <w:vAlign w:val="center"/>
            <w:hideMark/>
          </w:tcPr>
          <w:p w14:paraId="546AC4BA" w14:textId="5073994A" w:rsidR="00D008E5" w:rsidRPr="001B0EAE" w:rsidRDefault="00D008E5" w:rsidP="00D008E5">
            <w:pPr>
              <w:rPr>
                <w:rFonts w:ascii="Arial" w:hAnsi="Arial" w:cs="Arial"/>
                <w:sz w:val="20"/>
                <w:szCs w:val="20"/>
              </w:rPr>
            </w:pPr>
            <w:r w:rsidRPr="0066001A">
              <w:rPr>
                <w:rFonts w:ascii="Arial" w:hAnsi="Arial" w:cs="Arial"/>
                <w:sz w:val="20"/>
                <w:szCs w:val="20"/>
              </w:rPr>
              <w:t xml:space="preserve">ACSRF 2011 JRC </w:t>
            </w:r>
            <w:r w:rsidRPr="0066001A">
              <w:rPr>
                <w:rFonts w:ascii="Arial" w:hAnsi="Arial" w:cs="Arial"/>
                <w:sz w:val="20"/>
                <w:szCs w:val="20"/>
              </w:rPr>
              <w:br/>
              <w:t>Round 1</w:t>
            </w:r>
          </w:p>
        </w:tc>
        <w:tc>
          <w:tcPr>
            <w:tcW w:w="2126" w:type="dxa"/>
            <w:vAlign w:val="center"/>
            <w:hideMark/>
          </w:tcPr>
          <w:p w14:paraId="1F0A0684" w14:textId="77777777" w:rsidR="00D008E5" w:rsidRPr="001B0EAE" w:rsidRDefault="00D008E5" w:rsidP="00D008E5">
            <w:pPr>
              <w:rPr>
                <w:rFonts w:ascii="Arial" w:hAnsi="Arial" w:cs="Arial"/>
                <w:sz w:val="20"/>
                <w:szCs w:val="20"/>
              </w:rPr>
            </w:pPr>
            <w:r w:rsidRPr="001B0EAE">
              <w:rPr>
                <w:rFonts w:ascii="Arial" w:hAnsi="Arial" w:cs="Arial"/>
                <w:sz w:val="20"/>
                <w:szCs w:val="20"/>
              </w:rPr>
              <w:t>Australia-China Research Centre on River Basin Management (water resources and water quality)</w:t>
            </w:r>
          </w:p>
        </w:tc>
        <w:tc>
          <w:tcPr>
            <w:tcW w:w="1218" w:type="dxa"/>
            <w:vAlign w:val="center"/>
            <w:hideMark/>
          </w:tcPr>
          <w:p w14:paraId="5EA8B27E" w14:textId="3FDDB2B7" w:rsidR="00D008E5" w:rsidRPr="001B0EAE" w:rsidRDefault="00D008E5" w:rsidP="00D008E5">
            <w:pPr>
              <w:rPr>
                <w:rFonts w:ascii="Arial" w:hAnsi="Arial" w:cs="Arial"/>
                <w:sz w:val="20"/>
                <w:szCs w:val="20"/>
              </w:rPr>
            </w:pPr>
            <w:r w:rsidRPr="001B0EAE">
              <w:rPr>
                <w:rFonts w:ascii="Arial" w:hAnsi="Arial" w:cs="Arial"/>
                <w:sz w:val="20"/>
                <w:szCs w:val="20"/>
              </w:rPr>
              <w:t xml:space="preserve">$833,000 </w:t>
            </w:r>
          </w:p>
        </w:tc>
        <w:tc>
          <w:tcPr>
            <w:tcW w:w="5431" w:type="dxa"/>
            <w:vAlign w:val="center"/>
            <w:hideMark/>
          </w:tcPr>
          <w:p w14:paraId="08D482FD" w14:textId="449DF997" w:rsidR="00D008E5" w:rsidRPr="001B0EAE" w:rsidRDefault="00D008E5" w:rsidP="00D008E5">
            <w:pPr>
              <w:rPr>
                <w:rFonts w:ascii="Arial" w:hAnsi="Arial" w:cs="Arial"/>
                <w:sz w:val="20"/>
                <w:szCs w:val="20"/>
              </w:rPr>
            </w:pPr>
            <w:r w:rsidRPr="001B0EAE">
              <w:rPr>
                <w:rFonts w:ascii="Arial" w:hAnsi="Arial" w:cs="Arial"/>
                <w:sz w:val="20"/>
                <w:szCs w:val="20"/>
              </w:rPr>
              <w:t>The joint research centre (JRC) will provide both Australia and China with a new capacity to address national priorities for water resources management. This includes water catchment management, water productivity, environmental and rural community sustainability as well as technical and research capacity in these areas.</w:t>
            </w:r>
          </w:p>
        </w:tc>
        <w:tc>
          <w:tcPr>
            <w:tcW w:w="1784" w:type="dxa"/>
            <w:vAlign w:val="center"/>
            <w:hideMark/>
          </w:tcPr>
          <w:p w14:paraId="5BB1D703" w14:textId="77777777" w:rsidR="00D008E5" w:rsidRPr="001B0EAE" w:rsidRDefault="00D008E5" w:rsidP="00D008E5">
            <w:pPr>
              <w:rPr>
                <w:rFonts w:ascii="Arial" w:hAnsi="Arial" w:cs="Arial"/>
                <w:sz w:val="20"/>
                <w:szCs w:val="20"/>
              </w:rPr>
            </w:pPr>
            <w:r w:rsidRPr="001B0EAE">
              <w:rPr>
                <w:rFonts w:ascii="Arial" w:hAnsi="Arial" w:cs="Arial"/>
                <w:sz w:val="20"/>
                <w:szCs w:val="20"/>
              </w:rPr>
              <w:t>University of Melbourne</w:t>
            </w:r>
          </w:p>
        </w:tc>
        <w:tc>
          <w:tcPr>
            <w:tcW w:w="2021" w:type="dxa"/>
            <w:vAlign w:val="center"/>
            <w:hideMark/>
          </w:tcPr>
          <w:p w14:paraId="50926348" w14:textId="77777777" w:rsidR="00D008E5" w:rsidRPr="001B0EAE" w:rsidRDefault="00D008E5" w:rsidP="00D008E5">
            <w:pPr>
              <w:rPr>
                <w:rFonts w:ascii="Arial" w:hAnsi="Arial" w:cs="Arial"/>
                <w:sz w:val="20"/>
                <w:szCs w:val="20"/>
              </w:rPr>
            </w:pPr>
            <w:r w:rsidRPr="001B0EAE">
              <w:rPr>
                <w:rFonts w:ascii="Arial" w:hAnsi="Arial" w:cs="Arial"/>
                <w:sz w:val="20"/>
                <w:szCs w:val="20"/>
              </w:rPr>
              <w:t>Department of Water Resources, China Institute of Water Resources and Hydropower Research</w:t>
            </w:r>
          </w:p>
        </w:tc>
      </w:tr>
      <w:tr w:rsidR="00D008E5" w:rsidRPr="001B0EAE" w14:paraId="2F4156B6" w14:textId="77777777" w:rsidTr="00D008E5">
        <w:trPr>
          <w:cnfStyle w:val="000000100000" w:firstRow="0" w:lastRow="0" w:firstColumn="0" w:lastColumn="0" w:oddVBand="0" w:evenVBand="0" w:oddHBand="1" w:evenHBand="0" w:firstRowFirstColumn="0" w:firstRowLastColumn="0" w:lastRowFirstColumn="0" w:lastRowLastColumn="0"/>
          <w:trHeight w:val="2177"/>
        </w:trPr>
        <w:tc>
          <w:tcPr>
            <w:tcW w:w="1704" w:type="dxa"/>
            <w:vAlign w:val="center"/>
            <w:hideMark/>
          </w:tcPr>
          <w:p w14:paraId="2B073786" w14:textId="77777777" w:rsidR="00D008E5" w:rsidRPr="001B0EAE" w:rsidRDefault="00D008E5" w:rsidP="00D008E5">
            <w:pPr>
              <w:rPr>
                <w:rFonts w:ascii="Arial" w:hAnsi="Arial" w:cs="Arial"/>
                <w:sz w:val="20"/>
                <w:szCs w:val="20"/>
              </w:rPr>
            </w:pPr>
            <w:r w:rsidRPr="001B0EAE">
              <w:rPr>
                <w:rFonts w:ascii="Arial" w:hAnsi="Arial" w:cs="Arial"/>
                <w:sz w:val="20"/>
                <w:szCs w:val="20"/>
              </w:rPr>
              <w:t>Agriculture and biological sciences</w:t>
            </w:r>
          </w:p>
        </w:tc>
        <w:tc>
          <w:tcPr>
            <w:tcW w:w="1410" w:type="dxa"/>
            <w:vAlign w:val="center"/>
            <w:hideMark/>
          </w:tcPr>
          <w:p w14:paraId="4EE9C6AD" w14:textId="2D68F6E5" w:rsidR="00D008E5" w:rsidRPr="001B0EAE" w:rsidRDefault="00D008E5" w:rsidP="00D008E5">
            <w:pPr>
              <w:rPr>
                <w:rFonts w:ascii="Arial" w:hAnsi="Arial" w:cs="Arial"/>
                <w:sz w:val="20"/>
                <w:szCs w:val="20"/>
              </w:rPr>
            </w:pPr>
            <w:r w:rsidRPr="0066001A">
              <w:rPr>
                <w:rFonts w:ascii="Arial" w:hAnsi="Arial" w:cs="Arial"/>
                <w:sz w:val="20"/>
                <w:szCs w:val="20"/>
              </w:rPr>
              <w:t xml:space="preserve">ACSRF 2011 JRC </w:t>
            </w:r>
            <w:r w:rsidRPr="0066001A">
              <w:rPr>
                <w:rFonts w:ascii="Arial" w:hAnsi="Arial" w:cs="Arial"/>
                <w:sz w:val="20"/>
                <w:szCs w:val="20"/>
              </w:rPr>
              <w:br/>
              <w:t>Round 1</w:t>
            </w:r>
          </w:p>
        </w:tc>
        <w:tc>
          <w:tcPr>
            <w:tcW w:w="2126" w:type="dxa"/>
            <w:vAlign w:val="center"/>
            <w:hideMark/>
          </w:tcPr>
          <w:p w14:paraId="7977C11F" w14:textId="77777777" w:rsidR="00D008E5" w:rsidRPr="001B0EAE" w:rsidRDefault="00D008E5" w:rsidP="00D008E5">
            <w:pPr>
              <w:rPr>
                <w:rFonts w:ascii="Arial" w:hAnsi="Arial" w:cs="Arial"/>
                <w:sz w:val="20"/>
                <w:szCs w:val="20"/>
              </w:rPr>
            </w:pPr>
            <w:r w:rsidRPr="001B0EAE">
              <w:rPr>
                <w:rFonts w:ascii="Arial" w:hAnsi="Arial" w:cs="Arial"/>
                <w:sz w:val="20"/>
                <w:szCs w:val="20"/>
              </w:rPr>
              <w:t>Australia-China Centre for Wheat Improvement</w:t>
            </w:r>
          </w:p>
        </w:tc>
        <w:tc>
          <w:tcPr>
            <w:tcW w:w="1218" w:type="dxa"/>
            <w:vAlign w:val="center"/>
            <w:hideMark/>
          </w:tcPr>
          <w:p w14:paraId="0238C025" w14:textId="0FC7CBED" w:rsidR="00D008E5" w:rsidRPr="001B0EAE" w:rsidRDefault="00D008E5" w:rsidP="00D008E5">
            <w:pPr>
              <w:rPr>
                <w:rFonts w:ascii="Arial" w:hAnsi="Arial" w:cs="Arial"/>
                <w:sz w:val="20"/>
                <w:szCs w:val="20"/>
              </w:rPr>
            </w:pPr>
            <w:r w:rsidRPr="001B0EAE">
              <w:rPr>
                <w:rFonts w:ascii="Arial" w:hAnsi="Arial" w:cs="Arial"/>
                <w:sz w:val="20"/>
                <w:szCs w:val="20"/>
              </w:rPr>
              <w:t xml:space="preserve">$833,000 </w:t>
            </w:r>
          </w:p>
        </w:tc>
        <w:tc>
          <w:tcPr>
            <w:tcW w:w="5431" w:type="dxa"/>
            <w:vAlign w:val="center"/>
            <w:hideMark/>
          </w:tcPr>
          <w:p w14:paraId="563004E9" w14:textId="7B7CDF5B" w:rsidR="00D008E5" w:rsidRPr="001B0EAE" w:rsidRDefault="00D008E5" w:rsidP="00D008E5">
            <w:pPr>
              <w:rPr>
                <w:rFonts w:ascii="Arial" w:hAnsi="Arial" w:cs="Arial"/>
                <w:sz w:val="20"/>
                <w:szCs w:val="20"/>
              </w:rPr>
            </w:pPr>
            <w:r w:rsidRPr="001B0EAE">
              <w:rPr>
                <w:rFonts w:ascii="Arial" w:hAnsi="Arial" w:cs="Arial"/>
                <w:sz w:val="20"/>
                <w:szCs w:val="20"/>
              </w:rPr>
              <w:t>The joint research centre will aim for consistency of supply of a high quality wheat product in order to impact on food security and the development of novel food products as well as increasing the marketability Australian wheat in China. The centre aims for (1) Australian wheat to penetrate the China market in speciality product areas, (2) Increase wheat yield by 1-2% through genetic, molecular marker and bioinformatics technologies.</w:t>
            </w:r>
          </w:p>
        </w:tc>
        <w:tc>
          <w:tcPr>
            <w:tcW w:w="1784" w:type="dxa"/>
            <w:vAlign w:val="center"/>
            <w:hideMark/>
          </w:tcPr>
          <w:p w14:paraId="0B3944B4" w14:textId="77777777" w:rsidR="00D008E5" w:rsidRPr="001B0EAE" w:rsidRDefault="00D008E5" w:rsidP="00D008E5">
            <w:pPr>
              <w:rPr>
                <w:rFonts w:ascii="Arial" w:hAnsi="Arial" w:cs="Arial"/>
                <w:sz w:val="20"/>
                <w:szCs w:val="20"/>
              </w:rPr>
            </w:pPr>
            <w:r w:rsidRPr="001B0EAE">
              <w:rPr>
                <w:rFonts w:ascii="Arial" w:hAnsi="Arial" w:cs="Arial"/>
                <w:sz w:val="20"/>
                <w:szCs w:val="20"/>
              </w:rPr>
              <w:t>Murdoch University</w:t>
            </w:r>
          </w:p>
        </w:tc>
        <w:tc>
          <w:tcPr>
            <w:tcW w:w="2021" w:type="dxa"/>
            <w:vAlign w:val="center"/>
            <w:hideMark/>
          </w:tcPr>
          <w:p w14:paraId="2F0D60A5" w14:textId="77777777" w:rsidR="00D008E5" w:rsidRPr="001B0EAE" w:rsidRDefault="00D008E5" w:rsidP="00D008E5">
            <w:pPr>
              <w:rPr>
                <w:rFonts w:ascii="Arial" w:hAnsi="Arial" w:cs="Arial"/>
                <w:sz w:val="20"/>
                <w:szCs w:val="20"/>
              </w:rPr>
            </w:pPr>
            <w:r w:rsidRPr="001B0EAE">
              <w:rPr>
                <w:rFonts w:ascii="Arial" w:hAnsi="Arial" w:cs="Arial"/>
                <w:sz w:val="20"/>
                <w:szCs w:val="20"/>
              </w:rPr>
              <w:t>The Chinese Academy of Agricultural Sciences</w:t>
            </w:r>
          </w:p>
        </w:tc>
      </w:tr>
      <w:tr w:rsidR="00D008E5" w:rsidRPr="001B0EAE" w14:paraId="34074EA1" w14:textId="77777777" w:rsidTr="00D008E5">
        <w:trPr>
          <w:cnfStyle w:val="000000010000" w:firstRow="0" w:lastRow="0" w:firstColumn="0" w:lastColumn="0" w:oddVBand="0" w:evenVBand="0" w:oddHBand="0" w:evenHBand="1" w:firstRowFirstColumn="0" w:firstRowLastColumn="0" w:lastRowFirstColumn="0" w:lastRowLastColumn="0"/>
          <w:trHeight w:val="1825"/>
        </w:trPr>
        <w:tc>
          <w:tcPr>
            <w:tcW w:w="1704" w:type="dxa"/>
            <w:vAlign w:val="center"/>
            <w:hideMark/>
          </w:tcPr>
          <w:p w14:paraId="78A84381" w14:textId="77777777" w:rsidR="00D008E5" w:rsidRPr="001B0EAE" w:rsidRDefault="00D008E5" w:rsidP="00D008E5">
            <w:pPr>
              <w:rPr>
                <w:rFonts w:ascii="Arial" w:hAnsi="Arial" w:cs="Arial"/>
                <w:sz w:val="20"/>
                <w:szCs w:val="20"/>
              </w:rPr>
            </w:pPr>
            <w:r w:rsidRPr="001B0EAE">
              <w:rPr>
                <w:rFonts w:ascii="Arial" w:hAnsi="Arial" w:cs="Arial"/>
                <w:sz w:val="20"/>
                <w:szCs w:val="20"/>
              </w:rPr>
              <w:t>Multidisciplinary projects related to sustainable futures</w:t>
            </w:r>
          </w:p>
        </w:tc>
        <w:tc>
          <w:tcPr>
            <w:tcW w:w="1410" w:type="dxa"/>
            <w:vAlign w:val="center"/>
            <w:hideMark/>
          </w:tcPr>
          <w:p w14:paraId="6A329F53" w14:textId="2660FA35" w:rsidR="00D008E5" w:rsidRPr="001B0EAE" w:rsidRDefault="00D008E5" w:rsidP="00D008E5">
            <w:pPr>
              <w:rPr>
                <w:rFonts w:ascii="Arial" w:hAnsi="Arial" w:cs="Arial"/>
                <w:sz w:val="20"/>
                <w:szCs w:val="20"/>
              </w:rPr>
            </w:pPr>
            <w:r w:rsidRPr="0066001A">
              <w:rPr>
                <w:rFonts w:ascii="Arial" w:hAnsi="Arial" w:cs="Arial"/>
                <w:sz w:val="20"/>
                <w:szCs w:val="20"/>
              </w:rPr>
              <w:t xml:space="preserve">ACSRF 2011 JRC </w:t>
            </w:r>
            <w:r w:rsidRPr="0066001A">
              <w:rPr>
                <w:rFonts w:ascii="Arial" w:hAnsi="Arial" w:cs="Arial"/>
                <w:sz w:val="20"/>
                <w:szCs w:val="20"/>
              </w:rPr>
              <w:br/>
              <w:t>Round 1</w:t>
            </w:r>
          </w:p>
        </w:tc>
        <w:tc>
          <w:tcPr>
            <w:tcW w:w="2126" w:type="dxa"/>
            <w:vAlign w:val="center"/>
            <w:hideMark/>
          </w:tcPr>
          <w:p w14:paraId="33172FE9" w14:textId="77777777" w:rsidR="00D008E5" w:rsidRPr="001B0EAE" w:rsidRDefault="00D008E5" w:rsidP="00D008E5">
            <w:pPr>
              <w:rPr>
                <w:rFonts w:ascii="Arial" w:hAnsi="Arial" w:cs="Arial"/>
                <w:sz w:val="20"/>
                <w:szCs w:val="20"/>
              </w:rPr>
            </w:pPr>
            <w:r w:rsidRPr="001B0EAE">
              <w:rPr>
                <w:rFonts w:ascii="Arial" w:hAnsi="Arial" w:cs="Arial"/>
                <w:sz w:val="20"/>
                <w:szCs w:val="20"/>
              </w:rPr>
              <w:t>Australia-China Joint Research Centre for Minerals, Metallurgy and Materials (3-M Centre)</w:t>
            </w:r>
          </w:p>
        </w:tc>
        <w:tc>
          <w:tcPr>
            <w:tcW w:w="1218" w:type="dxa"/>
            <w:vAlign w:val="center"/>
            <w:hideMark/>
          </w:tcPr>
          <w:p w14:paraId="1B95C1AF" w14:textId="7D465A4E" w:rsidR="00D008E5" w:rsidRPr="001B0EAE" w:rsidRDefault="00D008E5" w:rsidP="00D008E5">
            <w:pPr>
              <w:rPr>
                <w:rFonts w:ascii="Arial" w:hAnsi="Arial" w:cs="Arial"/>
                <w:sz w:val="20"/>
                <w:szCs w:val="20"/>
              </w:rPr>
            </w:pPr>
            <w:r w:rsidRPr="001B0EAE">
              <w:rPr>
                <w:rFonts w:ascii="Arial" w:hAnsi="Arial" w:cs="Arial"/>
                <w:sz w:val="20"/>
                <w:szCs w:val="20"/>
              </w:rPr>
              <w:t xml:space="preserve">$833,000 </w:t>
            </w:r>
          </w:p>
        </w:tc>
        <w:tc>
          <w:tcPr>
            <w:tcW w:w="5431" w:type="dxa"/>
            <w:vAlign w:val="center"/>
            <w:hideMark/>
          </w:tcPr>
          <w:p w14:paraId="5B34075A" w14:textId="0091AD88" w:rsidR="00D008E5" w:rsidRPr="001B0EAE" w:rsidRDefault="00D008E5" w:rsidP="00D008E5">
            <w:pPr>
              <w:rPr>
                <w:rFonts w:ascii="Arial" w:hAnsi="Arial" w:cs="Arial"/>
                <w:sz w:val="20"/>
                <w:szCs w:val="20"/>
              </w:rPr>
            </w:pPr>
            <w:r w:rsidRPr="001B0EAE">
              <w:rPr>
                <w:rFonts w:ascii="Arial" w:hAnsi="Arial" w:cs="Arial"/>
                <w:sz w:val="20"/>
                <w:szCs w:val="20"/>
              </w:rPr>
              <w:t>This joint centre will provide a platform to foster interdisciplinary collaborations between Australia and China to meet the challenges in the mineral, metallurgy and material industries which are of paramount importance to Australia and China. It focuses the R&amp;D in raw material preparation, process metallurgy, material manufacturing and applications</w:t>
            </w:r>
          </w:p>
        </w:tc>
        <w:tc>
          <w:tcPr>
            <w:tcW w:w="1784" w:type="dxa"/>
            <w:vAlign w:val="center"/>
            <w:hideMark/>
          </w:tcPr>
          <w:p w14:paraId="760AEB0C" w14:textId="77777777" w:rsidR="00D008E5" w:rsidRPr="001B0EAE" w:rsidRDefault="00D008E5" w:rsidP="00D008E5">
            <w:pPr>
              <w:rPr>
                <w:rFonts w:ascii="Arial" w:hAnsi="Arial" w:cs="Arial"/>
                <w:sz w:val="20"/>
                <w:szCs w:val="20"/>
              </w:rPr>
            </w:pPr>
            <w:r w:rsidRPr="001B0EAE">
              <w:rPr>
                <w:rFonts w:ascii="Arial" w:hAnsi="Arial" w:cs="Arial"/>
                <w:sz w:val="20"/>
                <w:szCs w:val="20"/>
              </w:rPr>
              <w:t>The University of New South Wales</w:t>
            </w:r>
          </w:p>
        </w:tc>
        <w:tc>
          <w:tcPr>
            <w:tcW w:w="2021" w:type="dxa"/>
            <w:vAlign w:val="center"/>
            <w:hideMark/>
          </w:tcPr>
          <w:p w14:paraId="1BE82605" w14:textId="77777777" w:rsidR="00D008E5" w:rsidRPr="001B0EAE" w:rsidRDefault="00D008E5" w:rsidP="00D008E5">
            <w:pPr>
              <w:rPr>
                <w:rFonts w:ascii="Arial" w:hAnsi="Arial" w:cs="Arial"/>
                <w:sz w:val="20"/>
                <w:szCs w:val="20"/>
              </w:rPr>
            </w:pPr>
            <w:r w:rsidRPr="001B0EAE">
              <w:rPr>
                <w:rFonts w:ascii="Arial" w:hAnsi="Arial" w:cs="Arial"/>
                <w:sz w:val="20"/>
                <w:szCs w:val="20"/>
              </w:rPr>
              <w:t>China Iron and Steel Research Institute.</w:t>
            </w:r>
          </w:p>
        </w:tc>
      </w:tr>
      <w:tr w:rsidR="001B0EAE" w:rsidRPr="001B0EAE" w14:paraId="7E5CE49A" w14:textId="77777777" w:rsidTr="00D008E5">
        <w:trPr>
          <w:cnfStyle w:val="000000100000" w:firstRow="0" w:lastRow="0" w:firstColumn="0" w:lastColumn="0" w:oddVBand="0" w:evenVBand="0" w:oddHBand="1" w:evenHBand="0" w:firstRowFirstColumn="0" w:firstRowLastColumn="0" w:lastRowFirstColumn="0" w:lastRowLastColumn="0"/>
          <w:trHeight w:val="2263"/>
        </w:trPr>
        <w:tc>
          <w:tcPr>
            <w:tcW w:w="1704" w:type="dxa"/>
            <w:vAlign w:val="center"/>
            <w:hideMark/>
          </w:tcPr>
          <w:p w14:paraId="176054E7" w14:textId="77777777" w:rsidR="00476815" w:rsidRPr="001B0EAE" w:rsidRDefault="00476815" w:rsidP="00476815">
            <w:pPr>
              <w:rPr>
                <w:rFonts w:ascii="Arial" w:hAnsi="Arial" w:cs="Arial"/>
                <w:sz w:val="20"/>
                <w:szCs w:val="20"/>
              </w:rPr>
            </w:pPr>
            <w:r w:rsidRPr="001B0EAE">
              <w:rPr>
                <w:rFonts w:ascii="Arial" w:hAnsi="Arial" w:cs="Arial"/>
                <w:sz w:val="20"/>
                <w:szCs w:val="20"/>
              </w:rPr>
              <w:lastRenderedPageBreak/>
              <w:t>Food and Agriculture</w:t>
            </w:r>
          </w:p>
        </w:tc>
        <w:tc>
          <w:tcPr>
            <w:tcW w:w="1410" w:type="dxa"/>
            <w:vAlign w:val="center"/>
            <w:hideMark/>
          </w:tcPr>
          <w:p w14:paraId="65A5D04C" w14:textId="5E0DB297" w:rsidR="00476815" w:rsidRPr="001B0EAE" w:rsidRDefault="00476815" w:rsidP="00476815">
            <w:pPr>
              <w:rPr>
                <w:rFonts w:ascii="Arial" w:hAnsi="Arial" w:cs="Arial"/>
                <w:sz w:val="20"/>
                <w:szCs w:val="20"/>
              </w:rPr>
            </w:pPr>
            <w:r w:rsidRPr="001B0EAE">
              <w:rPr>
                <w:rFonts w:ascii="Arial" w:hAnsi="Arial" w:cs="Arial"/>
                <w:sz w:val="20"/>
                <w:szCs w:val="20"/>
              </w:rPr>
              <w:t xml:space="preserve">ACSRF 2015 JRC </w:t>
            </w:r>
            <w:r w:rsidR="00D008E5">
              <w:rPr>
                <w:rFonts w:ascii="Arial" w:hAnsi="Arial" w:cs="Arial"/>
                <w:sz w:val="20"/>
                <w:szCs w:val="20"/>
              </w:rPr>
              <w:t xml:space="preserve">   </w:t>
            </w:r>
            <w:r w:rsidRPr="001B0EAE">
              <w:rPr>
                <w:rFonts w:ascii="Arial" w:hAnsi="Arial" w:cs="Arial"/>
                <w:sz w:val="20"/>
                <w:szCs w:val="20"/>
              </w:rPr>
              <w:t>Round 2</w:t>
            </w:r>
          </w:p>
        </w:tc>
        <w:tc>
          <w:tcPr>
            <w:tcW w:w="2126" w:type="dxa"/>
            <w:vAlign w:val="center"/>
            <w:hideMark/>
          </w:tcPr>
          <w:p w14:paraId="2534DE29" w14:textId="77777777" w:rsidR="00476815" w:rsidRPr="001B0EAE" w:rsidRDefault="00476815" w:rsidP="00476815">
            <w:pPr>
              <w:rPr>
                <w:rFonts w:ascii="Arial" w:hAnsi="Arial" w:cs="Arial"/>
                <w:sz w:val="20"/>
                <w:szCs w:val="20"/>
              </w:rPr>
            </w:pPr>
            <w:r w:rsidRPr="001B0EAE">
              <w:rPr>
                <w:rFonts w:ascii="Arial" w:hAnsi="Arial" w:cs="Arial"/>
                <w:sz w:val="20"/>
                <w:szCs w:val="20"/>
              </w:rPr>
              <w:t>Australia-China Joint Research Centre in Future Dairy Manufacturing</w:t>
            </w:r>
          </w:p>
        </w:tc>
        <w:tc>
          <w:tcPr>
            <w:tcW w:w="1218" w:type="dxa"/>
            <w:vAlign w:val="center"/>
            <w:hideMark/>
          </w:tcPr>
          <w:p w14:paraId="783B899B" w14:textId="0E0AEF5A" w:rsidR="00476815" w:rsidRPr="001B0EAE" w:rsidRDefault="00476815" w:rsidP="00476815">
            <w:pPr>
              <w:rPr>
                <w:rFonts w:ascii="Arial" w:hAnsi="Arial" w:cs="Arial"/>
                <w:sz w:val="20"/>
                <w:szCs w:val="20"/>
              </w:rPr>
            </w:pPr>
            <w:r w:rsidRPr="001B0EAE">
              <w:rPr>
                <w:rFonts w:ascii="Arial" w:hAnsi="Arial" w:cs="Arial"/>
                <w:sz w:val="20"/>
                <w:szCs w:val="20"/>
              </w:rPr>
              <w:t xml:space="preserve">$1,000,000 </w:t>
            </w:r>
          </w:p>
        </w:tc>
        <w:tc>
          <w:tcPr>
            <w:tcW w:w="5431" w:type="dxa"/>
            <w:vAlign w:val="center"/>
            <w:hideMark/>
          </w:tcPr>
          <w:p w14:paraId="1F1B00C9" w14:textId="6FBAFD77" w:rsidR="00476815" w:rsidRPr="001B0EAE" w:rsidRDefault="00476815" w:rsidP="00476815">
            <w:pPr>
              <w:rPr>
                <w:rFonts w:ascii="Arial" w:hAnsi="Arial" w:cs="Arial"/>
                <w:sz w:val="20"/>
                <w:szCs w:val="20"/>
              </w:rPr>
            </w:pPr>
            <w:r w:rsidRPr="001B0EAE">
              <w:rPr>
                <w:rFonts w:ascii="Arial" w:hAnsi="Arial" w:cs="Arial"/>
                <w:sz w:val="20"/>
                <w:szCs w:val="20"/>
              </w:rPr>
              <w:t>China is the most important market for the pivotal Australian dairy industry. With increasing demand in China for consumer-ready dairy products and the recent free trade agreement, the Australian dairy industry is well-positioned to massively grow our current 7% share of the market. This Joint Research Centre will provide the dairy industry with manufacturing process efficiencies and new high-value products, developing a strong link between Australia and the large distribution network in China</w:t>
            </w:r>
          </w:p>
        </w:tc>
        <w:tc>
          <w:tcPr>
            <w:tcW w:w="1784" w:type="dxa"/>
            <w:vAlign w:val="center"/>
            <w:hideMark/>
          </w:tcPr>
          <w:p w14:paraId="69F9F410" w14:textId="77777777" w:rsidR="00476815" w:rsidRPr="001B0EAE" w:rsidRDefault="00476815" w:rsidP="00476815">
            <w:pPr>
              <w:rPr>
                <w:rFonts w:ascii="Arial" w:hAnsi="Arial" w:cs="Arial"/>
                <w:sz w:val="20"/>
                <w:szCs w:val="20"/>
              </w:rPr>
            </w:pPr>
            <w:r w:rsidRPr="001B0EAE">
              <w:rPr>
                <w:rFonts w:ascii="Arial" w:hAnsi="Arial" w:cs="Arial"/>
                <w:sz w:val="20"/>
                <w:szCs w:val="20"/>
              </w:rPr>
              <w:t>Monash University</w:t>
            </w:r>
          </w:p>
        </w:tc>
        <w:tc>
          <w:tcPr>
            <w:tcW w:w="2021" w:type="dxa"/>
            <w:vAlign w:val="center"/>
            <w:hideMark/>
          </w:tcPr>
          <w:p w14:paraId="3514E9DF" w14:textId="77777777" w:rsidR="00476815" w:rsidRPr="001B0EAE" w:rsidRDefault="00476815" w:rsidP="00476815">
            <w:pPr>
              <w:rPr>
                <w:rFonts w:ascii="Arial" w:hAnsi="Arial" w:cs="Arial"/>
                <w:sz w:val="20"/>
                <w:szCs w:val="20"/>
              </w:rPr>
            </w:pPr>
            <w:r w:rsidRPr="001B0EAE">
              <w:rPr>
                <w:rFonts w:ascii="Arial" w:hAnsi="Arial" w:cs="Arial"/>
                <w:sz w:val="20"/>
                <w:szCs w:val="20"/>
              </w:rPr>
              <w:t>Soochow University</w:t>
            </w:r>
          </w:p>
        </w:tc>
      </w:tr>
      <w:tr w:rsidR="00D008E5" w:rsidRPr="001B0EAE" w14:paraId="46BFAAC5" w14:textId="77777777" w:rsidTr="00D008E5">
        <w:trPr>
          <w:cnfStyle w:val="000000010000" w:firstRow="0" w:lastRow="0" w:firstColumn="0" w:lastColumn="0" w:oddVBand="0" w:evenVBand="0" w:oddHBand="0" w:evenHBand="1" w:firstRowFirstColumn="0" w:firstRowLastColumn="0" w:lastRowFirstColumn="0" w:lastRowLastColumn="0"/>
          <w:trHeight w:val="2278"/>
        </w:trPr>
        <w:tc>
          <w:tcPr>
            <w:tcW w:w="1704" w:type="dxa"/>
            <w:vAlign w:val="center"/>
            <w:hideMark/>
          </w:tcPr>
          <w:p w14:paraId="4CBAEAEB" w14:textId="77777777" w:rsidR="00D008E5" w:rsidRPr="001B0EAE" w:rsidRDefault="00D008E5" w:rsidP="00D008E5">
            <w:pPr>
              <w:rPr>
                <w:rFonts w:ascii="Arial" w:hAnsi="Arial" w:cs="Arial"/>
                <w:sz w:val="20"/>
                <w:szCs w:val="20"/>
              </w:rPr>
            </w:pPr>
            <w:r w:rsidRPr="001B0EAE">
              <w:rPr>
                <w:rFonts w:ascii="Arial" w:hAnsi="Arial" w:cs="Arial"/>
                <w:sz w:val="20"/>
                <w:szCs w:val="20"/>
              </w:rPr>
              <w:t>Food and Agriculture</w:t>
            </w:r>
          </w:p>
        </w:tc>
        <w:tc>
          <w:tcPr>
            <w:tcW w:w="1410" w:type="dxa"/>
            <w:vAlign w:val="center"/>
            <w:hideMark/>
          </w:tcPr>
          <w:p w14:paraId="39D326B1" w14:textId="48E89344" w:rsidR="00D008E5" w:rsidRPr="001B0EAE" w:rsidRDefault="00D008E5" w:rsidP="00D008E5">
            <w:pPr>
              <w:rPr>
                <w:rFonts w:ascii="Arial" w:hAnsi="Arial" w:cs="Arial"/>
                <w:sz w:val="20"/>
                <w:szCs w:val="20"/>
              </w:rPr>
            </w:pPr>
            <w:r w:rsidRPr="001B0EAE">
              <w:rPr>
                <w:rFonts w:ascii="Arial" w:hAnsi="Arial" w:cs="Arial"/>
                <w:sz w:val="20"/>
                <w:szCs w:val="20"/>
              </w:rPr>
              <w:t xml:space="preserve">ACSRF 2015 JRC </w:t>
            </w:r>
            <w:r>
              <w:rPr>
                <w:rFonts w:ascii="Arial" w:hAnsi="Arial" w:cs="Arial"/>
                <w:sz w:val="20"/>
                <w:szCs w:val="20"/>
              </w:rPr>
              <w:t xml:space="preserve">   </w:t>
            </w:r>
            <w:r w:rsidRPr="001B0EAE">
              <w:rPr>
                <w:rFonts w:ascii="Arial" w:hAnsi="Arial" w:cs="Arial"/>
                <w:sz w:val="20"/>
                <w:szCs w:val="20"/>
              </w:rPr>
              <w:t>Round 2</w:t>
            </w:r>
          </w:p>
        </w:tc>
        <w:tc>
          <w:tcPr>
            <w:tcW w:w="2126" w:type="dxa"/>
            <w:vAlign w:val="center"/>
            <w:hideMark/>
          </w:tcPr>
          <w:p w14:paraId="74802EA9" w14:textId="77777777" w:rsidR="00D008E5" w:rsidRPr="001B0EAE" w:rsidRDefault="00D008E5" w:rsidP="00D008E5">
            <w:pPr>
              <w:rPr>
                <w:rFonts w:ascii="Arial" w:hAnsi="Arial" w:cs="Arial"/>
                <w:sz w:val="20"/>
                <w:szCs w:val="20"/>
              </w:rPr>
            </w:pPr>
            <w:r w:rsidRPr="001B0EAE">
              <w:rPr>
                <w:rFonts w:ascii="Arial" w:hAnsi="Arial" w:cs="Arial"/>
                <w:sz w:val="20"/>
                <w:szCs w:val="20"/>
              </w:rPr>
              <w:t>Australia-China Joint Centre of Grains for Health</w:t>
            </w:r>
          </w:p>
        </w:tc>
        <w:tc>
          <w:tcPr>
            <w:tcW w:w="1218" w:type="dxa"/>
            <w:vAlign w:val="center"/>
            <w:hideMark/>
          </w:tcPr>
          <w:p w14:paraId="748B0BD8" w14:textId="40C26087" w:rsidR="00D008E5" w:rsidRPr="001B0EAE" w:rsidRDefault="00D008E5" w:rsidP="00D008E5">
            <w:pPr>
              <w:rPr>
                <w:rFonts w:ascii="Arial" w:hAnsi="Arial" w:cs="Arial"/>
                <w:sz w:val="20"/>
                <w:szCs w:val="20"/>
              </w:rPr>
            </w:pPr>
            <w:r w:rsidRPr="001B0EAE">
              <w:rPr>
                <w:rFonts w:ascii="Arial" w:hAnsi="Arial" w:cs="Arial"/>
                <w:sz w:val="20"/>
                <w:szCs w:val="20"/>
              </w:rPr>
              <w:t xml:space="preserve">$1,000,000 </w:t>
            </w:r>
          </w:p>
        </w:tc>
        <w:tc>
          <w:tcPr>
            <w:tcW w:w="5431" w:type="dxa"/>
            <w:vAlign w:val="center"/>
            <w:hideMark/>
          </w:tcPr>
          <w:p w14:paraId="15524074" w14:textId="739AADDF" w:rsidR="00D008E5" w:rsidRPr="001B0EAE" w:rsidRDefault="00D008E5" w:rsidP="00D008E5">
            <w:pPr>
              <w:rPr>
                <w:rFonts w:ascii="Arial" w:hAnsi="Arial" w:cs="Arial"/>
                <w:sz w:val="20"/>
                <w:szCs w:val="20"/>
              </w:rPr>
            </w:pPr>
            <w:r w:rsidRPr="001B0EAE">
              <w:rPr>
                <w:rFonts w:ascii="Arial" w:hAnsi="Arial" w:cs="Arial"/>
                <w:sz w:val="20"/>
                <w:szCs w:val="20"/>
              </w:rPr>
              <w:t>Grains are the most valuable output of the Australia agricultural sector. Grains and oilseeds contributed 33% of Australia’s $42.8 billion farm and fish food production, and 35% of $31.8 billion agricultural product exports (Australian Bureau of Statistics). The Joint Research Centre of Grains for Health will develop cereal grains with health-promoting properties to minimize non-communicable diseases and maximize nutritional value for the benefit of both Australian and Chinese populations.</w:t>
            </w:r>
          </w:p>
        </w:tc>
        <w:tc>
          <w:tcPr>
            <w:tcW w:w="1784" w:type="dxa"/>
            <w:vAlign w:val="center"/>
            <w:hideMark/>
          </w:tcPr>
          <w:p w14:paraId="0F7F53AC" w14:textId="77777777" w:rsidR="00D008E5" w:rsidRPr="001B0EAE" w:rsidRDefault="00D008E5" w:rsidP="00D008E5">
            <w:pPr>
              <w:rPr>
                <w:rFonts w:ascii="Arial" w:hAnsi="Arial" w:cs="Arial"/>
                <w:sz w:val="20"/>
                <w:szCs w:val="20"/>
              </w:rPr>
            </w:pPr>
            <w:r w:rsidRPr="001B0EAE">
              <w:rPr>
                <w:rFonts w:ascii="Arial" w:hAnsi="Arial" w:cs="Arial"/>
                <w:sz w:val="20"/>
                <w:szCs w:val="20"/>
              </w:rPr>
              <w:t>The University of Adelaide</w:t>
            </w:r>
          </w:p>
        </w:tc>
        <w:tc>
          <w:tcPr>
            <w:tcW w:w="2021" w:type="dxa"/>
            <w:vAlign w:val="center"/>
            <w:hideMark/>
          </w:tcPr>
          <w:p w14:paraId="22B9A36F" w14:textId="77777777" w:rsidR="00D008E5" w:rsidRPr="001B0EAE" w:rsidRDefault="00D008E5" w:rsidP="00D008E5">
            <w:pPr>
              <w:rPr>
                <w:rFonts w:ascii="Arial" w:hAnsi="Arial" w:cs="Arial"/>
                <w:sz w:val="20"/>
                <w:szCs w:val="20"/>
              </w:rPr>
            </w:pPr>
            <w:r w:rsidRPr="001B0EAE">
              <w:rPr>
                <w:rFonts w:ascii="Arial" w:hAnsi="Arial" w:cs="Arial"/>
                <w:sz w:val="20"/>
                <w:szCs w:val="20"/>
              </w:rPr>
              <w:t>Shanghai Jiao Tong University</w:t>
            </w:r>
          </w:p>
        </w:tc>
      </w:tr>
      <w:tr w:rsidR="00D008E5" w:rsidRPr="001B0EAE" w14:paraId="62BB587B" w14:textId="77777777" w:rsidTr="00D008E5">
        <w:trPr>
          <w:cnfStyle w:val="000000100000" w:firstRow="0" w:lastRow="0" w:firstColumn="0" w:lastColumn="0" w:oddVBand="0" w:evenVBand="0" w:oddHBand="1" w:evenHBand="0" w:firstRowFirstColumn="0" w:firstRowLastColumn="0" w:lastRowFirstColumn="0" w:lastRowLastColumn="0"/>
          <w:trHeight w:val="2392"/>
        </w:trPr>
        <w:tc>
          <w:tcPr>
            <w:tcW w:w="1704" w:type="dxa"/>
            <w:vAlign w:val="center"/>
            <w:hideMark/>
          </w:tcPr>
          <w:p w14:paraId="4207326A" w14:textId="77777777" w:rsidR="00D008E5" w:rsidRPr="001B0EAE" w:rsidRDefault="00D008E5" w:rsidP="00D008E5">
            <w:pPr>
              <w:rPr>
                <w:rFonts w:ascii="Arial" w:hAnsi="Arial" w:cs="Arial"/>
                <w:sz w:val="20"/>
                <w:szCs w:val="20"/>
              </w:rPr>
            </w:pPr>
            <w:r w:rsidRPr="001B0EAE">
              <w:rPr>
                <w:rFonts w:ascii="Arial" w:hAnsi="Arial" w:cs="Arial"/>
                <w:sz w:val="20"/>
                <w:szCs w:val="20"/>
              </w:rPr>
              <w:t>Food and Agriculture</w:t>
            </w:r>
          </w:p>
        </w:tc>
        <w:tc>
          <w:tcPr>
            <w:tcW w:w="1410" w:type="dxa"/>
            <w:vAlign w:val="center"/>
            <w:hideMark/>
          </w:tcPr>
          <w:p w14:paraId="2925E719" w14:textId="0099F697" w:rsidR="00D008E5" w:rsidRPr="001B0EAE" w:rsidRDefault="00D008E5" w:rsidP="00D008E5">
            <w:pPr>
              <w:rPr>
                <w:rFonts w:ascii="Arial" w:hAnsi="Arial" w:cs="Arial"/>
                <w:sz w:val="20"/>
                <w:szCs w:val="20"/>
              </w:rPr>
            </w:pPr>
            <w:r w:rsidRPr="001B0EAE">
              <w:rPr>
                <w:rFonts w:ascii="Arial" w:hAnsi="Arial" w:cs="Arial"/>
                <w:sz w:val="20"/>
                <w:szCs w:val="20"/>
              </w:rPr>
              <w:t xml:space="preserve">ACSRF 2015 JRC </w:t>
            </w:r>
            <w:r>
              <w:rPr>
                <w:rFonts w:ascii="Arial" w:hAnsi="Arial" w:cs="Arial"/>
                <w:sz w:val="20"/>
                <w:szCs w:val="20"/>
              </w:rPr>
              <w:t xml:space="preserve">   </w:t>
            </w:r>
            <w:r w:rsidRPr="001B0EAE">
              <w:rPr>
                <w:rFonts w:ascii="Arial" w:hAnsi="Arial" w:cs="Arial"/>
                <w:sz w:val="20"/>
                <w:szCs w:val="20"/>
              </w:rPr>
              <w:t>Round 2</w:t>
            </w:r>
          </w:p>
        </w:tc>
        <w:tc>
          <w:tcPr>
            <w:tcW w:w="2126" w:type="dxa"/>
            <w:vAlign w:val="center"/>
            <w:hideMark/>
          </w:tcPr>
          <w:p w14:paraId="2E1F74B6" w14:textId="77777777" w:rsidR="00D008E5" w:rsidRPr="001B0EAE" w:rsidRDefault="00D008E5" w:rsidP="00D008E5">
            <w:pPr>
              <w:rPr>
                <w:rFonts w:ascii="Arial" w:hAnsi="Arial" w:cs="Arial"/>
                <w:sz w:val="20"/>
                <w:szCs w:val="20"/>
              </w:rPr>
            </w:pPr>
            <w:r w:rsidRPr="001B0EAE">
              <w:rPr>
                <w:rFonts w:ascii="Arial" w:hAnsi="Arial" w:cs="Arial"/>
                <w:sz w:val="20"/>
                <w:szCs w:val="20"/>
              </w:rPr>
              <w:t>Australia-China Joint Research Centre of Healthy Soils for Sustainable Food Production and Environmental Quality</w:t>
            </w:r>
          </w:p>
        </w:tc>
        <w:tc>
          <w:tcPr>
            <w:tcW w:w="1218" w:type="dxa"/>
            <w:vAlign w:val="center"/>
            <w:hideMark/>
          </w:tcPr>
          <w:p w14:paraId="07CD40AA" w14:textId="57F8FBA9" w:rsidR="00D008E5" w:rsidRPr="001B0EAE" w:rsidRDefault="00D008E5" w:rsidP="00D008E5">
            <w:pPr>
              <w:rPr>
                <w:rFonts w:ascii="Arial" w:hAnsi="Arial" w:cs="Arial"/>
                <w:sz w:val="20"/>
                <w:szCs w:val="20"/>
              </w:rPr>
            </w:pPr>
            <w:r w:rsidRPr="001B0EAE">
              <w:rPr>
                <w:rFonts w:ascii="Arial" w:hAnsi="Arial" w:cs="Arial"/>
                <w:sz w:val="20"/>
                <w:szCs w:val="20"/>
              </w:rPr>
              <w:t xml:space="preserve">$1,000,000 </w:t>
            </w:r>
          </w:p>
        </w:tc>
        <w:tc>
          <w:tcPr>
            <w:tcW w:w="5431" w:type="dxa"/>
            <w:vAlign w:val="center"/>
            <w:hideMark/>
          </w:tcPr>
          <w:p w14:paraId="6836655D" w14:textId="100D421F" w:rsidR="00D008E5" w:rsidRPr="001B0EAE" w:rsidRDefault="00D008E5" w:rsidP="00D008E5">
            <w:pPr>
              <w:rPr>
                <w:rFonts w:ascii="Arial" w:hAnsi="Arial" w:cs="Arial"/>
                <w:sz w:val="20"/>
                <w:szCs w:val="20"/>
              </w:rPr>
            </w:pPr>
            <w:r w:rsidRPr="001B0EAE">
              <w:rPr>
                <w:rFonts w:ascii="Arial" w:hAnsi="Arial" w:cs="Arial"/>
                <w:sz w:val="20"/>
                <w:szCs w:val="20"/>
              </w:rPr>
              <w:t>Soil is an integral component of the supply chain for food, fibre, and fresh water. The Centre will focus on soil resilience to threats such as drought, degradation and climate variability. It builds on existing collaborations between the Universities of Melbourne, Western Australia and New England, leading Chinese Universities and Institutes, CSIRO, Industry, and Government, and responds to an expressed industry need for improved soil sustainability and related food security tools.</w:t>
            </w:r>
          </w:p>
        </w:tc>
        <w:tc>
          <w:tcPr>
            <w:tcW w:w="1784" w:type="dxa"/>
            <w:vAlign w:val="center"/>
            <w:hideMark/>
          </w:tcPr>
          <w:p w14:paraId="09DB960D" w14:textId="77777777" w:rsidR="00D008E5" w:rsidRPr="001B0EAE" w:rsidRDefault="00D008E5" w:rsidP="00D008E5">
            <w:pPr>
              <w:rPr>
                <w:rFonts w:ascii="Arial" w:hAnsi="Arial" w:cs="Arial"/>
                <w:sz w:val="20"/>
                <w:szCs w:val="20"/>
              </w:rPr>
            </w:pPr>
            <w:r w:rsidRPr="001B0EAE">
              <w:rPr>
                <w:rFonts w:ascii="Arial" w:hAnsi="Arial" w:cs="Arial"/>
                <w:sz w:val="20"/>
                <w:szCs w:val="20"/>
              </w:rPr>
              <w:t>The University of Melbourne</w:t>
            </w:r>
          </w:p>
        </w:tc>
        <w:tc>
          <w:tcPr>
            <w:tcW w:w="2021" w:type="dxa"/>
            <w:vAlign w:val="center"/>
            <w:hideMark/>
          </w:tcPr>
          <w:p w14:paraId="48182E77" w14:textId="77777777" w:rsidR="00D008E5" w:rsidRPr="001B0EAE" w:rsidRDefault="00D008E5" w:rsidP="00D008E5">
            <w:pPr>
              <w:rPr>
                <w:rFonts w:ascii="Arial" w:hAnsi="Arial" w:cs="Arial"/>
                <w:sz w:val="20"/>
                <w:szCs w:val="20"/>
              </w:rPr>
            </w:pPr>
            <w:r w:rsidRPr="001B0EAE">
              <w:rPr>
                <w:rFonts w:ascii="Arial" w:hAnsi="Arial" w:cs="Arial"/>
                <w:sz w:val="20"/>
                <w:szCs w:val="20"/>
              </w:rPr>
              <w:t>Chinese Agricultural University</w:t>
            </w:r>
          </w:p>
        </w:tc>
      </w:tr>
      <w:tr w:rsidR="00D008E5" w:rsidRPr="001B0EAE" w14:paraId="7777B6B5" w14:textId="77777777" w:rsidTr="00D008E5">
        <w:trPr>
          <w:cnfStyle w:val="000000010000" w:firstRow="0" w:lastRow="0" w:firstColumn="0" w:lastColumn="0" w:oddVBand="0" w:evenVBand="0" w:oddHBand="0" w:evenHBand="1" w:firstRowFirstColumn="0" w:firstRowLastColumn="0" w:lastRowFirstColumn="0" w:lastRowLastColumn="0"/>
          <w:trHeight w:val="2676"/>
        </w:trPr>
        <w:tc>
          <w:tcPr>
            <w:tcW w:w="1704" w:type="dxa"/>
            <w:vAlign w:val="center"/>
            <w:hideMark/>
          </w:tcPr>
          <w:p w14:paraId="483E4AF0" w14:textId="77777777" w:rsidR="00D008E5" w:rsidRPr="001B0EAE" w:rsidRDefault="00D008E5" w:rsidP="00D008E5">
            <w:pPr>
              <w:rPr>
                <w:rFonts w:ascii="Arial" w:hAnsi="Arial" w:cs="Arial"/>
                <w:sz w:val="20"/>
                <w:szCs w:val="20"/>
              </w:rPr>
            </w:pPr>
            <w:r w:rsidRPr="001B0EAE">
              <w:rPr>
                <w:rFonts w:ascii="Arial" w:hAnsi="Arial" w:cs="Arial"/>
                <w:sz w:val="20"/>
                <w:szCs w:val="20"/>
              </w:rPr>
              <w:lastRenderedPageBreak/>
              <w:t>Marine Science</w:t>
            </w:r>
          </w:p>
        </w:tc>
        <w:tc>
          <w:tcPr>
            <w:tcW w:w="1410" w:type="dxa"/>
            <w:vAlign w:val="center"/>
            <w:hideMark/>
          </w:tcPr>
          <w:p w14:paraId="18CDB461" w14:textId="64544820" w:rsidR="00D008E5" w:rsidRPr="001B0EAE" w:rsidRDefault="00D008E5" w:rsidP="00D008E5">
            <w:pPr>
              <w:rPr>
                <w:rFonts w:ascii="Arial" w:hAnsi="Arial" w:cs="Arial"/>
                <w:sz w:val="20"/>
                <w:szCs w:val="20"/>
              </w:rPr>
            </w:pPr>
            <w:r w:rsidRPr="001B0EAE">
              <w:rPr>
                <w:rFonts w:ascii="Arial" w:hAnsi="Arial" w:cs="Arial"/>
                <w:sz w:val="20"/>
                <w:szCs w:val="20"/>
              </w:rPr>
              <w:t xml:space="preserve">ACSRF 2015 JRC </w:t>
            </w:r>
            <w:r>
              <w:rPr>
                <w:rFonts w:ascii="Arial" w:hAnsi="Arial" w:cs="Arial"/>
                <w:sz w:val="20"/>
                <w:szCs w:val="20"/>
              </w:rPr>
              <w:t xml:space="preserve">   </w:t>
            </w:r>
            <w:r w:rsidRPr="001B0EAE">
              <w:rPr>
                <w:rFonts w:ascii="Arial" w:hAnsi="Arial" w:cs="Arial"/>
                <w:sz w:val="20"/>
                <w:szCs w:val="20"/>
              </w:rPr>
              <w:t>Round 2</w:t>
            </w:r>
          </w:p>
        </w:tc>
        <w:tc>
          <w:tcPr>
            <w:tcW w:w="2126" w:type="dxa"/>
            <w:vAlign w:val="center"/>
            <w:hideMark/>
          </w:tcPr>
          <w:p w14:paraId="268DA2E4" w14:textId="77777777" w:rsidR="00D008E5" w:rsidRPr="001B0EAE" w:rsidRDefault="00D008E5" w:rsidP="00D008E5">
            <w:pPr>
              <w:rPr>
                <w:rFonts w:ascii="Arial" w:hAnsi="Arial" w:cs="Arial"/>
                <w:sz w:val="20"/>
                <w:szCs w:val="20"/>
              </w:rPr>
            </w:pPr>
            <w:r w:rsidRPr="001B0EAE">
              <w:rPr>
                <w:rFonts w:ascii="Arial" w:hAnsi="Arial" w:cs="Arial"/>
                <w:sz w:val="20"/>
                <w:szCs w:val="20"/>
              </w:rPr>
              <w:t>Sino-Australian Centre for Healthy Coasts  a centre focused on the translation of data, information and models into management solutions for coastal pollution and ecosystem safety</w:t>
            </w:r>
          </w:p>
        </w:tc>
        <w:tc>
          <w:tcPr>
            <w:tcW w:w="1218" w:type="dxa"/>
            <w:vAlign w:val="center"/>
            <w:hideMark/>
          </w:tcPr>
          <w:p w14:paraId="22AEBA67" w14:textId="4E8D5784" w:rsidR="00D008E5" w:rsidRPr="001B0EAE" w:rsidRDefault="00D008E5" w:rsidP="00D008E5">
            <w:pPr>
              <w:rPr>
                <w:rFonts w:ascii="Arial" w:hAnsi="Arial" w:cs="Arial"/>
                <w:sz w:val="20"/>
                <w:szCs w:val="20"/>
              </w:rPr>
            </w:pPr>
            <w:r w:rsidRPr="001B0EAE">
              <w:rPr>
                <w:rFonts w:ascii="Arial" w:hAnsi="Arial" w:cs="Arial"/>
                <w:sz w:val="20"/>
                <w:szCs w:val="20"/>
              </w:rPr>
              <w:t xml:space="preserve">$999,999 </w:t>
            </w:r>
          </w:p>
        </w:tc>
        <w:tc>
          <w:tcPr>
            <w:tcW w:w="5431" w:type="dxa"/>
            <w:vAlign w:val="center"/>
            <w:hideMark/>
          </w:tcPr>
          <w:p w14:paraId="2431D664" w14:textId="67AE4759" w:rsidR="00D008E5" w:rsidRPr="001B0EAE" w:rsidRDefault="00D008E5" w:rsidP="00D008E5">
            <w:pPr>
              <w:rPr>
                <w:rFonts w:ascii="Arial" w:hAnsi="Arial" w:cs="Arial"/>
                <w:sz w:val="20"/>
                <w:szCs w:val="20"/>
              </w:rPr>
            </w:pPr>
            <w:r w:rsidRPr="001B0EAE">
              <w:rPr>
                <w:rFonts w:ascii="Arial" w:hAnsi="Arial" w:cs="Arial"/>
                <w:sz w:val="20"/>
                <w:szCs w:val="20"/>
              </w:rPr>
              <w:t>Managing multiuse coastal zones is a challenge for both China and Australia, with industrialisation, tourism, agriculture and aquaculture compounding pressures on coastal ecosystems. While both countries have invested in coastal observing and monitoring programs there remains an urgent need to bridge the gap between science and management actions. The JRC will develop novel approaches to integrate monitoring and models to develop practical management solutions for coastal regions.</w:t>
            </w:r>
          </w:p>
        </w:tc>
        <w:tc>
          <w:tcPr>
            <w:tcW w:w="1784" w:type="dxa"/>
            <w:vAlign w:val="center"/>
            <w:hideMark/>
          </w:tcPr>
          <w:p w14:paraId="26FA6D0E" w14:textId="77777777" w:rsidR="00D008E5" w:rsidRPr="001B0EAE" w:rsidRDefault="00D008E5" w:rsidP="00D008E5">
            <w:pPr>
              <w:rPr>
                <w:rFonts w:ascii="Arial" w:hAnsi="Arial" w:cs="Arial"/>
                <w:sz w:val="20"/>
                <w:szCs w:val="20"/>
              </w:rPr>
            </w:pPr>
            <w:r w:rsidRPr="001B0EAE">
              <w:rPr>
                <w:rFonts w:ascii="Arial" w:hAnsi="Arial" w:cs="Arial"/>
                <w:sz w:val="20"/>
                <w:szCs w:val="20"/>
              </w:rPr>
              <w:t>Australian Institute of Marine Science</w:t>
            </w:r>
          </w:p>
        </w:tc>
        <w:tc>
          <w:tcPr>
            <w:tcW w:w="2021" w:type="dxa"/>
            <w:vAlign w:val="center"/>
            <w:hideMark/>
          </w:tcPr>
          <w:p w14:paraId="70368ACC" w14:textId="77777777" w:rsidR="00D008E5" w:rsidRPr="001B0EAE" w:rsidRDefault="00D008E5" w:rsidP="00D008E5">
            <w:pPr>
              <w:rPr>
                <w:rFonts w:ascii="Arial" w:hAnsi="Arial" w:cs="Arial"/>
                <w:sz w:val="20"/>
                <w:szCs w:val="20"/>
              </w:rPr>
            </w:pPr>
            <w:r w:rsidRPr="001B0EAE">
              <w:rPr>
                <w:rFonts w:ascii="Arial" w:hAnsi="Arial" w:cs="Arial"/>
                <w:sz w:val="20"/>
                <w:szCs w:val="20"/>
              </w:rPr>
              <w:t>Institute of Oceanology, Chinese Academy of Science</w:t>
            </w:r>
          </w:p>
        </w:tc>
      </w:tr>
      <w:tr w:rsidR="00D008E5" w:rsidRPr="001B0EAE" w14:paraId="4207D158" w14:textId="77777777" w:rsidTr="00D008E5">
        <w:trPr>
          <w:cnfStyle w:val="000000100000" w:firstRow="0" w:lastRow="0" w:firstColumn="0" w:lastColumn="0" w:oddVBand="0" w:evenVBand="0" w:oddHBand="1" w:evenHBand="0" w:firstRowFirstColumn="0" w:firstRowLastColumn="0" w:lastRowFirstColumn="0" w:lastRowLastColumn="0"/>
          <w:trHeight w:val="2107"/>
        </w:trPr>
        <w:tc>
          <w:tcPr>
            <w:tcW w:w="1704" w:type="dxa"/>
            <w:vAlign w:val="center"/>
            <w:hideMark/>
          </w:tcPr>
          <w:p w14:paraId="46A92EAC" w14:textId="77777777" w:rsidR="00D008E5" w:rsidRPr="001B0EAE" w:rsidRDefault="00D008E5" w:rsidP="00D008E5">
            <w:pPr>
              <w:rPr>
                <w:rFonts w:ascii="Arial" w:hAnsi="Arial" w:cs="Arial"/>
                <w:sz w:val="20"/>
                <w:szCs w:val="20"/>
              </w:rPr>
            </w:pPr>
            <w:r w:rsidRPr="001B0EAE">
              <w:rPr>
                <w:rFonts w:ascii="Arial" w:hAnsi="Arial" w:cs="Arial"/>
                <w:sz w:val="20"/>
                <w:szCs w:val="20"/>
              </w:rPr>
              <w:t>Marine Science</w:t>
            </w:r>
          </w:p>
        </w:tc>
        <w:tc>
          <w:tcPr>
            <w:tcW w:w="1410" w:type="dxa"/>
            <w:vAlign w:val="center"/>
            <w:hideMark/>
          </w:tcPr>
          <w:p w14:paraId="63704C22" w14:textId="4A10251F" w:rsidR="00D008E5" w:rsidRPr="001B0EAE" w:rsidRDefault="00D008E5" w:rsidP="00D008E5">
            <w:pPr>
              <w:rPr>
                <w:rFonts w:ascii="Arial" w:hAnsi="Arial" w:cs="Arial"/>
                <w:sz w:val="20"/>
                <w:szCs w:val="20"/>
              </w:rPr>
            </w:pPr>
            <w:r w:rsidRPr="001B0EAE">
              <w:rPr>
                <w:rFonts w:ascii="Arial" w:hAnsi="Arial" w:cs="Arial"/>
                <w:sz w:val="20"/>
                <w:szCs w:val="20"/>
              </w:rPr>
              <w:t xml:space="preserve">ACSRF 2015 JRC </w:t>
            </w:r>
            <w:r>
              <w:rPr>
                <w:rFonts w:ascii="Arial" w:hAnsi="Arial" w:cs="Arial"/>
                <w:sz w:val="20"/>
                <w:szCs w:val="20"/>
              </w:rPr>
              <w:t xml:space="preserve">   </w:t>
            </w:r>
            <w:r w:rsidRPr="001B0EAE">
              <w:rPr>
                <w:rFonts w:ascii="Arial" w:hAnsi="Arial" w:cs="Arial"/>
                <w:sz w:val="20"/>
                <w:szCs w:val="20"/>
              </w:rPr>
              <w:t>Round 2</w:t>
            </w:r>
          </w:p>
        </w:tc>
        <w:tc>
          <w:tcPr>
            <w:tcW w:w="2126" w:type="dxa"/>
            <w:vAlign w:val="center"/>
            <w:hideMark/>
          </w:tcPr>
          <w:p w14:paraId="66259169" w14:textId="77777777" w:rsidR="00D008E5" w:rsidRPr="001B0EAE" w:rsidRDefault="00D008E5" w:rsidP="00D008E5">
            <w:pPr>
              <w:rPr>
                <w:rFonts w:ascii="Arial" w:hAnsi="Arial" w:cs="Arial"/>
                <w:sz w:val="20"/>
                <w:szCs w:val="20"/>
              </w:rPr>
            </w:pPr>
            <w:r w:rsidRPr="001B0EAE">
              <w:rPr>
                <w:rFonts w:ascii="Arial" w:hAnsi="Arial" w:cs="Arial"/>
                <w:sz w:val="20"/>
                <w:szCs w:val="20"/>
              </w:rPr>
              <w:t>Australia-China Joint Research  Centre for Maritime Engineering (ACCME)</w:t>
            </w:r>
          </w:p>
        </w:tc>
        <w:tc>
          <w:tcPr>
            <w:tcW w:w="1218" w:type="dxa"/>
            <w:vAlign w:val="center"/>
            <w:hideMark/>
          </w:tcPr>
          <w:p w14:paraId="4A4859E9" w14:textId="3DD80124" w:rsidR="00D008E5" w:rsidRPr="001B0EAE" w:rsidRDefault="00D008E5" w:rsidP="00D008E5">
            <w:pPr>
              <w:rPr>
                <w:rFonts w:ascii="Arial" w:hAnsi="Arial" w:cs="Arial"/>
                <w:sz w:val="20"/>
                <w:szCs w:val="20"/>
              </w:rPr>
            </w:pPr>
            <w:r w:rsidRPr="001B0EAE">
              <w:rPr>
                <w:rFonts w:ascii="Arial" w:hAnsi="Arial" w:cs="Arial"/>
                <w:sz w:val="20"/>
                <w:szCs w:val="20"/>
              </w:rPr>
              <w:t xml:space="preserve">$999,733 </w:t>
            </w:r>
          </w:p>
        </w:tc>
        <w:tc>
          <w:tcPr>
            <w:tcW w:w="5431" w:type="dxa"/>
            <w:vAlign w:val="center"/>
            <w:hideMark/>
          </w:tcPr>
          <w:p w14:paraId="54AE27A5" w14:textId="23F401FE" w:rsidR="00D008E5" w:rsidRPr="001B0EAE" w:rsidRDefault="00D008E5" w:rsidP="00D008E5">
            <w:pPr>
              <w:rPr>
                <w:rFonts w:ascii="Arial" w:hAnsi="Arial" w:cs="Arial"/>
                <w:sz w:val="20"/>
                <w:szCs w:val="20"/>
              </w:rPr>
            </w:pPr>
            <w:r w:rsidRPr="001B0EAE">
              <w:rPr>
                <w:rFonts w:ascii="Arial" w:hAnsi="Arial" w:cs="Arial"/>
                <w:sz w:val="20"/>
                <w:szCs w:val="20"/>
              </w:rPr>
              <w:t>The Australia-China Centre for Maritime Engineering (ACCME) aims to produce a new generation of models to more accurately forecast and describe ocean and wave behaviour. Bringing together the two leading international research groups in this area from Australia and China: this new knowledge would not only allow offshore industries to prepare and protect their ocean assets but also provide highly sophisticated modelling tools to predict ocean and wave climatology, extremes and trends</w:t>
            </w:r>
          </w:p>
        </w:tc>
        <w:tc>
          <w:tcPr>
            <w:tcW w:w="1784" w:type="dxa"/>
            <w:vAlign w:val="center"/>
            <w:hideMark/>
          </w:tcPr>
          <w:p w14:paraId="3833C347" w14:textId="77777777" w:rsidR="00D008E5" w:rsidRPr="001B0EAE" w:rsidRDefault="00D008E5" w:rsidP="00D008E5">
            <w:pPr>
              <w:rPr>
                <w:rFonts w:ascii="Arial" w:hAnsi="Arial" w:cs="Arial"/>
                <w:sz w:val="20"/>
                <w:szCs w:val="20"/>
              </w:rPr>
            </w:pPr>
            <w:r w:rsidRPr="001B0EAE">
              <w:rPr>
                <w:rFonts w:ascii="Arial" w:hAnsi="Arial" w:cs="Arial"/>
                <w:sz w:val="20"/>
                <w:szCs w:val="20"/>
              </w:rPr>
              <w:t>The University of Melbourne</w:t>
            </w:r>
          </w:p>
        </w:tc>
        <w:tc>
          <w:tcPr>
            <w:tcW w:w="2021" w:type="dxa"/>
            <w:vAlign w:val="center"/>
            <w:hideMark/>
          </w:tcPr>
          <w:p w14:paraId="34D74892" w14:textId="77777777" w:rsidR="00D008E5" w:rsidRPr="001B0EAE" w:rsidRDefault="00D008E5" w:rsidP="00D008E5">
            <w:pPr>
              <w:rPr>
                <w:rFonts w:ascii="Arial" w:hAnsi="Arial" w:cs="Arial"/>
                <w:sz w:val="20"/>
                <w:szCs w:val="20"/>
              </w:rPr>
            </w:pPr>
            <w:r w:rsidRPr="001B0EAE">
              <w:rPr>
                <w:rFonts w:ascii="Arial" w:hAnsi="Arial" w:cs="Arial"/>
                <w:sz w:val="20"/>
                <w:szCs w:val="20"/>
              </w:rPr>
              <w:t>First Institute of Oceanography of the State Oceanic Administrations</w:t>
            </w:r>
          </w:p>
        </w:tc>
      </w:tr>
      <w:tr w:rsidR="00D008E5" w:rsidRPr="001B0EAE" w14:paraId="76C01F1B" w14:textId="77777777" w:rsidTr="00D008E5">
        <w:trPr>
          <w:cnfStyle w:val="000000010000" w:firstRow="0" w:lastRow="0" w:firstColumn="0" w:lastColumn="0" w:oddVBand="0" w:evenVBand="0" w:oddHBand="0" w:evenHBand="1" w:firstRowFirstColumn="0" w:firstRowLastColumn="0" w:lastRowFirstColumn="0" w:lastRowLastColumn="0"/>
          <w:trHeight w:val="2276"/>
        </w:trPr>
        <w:tc>
          <w:tcPr>
            <w:tcW w:w="1704" w:type="dxa"/>
            <w:vAlign w:val="center"/>
            <w:hideMark/>
          </w:tcPr>
          <w:p w14:paraId="40F701AC" w14:textId="77777777" w:rsidR="00D008E5" w:rsidRPr="001B0EAE" w:rsidRDefault="00D008E5" w:rsidP="00D008E5">
            <w:pPr>
              <w:rPr>
                <w:rFonts w:ascii="Arial" w:hAnsi="Arial" w:cs="Arial"/>
                <w:sz w:val="20"/>
                <w:szCs w:val="20"/>
              </w:rPr>
            </w:pPr>
            <w:r w:rsidRPr="001B0EAE">
              <w:rPr>
                <w:rFonts w:ascii="Arial" w:hAnsi="Arial" w:cs="Arial"/>
                <w:sz w:val="20"/>
                <w:szCs w:val="20"/>
              </w:rPr>
              <w:t>Mining equipment, technology and services</w:t>
            </w:r>
          </w:p>
        </w:tc>
        <w:tc>
          <w:tcPr>
            <w:tcW w:w="1410" w:type="dxa"/>
            <w:vAlign w:val="center"/>
            <w:hideMark/>
          </w:tcPr>
          <w:p w14:paraId="5F08021E" w14:textId="38888CFE" w:rsidR="00D008E5" w:rsidRPr="001B0EAE" w:rsidRDefault="00D008E5" w:rsidP="00D008E5">
            <w:pPr>
              <w:rPr>
                <w:rFonts w:ascii="Arial" w:hAnsi="Arial" w:cs="Arial"/>
                <w:sz w:val="20"/>
                <w:szCs w:val="20"/>
              </w:rPr>
            </w:pPr>
            <w:r w:rsidRPr="001B0EAE">
              <w:rPr>
                <w:rFonts w:ascii="Arial" w:hAnsi="Arial" w:cs="Arial"/>
                <w:sz w:val="20"/>
                <w:szCs w:val="20"/>
              </w:rPr>
              <w:t xml:space="preserve">ACSRF 2015 JRC </w:t>
            </w:r>
            <w:r>
              <w:rPr>
                <w:rFonts w:ascii="Arial" w:hAnsi="Arial" w:cs="Arial"/>
                <w:sz w:val="20"/>
                <w:szCs w:val="20"/>
              </w:rPr>
              <w:t xml:space="preserve">   </w:t>
            </w:r>
            <w:r w:rsidRPr="001B0EAE">
              <w:rPr>
                <w:rFonts w:ascii="Arial" w:hAnsi="Arial" w:cs="Arial"/>
                <w:sz w:val="20"/>
                <w:szCs w:val="20"/>
              </w:rPr>
              <w:t>Round 2</w:t>
            </w:r>
          </w:p>
        </w:tc>
        <w:tc>
          <w:tcPr>
            <w:tcW w:w="2126" w:type="dxa"/>
            <w:vAlign w:val="center"/>
            <w:hideMark/>
          </w:tcPr>
          <w:p w14:paraId="5146228C" w14:textId="77777777" w:rsidR="00D008E5" w:rsidRPr="001B0EAE" w:rsidRDefault="00D008E5" w:rsidP="00D008E5">
            <w:pPr>
              <w:rPr>
                <w:rFonts w:ascii="Arial" w:hAnsi="Arial" w:cs="Arial"/>
                <w:sz w:val="20"/>
                <w:szCs w:val="20"/>
              </w:rPr>
            </w:pPr>
            <w:r w:rsidRPr="001B0EAE">
              <w:rPr>
                <w:rFonts w:ascii="Arial" w:hAnsi="Arial" w:cs="Arial"/>
                <w:sz w:val="20"/>
                <w:szCs w:val="20"/>
              </w:rPr>
              <w:t xml:space="preserve">Australia-China Joint Research Centre for In-Line Chemical and Mineral Sensing for Sustainable Mineral Processing </w:t>
            </w:r>
          </w:p>
        </w:tc>
        <w:tc>
          <w:tcPr>
            <w:tcW w:w="1218" w:type="dxa"/>
            <w:vAlign w:val="center"/>
            <w:hideMark/>
          </w:tcPr>
          <w:p w14:paraId="0AA8330C" w14:textId="6D01108A" w:rsidR="00D008E5" w:rsidRPr="001B0EAE" w:rsidRDefault="00D008E5" w:rsidP="00D008E5">
            <w:pPr>
              <w:rPr>
                <w:rFonts w:ascii="Arial" w:hAnsi="Arial" w:cs="Arial"/>
                <w:sz w:val="20"/>
                <w:szCs w:val="20"/>
              </w:rPr>
            </w:pPr>
            <w:r w:rsidRPr="001B0EAE">
              <w:rPr>
                <w:rFonts w:ascii="Arial" w:hAnsi="Arial" w:cs="Arial"/>
                <w:sz w:val="20"/>
                <w:szCs w:val="20"/>
              </w:rPr>
              <w:t xml:space="preserve">$951,000 </w:t>
            </w:r>
          </w:p>
        </w:tc>
        <w:tc>
          <w:tcPr>
            <w:tcW w:w="5431" w:type="dxa"/>
            <w:vAlign w:val="center"/>
            <w:hideMark/>
          </w:tcPr>
          <w:p w14:paraId="71BB1332" w14:textId="62FD2CE3" w:rsidR="00D008E5" w:rsidRPr="001B0EAE" w:rsidRDefault="00D008E5" w:rsidP="00D008E5">
            <w:pPr>
              <w:rPr>
                <w:rFonts w:ascii="Arial" w:hAnsi="Arial" w:cs="Arial"/>
                <w:sz w:val="20"/>
                <w:szCs w:val="20"/>
              </w:rPr>
            </w:pPr>
            <w:r w:rsidRPr="001B0EAE">
              <w:rPr>
                <w:rFonts w:ascii="Arial" w:hAnsi="Arial" w:cs="Arial"/>
                <w:sz w:val="20"/>
                <w:szCs w:val="20"/>
              </w:rPr>
              <w:t>The future sustainability of the mining industry requires that we be smarter in our processing of minerals. The ore deposits that host the valuable minerals are becoming more difficult to process, and this results in increased energy, water, and chemical use. The aim of this Centre is to enable miners to get more value for less effort, cost, and environmental impact through the use of novel sensors that tell them the mineral and chemical content at all stages of an extraction process.</w:t>
            </w:r>
          </w:p>
        </w:tc>
        <w:tc>
          <w:tcPr>
            <w:tcW w:w="1784" w:type="dxa"/>
            <w:vAlign w:val="center"/>
            <w:hideMark/>
          </w:tcPr>
          <w:p w14:paraId="30DC5C14" w14:textId="77777777" w:rsidR="00D008E5" w:rsidRPr="001B0EAE" w:rsidRDefault="00D008E5" w:rsidP="00D008E5">
            <w:pPr>
              <w:rPr>
                <w:rFonts w:ascii="Arial" w:hAnsi="Arial" w:cs="Arial"/>
                <w:sz w:val="20"/>
                <w:szCs w:val="20"/>
              </w:rPr>
            </w:pPr>
            <w:r w:rsidRPr="001B0EAE">
              <w:rPr>
                <w:rFonts w:ascii="Arial" w:hAnsi="Arial" w:cs="Arial"/>
                <w:sz w:val="20"/>
                <w:szCs w:val="20"/>
              </w:rPr>
              <w:t>University of South Australia</w:t>
            </w:r>
          </w:p>
        </w:tc>
        <w:tc>
          <w:tcPr>
            <w:tcW w:w="2021" w:type="dxa"/>
            <w:vAlign w:val="center"/>
            <w:hideMark/>
          </w:tcPr>
          <w:p w14:paraId="10C528EF" w14:textId="77777777" w:rsidR="00D008E5" w:rsidRPr="001B0EAE" w:rsidRDefault="00D008E5" w:rsidP="00D008E5">
            <w:pPr>
              <w:rPr>
                <w:rFonts w:ascii="Arial" w:hAnsi="Arial" w:cs="Arial"/>
                <w:sz w:val="20"/>
                <w:szCs w:val="20"/>
              </w:rPr>
            </w:pPr>
            <w:r w:rsidRPr="001B0EAE">
              <w:rPr>
                <w:rFonts w:ascii="Arial" w:hAnsi="Arial" w:cs="Arial"/>
                <w:sz w:val="20"/>
                <w:szCs w:val="20"/>
              </w:rPr>
              <w:t>Central South University</w:t>
            </w:r>
          </w:p>
        </w:tc>
      </w:tr>
    </w:tbl>
    <w:p w14:paraId="7AA4C154" w14:textId="50C9E844" w:rsidR="00AE08C5" w:rsidRPr="001B0EAE" w:rsidRDefault="00AE08C5" w:rsidP="00476815">
      <w:pPr>
        <w:pStyle w:val="ListParagraph"/>
        <w:rPr>
          <w:rFonts w:ascii="Arial" w:hAnsi="Arial" w:cs="Arial"/>
          <w:sz w:val="20"/>
          <w:szCs w:val="20"/>
        </w:rPr>
      </w:pPr>
    </w:p>
    <w:sectPr w:rsidR="00AE08C5" w:rsidRPr="001B0EAE" w:rsidSect="00A313EE">
      <w:pgSz w:w="16838" w:h="11906" w:orient="landscape"/>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73FFA"/>
    <w:multiLevelType w:val="hybridMultilevel"/>
    <w:tmpl w:val="3024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B05E06"/>
    <w:multiLevelType w:val="hybridMultilevel"/>
    <w:tmpl w:val="8DF0B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054057"/>
    <w:multiLevelType w:val="hybridMultilevel"/>
    <w:tmpl w:val="FFEE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B97D58"/>
    <w:multiLevelType w:val="hybridMultilevel"/>
    <w:tmpl w:val="C174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C5"/>
    <w:rsid w:val="001B0EAE"/>
    <w:rsid w:val="003B3CD1"/>
    <w:rsid w:val="00476815"/>
    <w:rsid w:val="00A313EE"/>
    <w:rsid w:val="00A95449"/>
    <w:rsid w:val="00AE08C5"/>
    <w:rsid w:val="00CE0D72"/>
    <w:rsid w:val="00D008E5"/>
    <w:rsid w:val="00E06B35"/>
    <w:rsid w:val="00E52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F3DD"/>
  <w15:chartTrackingRefBased/>
  <w15:docId w15:val="{0B8C9C52-3B76-4A1B-BD36-A56A98B9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C5"/>
    <w:pPr>
      <w:ind w:left="720"/>
      <w:contextualSpacing/>
    </w:pPr>
  </w:style>
  <w:style w:type="table" w:styleId="ListTable4-Accent2">
    <w:name w:val="List Table 4 Accent 2"/>
    <w:basedOn w:val="TableNormal"/>
    <w:uiPriority w:val="49"/>
    <w:rsid w:val="003B3CD1"/>
    <w:pPr>
      <w:spacing w:after="0" w:line="240" w:lineRule="auto"/>
    </w:pPr>
    <w:tblPr>
      <w:tblStyleRowBandSize w:val="1"/>
      <w:tblStyleColBandSize w:val="1"/>
      <w:tblBorders>
        <w:top w:val="single" w:sz="4" w:space="0" w:color="E6586C" w:themeColor="accent2" w:themeTint="99"/>
        <w:left w:val="single" w:sz="4" w:space="0" w:color="E6586C" w:themeColor="accent2" w:themeTint="99"/>
        <w:bottom w:val="single" w:sz="4" w:space="0" w:color="E6586C" w:themeColor="accent2" w:themeTint="99"/>
        <w:right w:val="single" w:sz="4" w:space="0" w:color="E6586C" w:themeColor="accent2" w:themeTint="99"/>
        <w:insideH w:val="single" w:sz="4" w:space="0" w:color="E6586C" w:themeColor="accent2" w:themeTint="99"/>
      </w:tblBorders>
    </w:tblPr>
    <w:tblStylePr w:type="firstRow">
      <w:rPr>
        <w:b/>
        <w:bCs/>
        <w:color w:val="FFFFFF" w:themeColor="background1"/>
      </w:rPr>
      <w:tblPr/>
      <w:tcPr>
        <w:tcBorders>
          <w:top w:val="single" w:sz="4" w:space="0" w:color="A6192E" w:themeColor="accent2"/>
          <w:left w:val="single" w:sz="4" w:space="0" w:color="A6192E" w:themeColor="accent2"/>
          <w:bottom w:val="single" w:sz="4" w:space="0" w:color="A6192E" w:themeColor="accent2"/>
          <w:right w:val="single" w:sz="4" w:space="0" w:color="A6192E" w:themeColor="accent2"/>
          <w:insideH w:val="nil"/>
        </w:tcBorders>
        <w:shd w:val="clear" w:color="auto" w:fill="A6192E" w:themeFill="accent2"/>
      </w:tcPr>
    </w:tblStylePr>
    <w:tblStylePr w:type="lastRow">
      <w:rPr>
        <w:b/>
        <w:bCs/>
      </w:rPr>
      <w:tblPr/>
      <w:tcPr>
        <w:tcBorders>
          <w:top w:val="double" w:sz="4" w:space="0" w:color="E6586C" w:themeColor="accent2" w:themeTint="99"/>
        </w:tcBorders>
      </w:tcPr>
    </w:tblStylePr>
    <w:tblStylePr w:type="firstCol">
      <w:rPr>
        <w:b/>
        <w:bCs/>
      </w:rPr>
    </w:tblStylePr>
    <w:tblStylePr w:type="lastCol">
      <w:rPr>
        <w:b/>
        <w:bCs/>
      </w:rPr>
    </w:tblStylePr>
    <w:tblStylePr w:type="band1Vert">
      <w:tblPr/>
      <w:tcPr>
        <w:shd w:val="clear" w:color="auto" w:fill="F6C7CE" w:themeFill="accent2" w:themeFillTint="33"/>
      </w:tcPr>
    </w:tblStylePr>
    <w:tblStylePr w:type="band1Horz">
      <w:tblPr/>
      <w:tcPr>
        <w:shd w:val="clear" w:color="auto" w:fill="F6C7CE" w:themeFill="accent2" w:themeFillTint="33"/>
      </w:tcPr>
    </w:tblStylePr>
  </w:style>
  <w:style w:type="table" w:styleId="ListTable3">
    <w:name w:val="List Table 3"/>
    <w:basedOn w:val="TableNormal"/>
    <w:uiPriority w:val="48"/>
    <w:rsid w:val="003B3CD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3B3CD1"/>
    <w:pPr>
      <w:spacing w:after="0" w:line="240" w:lineRule="auto"/>
    </w:pPr>
    <w:tblPr>
      <w:tblStyleRowBandSize w:val="1"/>
      <w:tblStyleColBandSize w:val="1"/>
      <w:tblBorders>
        <w:top w:val="single" w:sz="4" w:space="0" w:color="A6192E" w:themeColor="accent2"/>
        <w:left w:val="single" w:sz="4" w:space="0" w:color="A6192E" w:themeColor="accent2"/>
        <w:bottom w:val="single" w:sz="4" w:space="0" w:color="A6192E" w:themeColor="accent2"/>
        <w:right w:val="single" w:sz="4" w:space="0" w:color="A6192E" w:themeColor="accent2"/>
      </w:tblBorders>
    </w:tblPr>
    <w:tblStylePr w:type="firstRow">
      <w:rPr>
        <w:b/>
        <w:bCs/>
        <w:color w:val="FFFFFF" w:themeColor="background1"/>
      </w:rPr>
      <w:tblPr/>
      <w:tcPr>
        <w:shd w:val="clear" w:color="auto" w:fill="A6192E" w:themeFill="accent2"/>
      </w:tcPr>
    </w:tblStylePr>
    <w:tblStylePr w:type="lastRow">
      <w:rPr>
        <w:b/>
        <w:bCs/>
      </w:rPr>
      <w:tblPr/>
      <w:tcPr>
        <w:tcBorders>
          <w:top w:val="double" w:sz="4" w:space="0" w:color="A619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2"/>
          <w:right w:val="single" w:sz="4" w:space="0" w:color="A6192E" w:themeColor="accent2"/>
        </w:tcBorders>
      </w:tcPr>
    </w:tblStylePr>
    <w:tblStylePr w:type="band1Horz">
      <w:tblPr/>
      <w:tcPr>
        <w:tcBorders>
          <w:top w:val="single" w:sz="4" w:space="0" w:color="A6192E" w:themeColor="accent2"/>
          <w:bottom w:val="single" w:sz="4" w:space="0" w:color="A619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2"/>
          <w:left w:val="nil"/>
        </w:tcBorders>
      </w:tcPr>
    </w:tblStylePr>
    <w:tblStylePr w:type="swCell">
      <w:tblPr/>
      <w:tcPr>
        <w:tcBorders>
          <w:top w:val="double" w:sz="4" w:space="0" w:color="A6192E" w:themeColor="accent2"/>
          <w:right w:val="nil"/>
        </w:tcBorders>
      </w:tcPr>
    </w:tblStylePr>
  </w:style>
  <w:style w:type="table" w:customStyle="1" w:styleId="Style1">
    <w:name w:val="Style1"/>
    <w:basedOn w:val="TableNormal"/>
    <w:uiPriority w:val="99"/>
    <w:rsid w:val="001B0EAE"/>
    <w:pPr>
      <w:spacing w:after="0" w:line="240" w:lineRule="auto"/>
    </w:pPr>
    <w:tblPr>
      <w:tblStyleRowBandSize w:val="1"/>
    </w:tblPr>
    <w:tblStylePr w:type="firstRow">
      <w:rPr>
        <w:rFonts w:asciiTheme="majorHAnsi" w:hAnsiTheme="majorHAnsi"/>
        <w:b/>
        <w:color w:val="E7E6E6" w:themeColor="background2"/>
      </w:rPr>
      <w:tblPr/>
      <w:tcPr>
        <w:shd w:val="clear" w:color="auto" w:fill="A6192E" w:themeFill="accent2"/>
      </w:tcPr>
    </w:tblStylePr>
    <w:tblStylePr w:type="band1Horz">
      <w:tblPr/>
      <w:tcPr>
        <w:shd w:val="clear" w:color="auto" w:fill="DCCCCC"/>
      </w:tcPr>
    </w:tblStylePr>
    <w:tblStylePr w:type="band2Horz">
      <w:tblPr/>
      <w:tcPr>
        <w:shd w:val="clear" w:color="auto" w:fill="EEE7E8"/>
      </w:tcPr>
    </w:tblStylePr>
  </w:style>
  <w:style w:type="table" w:styleId="TableGrid">
    <w:name w:val="Table Grid"/>
    <w:basedOn w:val="TableNormal"/>
    <w:uiPriority w:val="39"/>
    <w:rsid w:val="0047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92687">
      <w:bodyDiv w:val="1"/>
      <w:marLeft w:val="0"/>
      <w:marRight w:val="0"/>
      <w:marTop w:val="0"/>
      <w:marBottom w:val="0"/>
      <w:divBdr>
        <w:top w:val="none" w:sz="0" w:space="0" w:color="auto"/>
        <w:left w:val="none" w:sz="0" w:space="0" w:color="auto"/>
        <w:bottom w:val="none" w:sz="0" w:space="0" w:color="auto"/>
        <w:right w:val="none" w:sz="0" w:space="0" w:color="auto"/>
      </w:divBdr>
    </w:div>
    <w:div w:id="1169633854">
      <w:bodyDiv w:val="1"/>
      <w:marLeft w:val="0"/>
      <w:marRight w:val="0"/>
      <w:marTop w:val="0"/>
      <w:marBottom w:val="0"/>
      <w:divBdr>
        <w:top w:val="none" w:sz="0" w:space="0" w:color="auto"/>
        <w:left w:val="none" w:sz="0" w:space="0" w:color="auto"/>
        <w:bottom w:val="none" w:sz="0" w:space="0" w:color="auto"/>
        <w:right w:val="none" w:sz="0" w:space="0" w:color="auto"/>
      </w:divBdr>
    </w:div>
    <w:div w:id="1398432635">
      <w:bodyDiv w:val="1"/>
      <w:marLeft w:val="0"/>
      <w:marRight w:val="0"/>
      <w:marTop w:val="0"/>
      <w:marBottom w:val="0"/>
      <w:divBdr>
        <w:top w:val="none" w:sz="0" w:space="0" w:color="auto"/>
        <w:left w:val="none" w:sz="0" w:space="0" w:color="auto"/>
        <w:bottom w:val="none" w:sz="0" w:space="0" w:color="auto"/>
        <w:right w:val="none" w:sz="0" w:space="0" w:color="auto"/>
      </w:divBdr>
    </w:div>
    <w:div w:id="21370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E7E6E6"/>
      </a:lt2>
      <a:accent1>
        <a:srgbClr val="939598"/>
      </a:accent1>
      <a:accent2>
        <a:srgbClr val="A6192E"/>
      </a:accent2>
      <a:accent3>
        <a:srgbClr val="572D2D"/>
      </a:accent3>
      <a:accent4>
        <a:srgbClr val="71CC98"/>
      </a:accent4>
      <a:accent5>
        <a:srgbClr val="B7B09C"/>
      </a:accent5>
      <a:accent6>
        <a:srgbClr val="DCCCCC"/>
      </a:accent6>
      <a:hlink>
        <a:srgbClr val="EEE7E8"/>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18714988-ef58-42cf-b7e4-33790a322a40" xsi:nil="true"/>
    <CorePublishingComments xmlns="1c21f7d1-b495-4526-948a-5e5ee730166a" xsi:nil="true"/>
    <CorePublishingDocumentChangeDescription xmlns="1c21f7d1-b495-4526-948a-5e5ee730166a" xsi:nil="true"/>
    <IncludeInNotificationsAndUpdates xmlns="1c21f7d1-b495-4526-948a-5e5ee730166a">true</IncludeInNotificationsAndUpdates>
    <KeywordsLookupField xmlns="18714988-ef58-42cf-b7e4-33790a322a40"/>
    <IPSCategory xmlns="1c21f7d1-b495-4526-948a-5e5ee730166a" xsi:nil="true"/>
    <PublishingExpirationDate xmlns="http://schemas.microsoft.com/sharepoint/v3" xsi:nil="true"/>
    <DocumentRollupCategory xmlns="18714988-ef58-42cf-b7e4-33790a322a40"/>
    <PublishingStartDate xmlns="http://schemas.microsoft.com/sharepoint/v3" xsi:nil="true"/>
    <IncludeInContentRollups xmlns="1c21f7d1-b495-4526-948a-5e5ee730166a">false</IncludeInContentRollups>
    <CorePublishingDocumentContact xmlns="1c21f7d1-b495-4526-948a-5e5ee730166a">
      <UserInfo>
        <DisplayName/>
        <AccountId xsi:nil="true"/>
        <AccountType/>
      </UserInfo>
    </CorePublishingDocumentContact>
    <SubjectLookupField xmlns="18714988-ef58-42cf-b7e4-33790a322a40"/>
    <CorePublishingFileReference xmlns="1c21f7d1-b495-4526-948a-5e5ee730166a" xsi:nil="true"/>
    <IncludeInRSSFeeds xmlns="1c21f7d1-b495-4526-948a-5e5ee730166a">false</IncludeInRSSFeeds>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A049E9C90C635F4EA9FCF1D61288C3D7" ma:contentTypeVersion="16" ma:contentTypeDescription="Core Publishing Document, inherited from OOTB document." ma:contentTypeScope="" ma:versionID="2fb4e65a70c34c89a69c10605d00911f">
  <xsd:schema xmlns:xsd="http://www.w3.org/2001/XMLSchema" xmlns:xs="http://www.w3.org/2001/XMLSchema" xmlns:p="http://schemas.microsoft.com/office/2006/metadata/properties" xmlns:ns1="http://schemas.microsoft.com/sharepoint/v3" xmlns:ns2="1c21f7d1-b495-4526-948a-5e5ee730166a" xmlns:ns3="18714988-ef58-42cf-b7e4-33790a322a40" targetNamespace="http://schemas.microsoft.com/office/2006/metadata/properties" ma:root="true" ma:fieldsID="9108bfe2d0a92e73e072118413acfa18" ns1:_="" ns2:_="" ns3:_="">
    <xsd:import namespace="http://schemas.microsoft.com/sharepoint/v3"/>
    <xsd:import namespace="1c21f7d1-b495-4526-948a-5e5ee730166a"/>
    <xsd:import namespace="18714988-ef58-42cf-b7e4-33790a322a40"/>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21f7d1-b495-4526-948a-5e5ee730166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14988-ef58-42cf-b7e4-33790a322a40" elementFormDefault="qualified">
    <xsd:import namespace="http://schemas.microsoft.com/office/2006/documentManagement/types"/>
    <xsd:import namespace="http://schemas.microsoft.com/office/infopath/2007/PartnerControls"/>
    <xsd:element name="SubjectLookupField" ma:index="12" nillable="true" ma:displayName="Subject" ma:list="73fc9f71-d6f0-4725-9692-b7199a29fac9" ma:internalName="SubjectLookupField" ma:web="18714988-ef58-42cf-b7e4-33790a322a40">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d8755a57-a63f-4fe1-a791-c7bdee975cab" ma:internalName="KeywordsLookupField" ma:web="18714988-ef58-42cf-b7e4-33790a322a40">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f54b549-a112-4da3-b559-228e9aae02db}" ma:internalName="CorePublishingDocumentCategory" ma:showField="Title" ma:web="{18714988-ef58-42cf-b7e4-33790a322a40}">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baf3932-bbdf-48fb-8cd3-3848bab996ab}" ma:internalName="DocumentRollupCategory" ma:showField="Title" ma:web="{18714988-ef58-42cf-b7e4-33790a322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2782-053D-41B2-8FBD-15E73FAF389D}">
  <ds:schemaRefs>
    <ds:schemaRef ds:uri="http://schemas.microsoft.com/sharepoint/v3/contenttype/forms"/>
  </ds:schemaRefs>
</ds:datastoreItem>
</file>

<file path=customXml/itemProps2.xml><?xml version="1.0" encoding="utf-8"?>
<ds:datastoreItem xmlns:ds="http://schemas.openxmlformats.org/officeDocument/2006/customXml" ds:itemID="{BEBE3D0B-D1E0-4338-AB79-A42C7572E54C}">
  <ds:schemaRefs>
    <ds:schemaRef ds:uri="1c21f7d1-b495-4526-948a-5e5ee730166a"/>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18714988-ef58-42cf-b7e4-33790a322a40"/>
    <ds:schemaRef ds:uri="http://www.w3.org/XML/1998/namespace"/>
  </ds:schemaRefs>
</ds:datastoreItem>
</file>

<file path=customXml/itemProps3.xml><?xml version="1.0" encoding="utf-8"?>
<ds:datastoreItem xmlns:ds="http://schemas.openxmlformats.org/officeDocument/2006/customXml" ds:itemID="{262AA3C8-1D8F-4B76-9DB1-D0F2F3BA9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21f7d1-b495-4526-948a-5e5ee730166a"/>
    <ds:schemaRef ds:uri="18714988-ef58-42cf-b7e4-33790a322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9C2C0-5876-4D8C-8DB5-9D08E1CD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Larner, Belinda</dc:creator>
  <cp:keywords/>
  <dc:description/>
  <cp:lastModifiedBy>Mongan, Fleur</cp:lastModifiedBy>
  <cp:revision>2</cp:revision>
  <dcterms:created xsi:type="dcterms:W3CDTF">2018-11-05T20:14:00Z</dcterms:created>
  <dcterms:modified xsi:type="dcterms:W3CDTF">2018-11-05T20:14:00Z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0x01010097F86F0C24D64525B252BB20BD9D45A700A049E9C90C635F4EA9FCF1D61288C3D7</vt:lpwstr>
  </property>
  <property fmtid="{D5CDD505-2E9C-101B-9397-08002B2CF9AE}" pid="3" name="DocHub_Year">
    <vt:lpwstr/>
  </property>
  <property fmtid="{D5CDD505-2E9C-101B-9397-08002B2CF9AE}" pid="4" name="DocHub_DocumentType">
    <vt:lpwstr>1626;#Reference Material|c04d10d9-856c-458a-b85d-90120a3c74a8</vt:lpwstr>
  </property>
  <property fmtid="{D5CDD505-2E9C-101B-9397-08002B2CF9AE}" pid="5" name="DocHub_SecurityClassification">
    <vt:lpwstr>90;#For Official Use Only|11f6fb0b-52ce-4109-8f7f-521b2a62f692</vt:lpwstr>
  </property>
  <property fmtid="{D5CDD505-2E9C-101B-9397-08002B2CF9AE}" pid="6" name="DocHub_Keywords">
    <vt:lpwstr>422;#ACSRF|594b5f70-7772-4274-9f56-e037879eecfe</vt:lpwstr>
  </property>
  <property fmtid="{D5CDD505-2E9C-101B-9397-08002B2CF9AE}" pid="7" name="DocHub_WorkActivity">
    <vt:lpwstr/>
  </property>
  <property fmtid="{D5CDD505-2E9C-101B-9397-08002B2CF9AE}" pid="8" name="_dlc_DocIdItemGuid">
    <vt:lpwstr>33876914-078a-4bc7-afb2-d55a8f90f3c8</vt:lpwstr>
  </property>
</Properties>
</file>