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E11C5" w14:textId="1A6F5949" w:rsidR="00F36567" w:rsidRDefault="009F7B6F" w:rsidP="001F008A">
      <w:pPr>
        <w:jc w:val="center"/>
      </w:pPr>
      <w:bookmarkStart w:id="0" w:name="_Toc505880026"/>
      <w:bookmarkStart w:id="1" w:name="_Toc505880372"/>
      <w:bookmarkStart w:id="2" w:name="_Toc505678974"/>
      <w:bookmarkStart w:id="3" w:name="_GoBack"/>
      <w:bookmarkEnd w:id="0"/>
      <w:bookmarkEnd w:id="1"/>
      <w:bookmarkEnd w:id="3"/>
      <w:r>
        <w:rPr>
          <w:noProof/>
          <w:lang w:eastAsia="en-AU"/>
        </w:rPr>
        <w:drawing>
          <wp:inline distT="0" distB="0" distL="0" distR="0" wp14:anchorId="1E1D86CB" wp14:editId="7D0A69F9">
            <wp:extent cx="1741998" cy="1404000"/>
            <wp:effectExtent l="0" t="0" r="0" b="5715"/>
            <wp:docPr id="3" name="Picture 3" descr="http://icentral/Communications/Documents/STACKED-Black-PNG-with-transparent-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entral/Communications/Documents/STACKED-Black-PNG-with-transparent-backgroun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1998" cy="1404000"/>
                    </a:xfrm>
                    <a:prstGeom prst="rect">
                      <a:avLst/>
                    </a:prstGeom>
                    <a:noFill/>
                    <a:ln>
                      <a:noFill/>
                    </a:ln>
                  </pic:spPr>
                </pic:pic>
              </a:graphicData>
            </a:graphic>
          </wp:inline>
        </w:drawing>
      </w:r>
    </w:p>
    <w:p w14:paraId="4D99F1FE" w14:textId="77777777" w:rsidR="00F36567" w:rsidRDefault="00F36567" w:rsidP="001F008A">
      <w:pPr>
        <w:jc w:val="center"/>
      </w:pPr>
    </w:p>
    <w:p w14:paraId="63CBCBF0" w14:textId="77777777" w:rsidR="00F36567" w:rsidRDefault="00F36567" w:rsidP="001F008A">
      <w:pPr>
        <w:jc w:val="center"/>
      </w:pPr>
    </w:p>
    <w:p w14:paraId="4FC3C434" w14:textId="5BEF4AEE" w:rsidR="00F36567" w:rsidRDefault="00F36567" w:rsidP="001F008A">
      <w:pPr>
        <w:jc w:val="center"/>
      </w:pPr>
    </w:p>
    <w:p w14:paraId="01CE21B2" w14:textId="77777777" w:rsidR="009F7B6F" w:rsidRPr="009F7B6F" w:rsidRDefault="009F7B6F" w:rsidP="001F008A">
      <w:pPr>
        <w:jc w:val="center"/>
      </w:pPr>
    </w:p>
    <w:p w14:paraId="5EE9BC29" w14:textId="77777777" w:rsidR="00F36567" w:rsidRDefault="00F36567" w:rsidP="001F008A">
      <w:pPr>
        <w:jc w:val="center"/>
      </w:pPr>
    </w:p>
    <w:p w14:paraId="082C24B6" w14:textId="77777777" w:rsidR="00F36567" w:rsidRDefault="00F36567" w:rsidP="001F008A"/>
    <w:p w14:paraId="0E7B2B39" w14:textId="77777777" w:rsidR="00A54A81" w:rsidRDefault="00714DC0" w:rsidP="00F36567">
      <w:pPr>
        <w:pStyle w:val="Heading1"/>
        <w:jc w:val="center"/>
        <w:rPr>
          <w:sz w:val="48"/>
        </w:rPr>
      </w:pPr>
      <w:bookmarkStart w:id="4" w:name="_Toc505869793"/>
      <w:bookmarkStart w:id="5" w:name="_Toc505870012"/>
      <w:bookmarkStart w:id="6" w:name="_Toc505880027"/>
      <w:bookmarkStart w:id="7" w:name="_Toc505880373"/>
      <w:bookmarkStart w:id="8" w:name="_Toc509229505"/>
      <w:bookmarkStart w:id="9" w:name="_Toc510597950"/>
      <w:bookmarkStart w:id="10" w:name="_Toc517179036"/>
      <w:r w:rsidRPr="00F36567">
        <w:rPr>
          <w:sz w:val="48"/>
        </w:rPr>
        <w:t>Exercise Ningaloo Challenge</w:t>
      </w:r>
      <w:bookmarkEnd w:id="4"/>
      <w:bookmarkEnd w:id="5"/>
      <w:bookmarkEnd w:id="6"/>
      <w:bookmarkEnd w:id="7"/>
      <w:bookmarkEnd w:id="8"/>
      <w:bookmarkEnd w:id="9"/>
      <w:bookmarkEnd w:id="10"/>
      <w:r w:rsidR="00A54A81">
        <w:rPr>
          <w:sz w:val="48"/>
        </w:rPr>
        <w:t xml:space="preserve"> </w:t>
      </w:r>
    </w:p>
    <w:p w14:paraId="30BC57B2" w14:textId="49A7625C" w:rsidR="00F36567" w:rsidRPr="00174E3A" w:rsidRDefault="00A54A81" w:rsidP="00174E3A">
      <w:pPr>
        <w:jc w:val="center"/>
        <w:rPr>
          <w:rFonts w:ascii="Segoe UI Semibold" w:hAnsi="Segoe UI Semibold"/>
          <w:color w:val="1F4E79" w:themeColor="accent1" w:themeShade="80"/>
          <w:sz w:val="48"/>
          <w:szCs w:val="48"/>
        </w:rPr>
      </w:pPr>
      <w:bookmarkStart w:id="11" w:name="_Toc505869794"/>
      <w:bookmarkStart w:id="12" w:name="_Toc505870013"/>
      <w:bookmarkStart w:id="13" w:name="_Toc505880028"/>
      <w:bookmarkStart w:id="14" w:name="_Toc505880374"/>
      <w:r w:rsidRPr="00174E3A">
        <w:rPr>
          <w:rFonts w:ascii="Segoe UI Semibold" w:hAnsi="Segoe UI Semibold"/>
          <w:color w:val="1F4E79" w:themeColor="accent1" w:themeShade="80"/>
          <w:sz w:val="48"/>
          <w:szCs w:val="48"/>
        </w:rPr>
        <w:t>2017</w:t>
      </w:r>
      <w:bookmarkEnd w:id="11"/>
      <w:bookmarkEnd w:id="12"/>
      <w:bookmarkEnd w:id="13"/>
      <w:bookmarkEnd w:id="14"/>
    </w:p>
    <w:p w14:paraId="79931B57" w14:textId="77777777" w:rsidR="00A54A81" w:rsidRDefault="00A54A81" w:rsidP="00F36567">
      <w:pPr>
        <w:pStyle w:val="Subtitle"/>
        <w:jc w:val="center"/>
      </w:pPr>
    </w:p>
    <w:p w14:paraId="50C50C30" w14:textId="77777777" w:rsidR="00A54A81" w:rsidRDefault="00A54A81" w:rsidP="00F36567">
      <w:pPr>
        <w:pStyle w:val="Subtitle"/>
        <w:jc w:val="center"/>
      </w:pPr>
    </w:p>
    <w:p w14:paraId="2D87A693" w14:textId="20D4850C" w:rsidR="00714DC0" w:rsidRPr="00F36567" w:rsidRDefault="005F4779" w:rsidP="00F36567">
      <w:pPr>
        <w:pStyle w:val="Subtitle"/>
        <w:jc w:val="center"/>
      </w:pPr>
      <w:r w:rsidRPr="00F36567">
        <w:t>Evaluation</w:t>
      </w:r>
      <w:bookmarkEnd w:id="2"/>
      <w:r w:rsidR="00F36567">
        <w:t xml:space="preserve"> of the Offshore Petroleum Incident Coordination Committee and the Department of Industry, Innovation and Science </w:t>
      </w:r>
      <w:r w:rsidR="00B33BDF">
        <w:t xml:space="preserve">during a simulated </w:t>
      </w:r>
      <w:r w:rsidR="00205AA1">
        <w:t xml:space="preserve">offshore </w:t>
      </w:r>
      <w:r w:rsidR="003801FA">
        <w:t xml:space="preserve">petroleum </w:t>
      </w:r>
      <w:r w:rsidR="00205AA1">
        <w:t>incident</w:t>
      </w:r>
    </w:p>
    <w:p w14:paraId="611CB546" w14:textId="77777777" w:rsidR="00F36567" w:rsidRDefault="00F36567">
      <w:bookmarkStart w:id="15" w:name="_Toc505678975"/>
    </w:p>
    <w:p w14:paraId="795F491D" w14:textId="77777777" w:rsidR="001D6433" w:rsidRDefault="001D6433" w:rsidP="00A54A81">
      <w:pPr>
        <w:pStyle w:val="Heading2"/>
      </w:pPr>
    </w:p>
    <w:p w14:paraId="264AD429" w14:textId="2DD18735" w:rsidR="00A03CEF" w:rsidRDefault="00A03CEF" w:rsidP="00A03CEF"/>
    <w:p w14:paraId="6AF400D9" w14:textId="77777777" w:rsidR="00A03CEF" w:rsidRDefault="00A03CEF" w:rsidP="00A03CEF"/>
    <w:p w14:paraId="0EBD2E7F" w14:textId="77777777" w:rsidR="00A03CEF" w:rsidRDefault="00A03CEF" w:rsidP="00A03CEF"/>
    <w:p w14:paraId="79BD4BC6" w14:textId="77777777" w:rsidR="00A03CEF" w:rsidRDefault="00A03CEF" w:rsidP="00A03CEF"/>
    <w:p w14:paraId="14134992" w14:textId="77777777" w:rsidR="00A03CEF" w:rsidRDefault="00A03CEF" w:rsidP="00A03CEF"/>
    <w:p w14:paraId="649EA19F" w14:textId="77777777" w:rsidR="00A03CEF" w:rsidRDefault="00A03CEF" w:rsidP="00A03CEF"/>
    <w:p w14:paraId="301DCEB9" w14:textId="77777777" w:rsidR="00A03CEF" w:rsidRDefault="00A03CEF" w:rsidP="00A03CEF"/>
    <w:p w14:paraId="6BA57EB7" w14:textId="55483DC8" w:rsidR="00A03CEF" w:rsidRDefault="00A03CEF" w:rsidP="00A03CEF">
      <w:pPr>
        <w:jc w:val="center"/>
      </w:pPr>
      <w:r>
        <w:t>July 2018</w:t>
      </w:r>
    </w:p>
    <w:p w14:paraId="1F82F791" w14:textId="77777777" w:rsidR="00A03CEF" w:rsidRPr="00A03CEF" w:rsidRDefault="00A03CEF" w:rsidP="00A03CEF">
      <w:pPr>
        <w:jc w:val="center"/>
        <w:sectPr w:rsidR="00A03CEF" w:rsidRPr="00A03CEF" w:rsidSect="001D643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docGrid w:linePitch="360"/>
        </w:sectPr>
      </w:pPr>
    </w:p>
    <w:p w14:paraId="43606D96" w14:textId="222B7CCB" w:rsidR="00A54A81" w:rsidRDefault="00A54A81" w:rsidP="00A54A81">
      <w:pPr>
        <w:pStyle w:val="Heading2"/>
      </w:pPr>
      <w:bookmarkStart w:id="16" w:name="_Toc505880029"/>
      <w:bookmarkStart w:id="17" w:name="_Toc505880375"/>
      <w:bookmarkStart w:id="18" w:name="_Toc509229506"/>
      <w:bookmarkStart w:id="19" w:name="_Toc510597951"/>
      <w:bookmarkStart w:id="20" w:name="_Toc517179037"/>
      <w:r>
        <w:lastRenderedPageBreak/>
        <w:t>Table of Contents</w:t>
      </w:r>
      <w:bookmarkEnd w:id="16"/>
      <w:bookmarkEnd w:id="17"/>
      <w:bookmarkEnd w:id="18"/>
      <w:bookmarkEnd w:id="19"/>
      <w:bookmarkEnd w:id="20"/>
    </w:p>
    <w:p w14:paraId="590574F9" w14:textId="77777777" w:rsidR="007F340F" w:rsidRDefault="00A54A81">
      <w:pPr>
        <w:pStyle w:val="TOC1"/>
        <w:tabs>
          <w:tab w:val="right" w:leader="dot" w:pos="9016"/>
        </w:tabs>
        <w:rPr>
          <w:rFonts w:asciiTheme="minorHAnsi" w:eastAsiaTheme="minorEastAsia" w:hAnsiTheme="minorHAnsi"/>
          <w:noProof/>
          <w:lang w:eastAsia="en-AU"/>
        </w:rPr>
      </w:pPr>
      <w:r>
        <w:fldChar w:fldCharType="begin"/>
      </w:r>
      <w:r>
        <w:instrText xml:space="preserve"> TOC \o "1-3" \h \z \u </w:instrText>
      </w:r>
      <w:r>
        <w:fldChar w:fldCharType="separate"/>
      </w:r>
      <w:hyperlink w:anchor="_Toc517179036" w:history="1">
        <w:r w:rsidR="007F340F" w:rsidRPr="004E2B6B">
          <w:rPr>
            <w:rStyle w:val="Hyperlink"/>
            <w:noProof/>
          </w:rPr>
          <w:t>Exercise Ningaloo Challenge</w:t>
        </w:r>
        <w:r w:rsidR="007F340F">
          <w:rPr>
            <w:noProof/>
            <w:webHidden/>
          </w:rPr>
          <w:tab/>
        </w:r>
        <w:r w:rsidR="007F340F">
          <w:rPr>
            <w:noProof/>
            <w:webHidden/>
          </w:rPr>
          <w:fldChar w:fldCharType="begin"/>
        </w:r>
        <w:r w:rsidR="007F340F">
          <w:rPr>
            <w:noProof/>
            <w:webHidden/>
          </w:rPr>
          <w:instrText xml:space="preserve"> PAGEREF _Toc517179036 \h </w:instrText>
        </w:r>
        <w:r w:rsidR="007F340F">
          <w:rPr>
            <w:noProof/>
            <w:webHidden/>
          </w:rPr>
        </w:r>
        <w:r w:rsidR="007F340F">
          <w:rPr>
            <w:noProof/>
            <w:webHidden/>
          </w:rPr>
          <w:fldChar w:fldCharType="separate"/>
        </w:r>
        <w:r w:rsidR="007F340F">
          <w:rPr>
            <w:noProof/>
            <w:webHidden/>
          </w:rPr>
          <w:t>1</w:t>
        </w:r>
        <w:r w:rsidR="007F340F">
          <w:rPr>
            <w:noProof/>
            <w:webHidden/>
          </w:rPr>
          <w:fldChar w:fldCharType="end"/>
        </w:r>
      </w:hyperlink>
    </w:p>
    <w:p w14:paraId="416564A0" w14:textId="77777777" w:rsidR="007F340F" w:rsidRDefault="00F7347D">
      <w:pPr>
        <w:pStyle w:val="TOC2"/>
        <w:tabs>
          <w:tab w:val="right" w:leader="dot" w:pos="9016"/>
        </w:tabs>
        <w:rPr>
          <w:rFonts w:asciiTheme="minorHAnsi" w:eastAsiaTheme="minorEastAsia" w:hAnsiTheme="minorHAnsi"/>
          <w:noProof/>
          <w:lang w:eastAsia="en-AU"/>
        </w:rPr>
      </w:pPr>
      <w:hyperlink w:anchor="_Toc517179037" w:history="1">
        <w:r w:rsidR="007F340F" w:rsidRPr="004E2B6B">
          <w:rPr>
            <w:rStyle w:val="Hyperlink"/>
            <w:noProof/>
          </w:rPr>
          <w:t>Table of Contents</w:t>
        </w:r>
        <w:r w:rsidR="007F340F">
          <w:rPr>
            <w:noProof/>
            <w:webHidden/>
          </w:rPr>
          <w:tab/>
        </w:r>
        <w:r w:rsidR="007F340F">
          <w:rPr>
            <w:noProof/>
            <w:webHidden/>
          </w:rPr>
          <w:fldChar w:fldCharType="begin"/>
        </w:r>
        <w:r w:rsidR="007F340F">
          <w:rPr>
            <w:noProof/>
            <w:webHidden/>
          </w:rPr>
          <w:instrText xml:space="preserve"> PAGEREF _Toc517179037 \h </w:instrText>
        </w:r>
        <w:r w:rsidR="007F340F">
          <w:rPr>
            <w:noProof/>
            <w:webHidden/>
          </w:rPr>
        </w:r>
        <w:r w:rsidR="007F340F">
          <w:rPr>
            <w:noProof/>
            <w:webHidden/>
          </w:rPr>
          <w:fldChar w:fldCharType="separate"/>
        </w:r>
        <w:r w:rsidR="007F340F">
          <w:rPr>
            <w:noProof/>
            <w:webHidden/>
          </w:rPr>
          <w:t>1</w:t>
        </w:r>
        <w:r w:rsidR="007F340F">
          <w:rPr>
            <w:noProof/>
            <w:webHidden/>
          </w:rPr>
          <w:fldChar w:fldCharType="end"/>
        </w:r>
      </w:hyperlink>
    </w:p>
    <w:p w14:paraId="69D224BD" w14:textId="77777777" w:rsidR="007F340F" w:rsidRDefault="00F7347D">
      <w:pPr>
        <w:pStyle w:val="TOC2"/>
        <w:tabs>
          <w:tab w:val="right" w:leader="dot" w:pos="9016"/>
        </w:tabs>
        <w:rPr>
          <w:rFonts w:asciiTheme="minorHAnsi" w:eastAsiaTheme="minorEastAsia" w:hAnsiTheme="minorHAnsi"/>
          <w:noProof/>
          <w:lang w:eastAsia="en-AU"/>
        </w:rPr>
      </w:pPr>
      <w:hyperlink w:anchor="_Toc517179038" w:history="1">
        <w:r w:rsidR="007F340F" w:rsidRPr="004E2B6B">
          <w:rPr>
            <w:rStyle w:val="Hyperlink"/>
            <w:noProof/>
          </w:rPr>
          <w:t>Introduction</w:t>
        </w:r>
        <w:r w:rsidR="007F340F">
          <w:rPr>
            <w:noProof/>
            <w:webHidden/>
          </w:rPr>
          <w:tab/>
        </w:r>
        <w:r w:rsidR="007F340F">
          <w:rPr>
            <w:noProof/>
            <w:webHidden/>
          </w:rPr>
          <w:fldChar w:fldCharType="begin"/>
        </w:r>
        <w:r w:rsidR="007F340F">
          <w:rPr>
            <w:noProof/>
            <w:webHidden/>
          </w:rPr>
          <w:instrText xml:space="preserve"> PAGEREF _Toc517179038 \h </w:instrText>
        </w:r>
        <w:r w:rsidR="007F340F">
          <w:rPr>
            <w:noProof/>
            <w:webHidden/>
          </w:rPr>
        </w:r>
        <w:r w:rsidR="007F340F">
          <w:rPr>
            <w:noProof/>
            <w:webHidden/>
          </w:rPr>
          <w:fldChar w:fldCharType="separate"/>
        </w:r>
        <w:r w:rsidR="007F340F">
          <w:rPr>
            <w:noProof/>
            <w:webHidden/>
          </w:rPr>
          <w:t>2</w:t>
        </w:r>
        <w:r w:rsidR="007F340F">
          <w:rPr>
            <w:noProof/>
            <w:webHidden/>
          </w:rPr>
          <w:fldChar w:fldCharType="end"/>
        </w:r>
      </w:hyperlink>
    </w:p>
    <w:p w14:paraId="3DD865F7" w14:textId="77777777" w:rsidR="007F340F" w:rsidRDefault="00F7347D">
      <w:pPr>
        <w:pStyle w:val="TOC2"/>
        <w:tabs>
          <w:tab w:val="right" w:leader="dot" w:pos="9016"/>
        </w:tabs>
        <w:rPr>
          <w:rFonts w:asciiTheme="minorHAnsi" w:eastAsiaTheme="minorEastAsia" w:hAnsiTheme="minorHAnsi"/>
          <w:noProof/>
          <w:lang w:eastAsia="en-AU"/>
        </w:rPr>
      </w:pPr>
      <w:hyperlink w:anchor="_Toc517179039" w:history="1">
        <w:r w:rsidR="007F340F" w:rsidRPr="004E2B6B">
          <w:rPr>
            <w:rStyle w:val="Hyperlink"/>
            <w:noProof/>
          </w:rPr>
          <w:t>Background</w:t>
        </w:r>
        <w:r w:rsidR="007F340F">
          <w:rPr>
            <w:noProof/>
            <w:webHidden/>
          </w:rPr>
          <w:tab/>
        </w:r>
        <w:r w:rsidR="007F340F">
          <w:rPr>
            <w:noProof/>
            <w:webHidden/>
          </w:rPr>
          <w:fldChar w:fldCharType="begin"/>
        </w:r>
        <w:r w:rsidR="007F340F">
          <w:rPr>
            <w:noProof/>
            <w:webHidden/>
          </w:rPr>
          <w:instrText xml:space="preserve"> PAGEREF _Toc517179039 \h </w:instrText>
        </w:r>
        <w:r w:rsidR="007F340F">
          <w:rPr>
            <w:noProof/>
            <w:webHidden/>
          </w:rPr>
        </w:r>
        <w:r w:rsidR="007F340F">
          <w:rPr>
            <w:noProof/>
            <w:webHidden/>
          </w:rPr>
          <w:fldChar w:fldCharType="separate"/>
        </w:r>
        <w:r w:rsidR="007F340F">
          <w:rPr>
            <w:noProof/>
            <w:webHidden/>
          </w:rPr>
          <w:t>2</w:t>
        </w:r>
        <w:r w:rsidR="007F340F">
          <w:rPr>
            <w:noProof/>
            <w:webHidden/>
          </w:rPr>
          <w:fldChar w:fldCharType="end"/>
        </w:r>
      </w:hyperlink>
    </w:p>
    <w:p w14:paraId="31CC7F83" w14:textId="77777777" w:rsidR="007F340F" w:rsidRDefault="00F7347D">
      <w:pPr>
        <w:pStyle w:val="TOC2"/>
        <w:tabs>
          <w:tab w:val="right" w:leader="dot" w:pos="9016"/>
        </w:tabs>
        <w:rPr>
          <w:rFonts w:asciiTheme="minorHAnsi" w:eastAsiaTheme="minorEastAsia" w:hAnsiTheme="minorHAnsi"/>
          <w:noProof/>
          <w:lang w:eastAsia="en-AU"/>
        </w:rPr>
      </w:pPr>
      <w:hyperlink w:anchor="_Toc517179040" w:history="1">
        <w:r w:rsidR="007F340F" w:rsidRPr="004E2B6B">
          <w:rPr>
            <w:rStyle w:val="Hyperlink"/>
            <w:noProof/>
          </w:rPr>
          <w:t>Aim and objectives</w:t>
        </w:r>
        <w:r w:rsidR="007F340F">
          <w:rPr>
            <w:noProof/>
            <w:webHidden/>
          </w:rPr>
          <w:tab/>
        </w:r>
        <w:r w:rsidR="007F340F">
          <w:rPr>
            <w:noProof/>
            <w:webHidden/>
          </w:rPr>
          <w:fldChar w:fldCharType="begin"/>
        </w:r>
        <w:r w:rsidR="007F340F">
          <w:rPr>
            <w:noProof/>
            <w:webHidden/>
          </w:rPr>
          <w:instrText xml:space="preserve"> PAGEREF _Toc517179040 \h </w:instrText>
        </w:r>
        <w:r w:rsidR="007F340F">
          <w:rPr>
            <w:noProof/>
            <w:webHidden/>
          </w:rPr>
        </w:r>
        <w:r w:rsidR="007F340F">
          <w:rPr>
            <w:noProof/>
            <w:webHidden/>
          </w:rPr>
          <w:fldChar w:fldCharType="separate"/>
        </w:r>
        <w:r w:rsidR="007F340F">
          <w:rPr>
            <w:noProof/>
            <w:webHidden/>
          </w:rPr>
          <w:t>5</w:t>
        </w:r>
        <w:r w:rsidR="007F340F">
          <w:rPr>
            <w:noProof/>
            <w:webHidden/>
          </w:rPr>
          <w:fldChar w:fldCharType="end"/>
        </w:r>
      </w:hyperlink>
    </w:p>
    <w:p w14:paraId="0D4482B5" w14:textId="77777777" w:rsidR="007F340F" w:rsidRDefault="00F7347D">
      <w:pPr>
        <w:pStyle w:val="TOC2"/>
        <w:tabs>
          <w:tab w:val="right" w:leader="dot" w:pos="9016"/>
        </w:tabs>
        <w:rPr>
          <w:rFonts w:asciiTheme="minorHAnsi" w:eastAsiaTheme="minorEastAsia" w:hAnsiTheme="minorHAnsi"/>
          <w:noProof/>
          <w:lang w:eastAsia="en-AU"/>
        </w:rPr>
      </w:pPr>
      <w:hyperlink w:anchor="_Toc517179041" w:history="1">
        <w:r w:rsidR="007F340F" w:rsidRPr="004E2B6B">
          <w:rPr>
            <w:rStyle w:val="Hyperlink"/>
            <w:noProof/>
          </w:rPr>
          <w:t>Exercise governance</w:t>
        </w:r>
        <w:r w:rsidR="007F340F">
          <w:rPr>
            <w:noProof/>
            <w:webHidden/>
          </w:rPr>
          <w:tab/>
        </w:r>
        <w:r w:rsidR="007F340F">
          <w:rPr>
            <w:noProof/>
            <w:webHidden/>
          </w:rPr>
          <w:fldChar w:fldCharType="begin"/>
        </w:r>
        <w:r w:rsidR="007F340F">
          <w:rPr>
            <w:noProof/>
            <w:webHidden/>
          </w:rPr>
          <w:instrText xml:space="preserve"> PAGEREF _Toc517179041 \h </w:instrText>
        </w:r>
        <w:r w:rsidR="007F340F">
          <w:rPr>
            <w:noProof/>
            <w:webHidden/>
          </w:rPr>
        </w:r>
        <w:r w:rsidR="007F340F">
          <w:rPr>
            <w:noProof/>
            <w:webHidden/>
          </w:rPr>
          <w:fldChar w:fldCharType="separate"/>
        </w:r>
        <w:r w:rsidR="007F340F">
          <w:rPr>
            <w:noProof/>
            <w:webHidden/>
          </w:rPr>
          <w:t>5</w:t>
        </w:r>
        <w:r w:rsidR="007F340F">
          <w:rPr>
            <w:noProof/>
            <w:webHidden/>
          </w:rPr>
          <w:fldChar w:fldCharType="end"/>
        </w:r>
      </w:hyperlink>
    </w:p>
    <w:p w14:paraId="1857237C" w14:textId="77777777" w:rsidR="007F340F" w:rsidRDefault="00F7347D">
      <w:pPr>
        <w:pStyle w:val="TOC2"/>
        <w:tabs>
          <w:tab w:val="right" w:leader="dot" w:pos="9016"/>
        </w:tabs>
        <w:rPr>
          <w:rFonts w:asciiTheme="minorHAnsi" w:eastAsiaTheme="minorEastAsia" w:hAnsiTheme="minorHAnsi"/>
          <w:noProof/>
          <w:lang w:eastAsia="en-AU"/>
        </w:rPr>
      </w:pPr>
      <w:hyperlink w:anchor="_Toc517179042" w:history="1">
        <w:r w:rsidR="007F340F" w:rsidRPr="004E2B6B">
          <w:rPr>
            <w:rStyle w:val="Hyperlink"/>
            <w:noProof/>
          </w:rPr>
          <w:t>Overview of the exercise</w:t>
        </w:r>
        <w:r w:rsidR="007F340F">
          <w:rPr>
            <w:noProof/>
            <w:webHidden/>
          </w:rPr>
          <w:tab/>
        </w:r>
        <w:r w:rsidR="007F340F">
          <w:rPr>
            <w:noProof/>
            <w:webHidden/>
          </w:rPr>
          <w:fldChar w:fldCharType="begin"/>
        </w:r>
        <w:r w:rsidR="007F340F">
          <w:rPr>
            <w:noProof/>
            <w:webHidden/>
          </w:rPr>
          <w:instrText xml:space="preserve"> PAGEREF _Toc517179042 \h </w:instrText>
        </w:r>
        <w:r w:rsidR="007F340F">
          <w:rPr>
            <w:noProof/>
            <w:webHidden/>
          </w:rPr>
        </w:r>
        <w:r w:rsidR="007F340F">
          <w:rPr>
            <w:noProof/>
            <w:webHidden/>
          </w:rPr>
          <w:fldChar w:fldCharType="separate"/>
        </w:r>
        <w:r w:rsidR="007F340F">
          <w:rPr>
            <w:noProof/>
            <w:webHidden/>
          </w:rPr>
          <w:t>6</w:t>
        </w:r>
        <w:r w:rsidR="007F340F">
          <w:rPr>
            <w:noProof/>
            <w:webHidden/>
          </w:rPr>
          <w:fldChar w:fldCharType="end"/>
        </w:r>
      </w:hyperlink>
    </w:p>
    <w:p w14:paraId="61F91BB2" w14:textId="77777777" w:rsidR="007F340F" w:rsidRDefault="00F7347D">
      <w:pPr>
        <w:pStyle w:val="TOC3"/>
        <w:tabs>
          <w:tab w:val="right" w:leader="dot" w:pos="9016"/>
        </w:tabs>
        <w:rPr>
          <w:rFonts w:asciiTheme="minorHAnsi" w:eastAsiaTheme="minorEastAsia" w:hAnsiTheme="minorHAnsi"/>
          <w:noProof/>
          <w:lang w:eastAsia="en-AU"/>
        </w:rPr>
      </w:pPr>
      <w:hyperlink w:anchor="_Toc517179043" w:history="1">
        <w:r w:rsidR="007F340F" w:rsidRPr="004E2B6B">
          <w:rPr>
            <w:rStyle w:val="Hyperlink"/>
            <w:noProof/>
          </w:rPr>
          <w:t>Day one</w:t>
        </w:r>
        <w:r w:rsidR="007F340F">
          <w:rPr>
            <w:noProof/>
            <w:webHidden/>
          </w:rPr>
          <w:tab/>
        </w:r>
        <w:r w:rsidR="007F340F">
          <w:rPr>
            <w:noProof/>
            <w:webHidden/>
          </w:rPr>
          <w:fldChar w:fldCharType="begin"/>
        </w:r>
        <w:r w:rsidR="007F340F">
          <w:rPr>
            <w:noProof/>
            <w:webHidden/>
          </w:rPr>
          <w:instrText xml:space="preserve"> PAGEREF _Toc517179043 \h </w:instrText>
        </w:r>
        <w:r w:rsidR="007F340F">
          <w:rPr>
            <w:noProof/>
            <w:webHidden/>
          </w:rPr>
        </w:r>
        <w:r w:rsidR="007F340F">
          <w:rPr>
            <w:noProof/>
            <w:webHidden/>
          </w:rPr>
          <w:fldChar w:fldCharType="separate"/>
        </w:r>
        <w:r w:rsidR="007F340F">
          <w:rPr>
            <w:noProof/>
            <w:webHidden/>
          </w:rPr>
          <w:t>6</w:t>
        </w:r>
        <w:r w:rsidR="007F340F">
          <w:rPr>
            <w:noProof/>
            <w:webHidden/>
          </w:rPr>
          <w:fldChar w:fldCharType="end"/>
        </w:r>
      </w:hyperlink>
    </w:p>
    <w:p w14:paraId="2CA858BA" w14:textId="77777777" w:rsidR="007F340F" w:rsidRDefault="00F7347D">
      <w:pPr>
        <w:pStyle w:val="TOC3"/>
        <w:tabs>
          <w:tab w:val="right" w:leader="dot" w:pos="9016"/>
        </w:tabs>
        <w:rPr>
          <w:rFonts w:asciiTheme="minorHAnsi" w:eastAsiaTheme="minorEastAsia" w:hAnsiTheme="minorHAnsi"/>
          <w:noProof/>
          <w:lang w:eastAsia="en-AU"/>
        </w:rPr>
      </w:pPr>
      <w:hyperlink w:anchor="_Toc517179044" w:history="1">
        <w:r w:rsidR="007F340F" w:rsidRPr="004E2B6B">
          <w:rPr>
            <w:rStyle w:val="Hyperlink"/>
            <w:noProof/>
          </w:rPr>
          <w:t>Day two</w:t>
        </w:r>
        <w:r w:rsidR="007F340F">
          <w:rPr>
            <w:noProof/>
            <w:webHidden/>
          </w:rPr>
          <w:tab/>
        </w:r>
        <w:r w:rsidR="007F340F">
          <w:rPr>
            <w:noProof/>
            <w:webHidden/>
          </w:rPr>
          <w:fldChar w:fldCharType="begin"/>
        </w:r>
        <w:r w:rsidR="007F340F">
          <w:rPr>
            <w:noProof/>
            <w:webHidden/>
          </w:rPr>
          <w:instrText xml:space="preserve"> PAGEREF _Toc517179044 \h </w:instrText>
        </w:r>
        <w:r w:rsidR="007F340F">
          <w:rPr>
            <w:noProof/>
            <w:webHidden/>
          </w:rPr>
        </w:r>
        <w:r w:rsidR="007F340F">
          <w:rPr>
            <w:noProof/>
            <w:webHidden/>
          </w:rPr>
          <w:fldChar w:fldCharType="separate"/>
        </w:r>
        <w:r w:rsidR="007F340F">
          <w:rPr>
            <w:noProof/>
            <w:webHidden/>
          </w:rPr>
          <w:t>6</w:t>
        </w:r>
        <w:r w:rsidR="007F340F">
          <w:rPr>
            <w:noProof/>
            <w:webHidden/>
          </w:rPr>
          <w:fldChar w:fldCharType="end"/>
        </w:r>
      </w:hyperlink>
    </w:p>
    <w:p w14:paraId="5160A1F9" w14:textId="77777777" w:rsidR="007F340F" w:rsidRDefault="00F7347D">
      <w:pPr>
        <w:pStyle w:val="TOC3"/>
        <w:tabs>
          <w:tab w:val="right" w:leader="dot" w:pos="9016"/>
        </w:tabs>
        <w:rPr>
          <w:rFonts w:asciiTheme="minorHAnsi" w:eastAsiaTheme="minorEastAsia" w:hAnsiTheme="minorHAnsi"/>
          <w:noProof/>
          <w:lang w:eastAsia="en-AU"/>
        </w:rPr>
      </w:pPr>
      <w:hyperlink w:anchor="_Toc517179045" w:history="1">
        <w:r w:rsidR="007F340F" w:rsidRPr="004E2B6B">
          <w:rPr>
            <w:rStyle w:val="Hyperlink"/>
            <w:noProof/>
          </w:rPr>
          <w:t>Day three</w:t>
        </w:r>
        <w:r w:rsidR="007F340F">
          <w:rPr>
            <w:noProof/>
            <w:webHidden/>
          </w:rPr>
          <w:tab/>
        </w:r>
        <w:r w:rsidR="007F340F">
          <w:rPr>
            <w:noProof/>
            <w:webHidden/>
          </w:rPr>
          <w:fldChar w:fldCharType="begin"/>
        </w:r>
        <w:r w:rsidR="007F340F">
          <w:rPr>
            <w:noProof/>
            <w:webHidden/>
          </w:rPr>
          <w:instrText xml:space="preserve"> PAGEREF _Toc517179045 \h </w:instrText>
        </w:r>
        <w:r w:rsidR="007F340F">
          <w:rPr>
            <w:noProof/>
            <w:webHidden/>
          </w:rPr>
        </w:r>
        <w:r w:rsidR="007F340F">
          <w:rPr>
            <w:noProof/>
            <w:webHidden/>
          </w:rPr>
          <w:fldChar w:fldCharType="separate"/>
        </w:r>
        <w:r w:rsidR="007F340F">
          <w:rPr>
            <w:noProof/>
            <w:webHidden/>
          </w:rPr>
          <w:t>7</w:t>
        </w:r>
        <w:r w:rsidR="007F340F">
          <w:rPr>
            <w:noProof/>
            <w:webHidden/>
          </w:rPr>
          <w:fldChar w:fldCharType="end"/>
        </w:r>
      </w:hyperlink>
    </w:p>
    <w:p w14:paraId="0332B576" w14:textId="77777777" w:rsidR="007F340F" w:rsidRDefault="00F7347D">
      <w:pPr>
        <w:pStyle w:val="TOC3"/>
        <w:tabs>
          <w:tab w:val="right" w:leader="dot" w:pos="9016"/>
        </w:tabs>
        <w:rPr>
          <w:rFonts w:asciiTheme="minorHAnsi" w:eastAsiaTheme="minorEastAsia" w:hAnsiTheme="minorHAnsi"/>
          <w:noProof/>
          <w:lang w:eastAsia="en-AU"/>
        </w:rPr>
      </w:pPr>
      <w:hyperlink w:anchor="_Toc517179046" w:history="1">
        <w:r w:rsidR="007F340F" w:rsidRPr="004E2B6B">
          <w:rPr>
            <w:rStyle w:val="Hyperlink"/>
            <w:noProof/>
          </w:rPr>
          <w:t>Day four</w:t>
        </w:r>
        <w:r w:rsidR="007F340F">
          <w:rPr>
            <w:noProof/>
            <w:webHidden/>
          </w:rPr>
          <w:tab/>
        </w:r>
        <w:r w:rsidR="007F340F">
          <w:rPr>
            <w:noProof/>
            <w:webHidden/>
          </w:rPr>
          <w:fldChar w:fldCharType="begin"/>
        </w:r>
        <w:r w:rsidR="007F340F">
          <w:rPr>
            <w:noProof/>
            <w:webHidden/>
          </w:rPr>
          <w:instrText xml:space="preserve"> PAGEREF _Toc517179046 \h </w:instrText>
        </w:r>
        <w:r w:rsidR="007F340F">
          <w:rPr>
            <w:noProof/>
            <w:webHidden/>
          </w:rPr>
        </w:r>
        <w:r w:rsidR="007F340F">
          <w:rPr>
            <w:noProof/>
            <w:webHidden/>
          </w:rPr>
          <w:fldChar w:fldCharType="separate"/>
        </w:r>
        <w:r w:rsidR="007F340F">
          <w:rPr>
            <w:noProof/>
            <w:webHidden/>
          </w:rPr>
          <w:t>8</w:t>
        </w:r>
        <w:r w:rsidR="007F340F">
          <w:rPr>
            <w:noProof/>
            <w:webHidden/>
          </w:rPr>
          <w:fldChar w:fldCharType="end"/>
        </w:r>
      </w:hyperlink>
    </w:p>
    <w:p w14:paraId="4B6827D7" w14:textId="77777777" w:rsidR="007F340F" w:rsidRDefault="00F7347D">
      <w:pPr>
        <w:pStyle w:val="TOC2"/>
        <w:tabs>
          <w:tab w:val="right" w:leader="dot" w:pos="9016"/>
        </w:tabs>
        <w:rPr>
          <w:rFonts w:asciiTheme="minorHAnsi" w:eastAsiaTheme="minorEastAsia" w:hAnsiTheme="minorHAnsi"/>
          <w:noProof/>
          <w:lang w:eastAsia="en-AU"/>
        </w:rPr>
      </w:pPr>
      <w:hyperlink w:anchor="_Toc517179047" w:history="1">
        <w:r w:rsidR="007F340F" w:rsidRPr="004E2B6B">
          <w:rPr>
            <w:rStyle w:val="Hyperlink"/>
            <w:noProof/>
          </w:rPr>
          <w:t>Exercise evaluation</w:t>
        </w:r>
        <w:r w:rsidR="007F340F">
          <w:rPr>
            <w:noProof/>
            <w:webHidden/>
          </w:rPr>
          <w:tab/>
        </w:r>
        <w:r w:rsidR="007F340F">
          <w:rPr>
            <w:noProof/>
            <w:webHidden/>
          </w:rPr>
          <w:fldChar w:fldCharType="begin"/>
        </w:r>
        <w:r w:rsidR="007F340F">
          <w:rPr>
            <w:noProof/>
            <w:webHidden/>
          </w:rPr>
          <w:instrText xml:space="preserve"> PAGEREF _Toc517179047 \h </w:instrText>
        </w:r>
        <w:r w:rsidR="007F340F">
          <w:rPr>
            <w:noProof/>
            <w:webHidden/>
          </w:rPr>
        </w:r>
        <w:r w:rsidR="007F340F">
          <w:rPr>
            <w:noProof/>
            <w:webHidden/>
          </w:rPr>
          <w:fldChar w:fldCharType="separate"/>
        </w:r>
        <w:r w:rsidR="007F340F">
          <w:rPr>
            <w:noProof/>
            <w:webHidden/>
          </w:rPr>
          <w:t>8</w:t>
        </w:r>
        <w:r w:rsidR="007F340F">
          <w:rPr>
            <w:noProof/>
            <w:webHidden/>
          </w:rPr>
          <w:fldChar w:fldCharType="end"/>
        </w:r>
      </w:hyperlink>
    </w:p>
    <w:p w14:paraId="75CD30E1" w14:textId="77777777" w:rsidR="007F340F" w:rsidRDefault="00F7347D">
      <w:pPr>
        <w:pStyle w:val="TOC2"/>
        <w:tabs>
          <w:tab w:val="right" w:leader="dot" w:pos="9016"/>
        </w:tabs>
        <w:rPr>
          <w:rFonts w:asciiTheme="minorHAnsi" w:eastAsiaTheme="minorEastAsia" w:hAnsiTheme="minorHAnsi"/>
          <w:noProof/>
          <w:lang w:eastAsia="en-AU"/>
        </w:rPr>
      </w:pPr>
      <w:hyperlink w:anchor="_Toc517179048" w:history="1">
        <w:r w:rsidR="007F340F" w:rsidRPr="004E2B6B">
          <w:rPr>
            <w:rStyle w:val="Hyperlink"/>
            <w:noProof/>
          </w:rPr>
          <w:t>Recommendations</w:t>
        </w:r>
        <w:r w:rsidR="007F340F">
          <w:rPr>
            <w:noProof/>
            <w:webHidden/>
          </w:rPr>
          <w:tab/>
        </w:r>
        <w:r w:rsidR="007F340F">
          <w:rPr>
            <w:noProof/>
            <w:webHidden/>
          </w:rPr>
          <w:fldChar w:fldCharType="begin"/>
        </w:r>
        <w:r w:rsidR="007F340F">
          <w:rPr>
            <w:noProof/>
            <w:webHidden/>
          </w:rPr>
          <w:instrText xml:space="preserve"> PAGEREF _Toc517179048 \h </w:instrText>
        </w:r>
        <w:r w:rsidR="007F340F">
          <w:rPr>
            <w:noProof/>
            <w:webHidden/>
          </w:rPr>
        </w:r>
        <w:r w:rsidR="007F340F">
          <w:rPr>
            <w:noProof/>
            <w:webHidden/>
          </w:rPr>
          <w:fldChar w:fldCharType="separate"/>
        </w:r>
        <w:r w:rsidR="007F340F">
          <w:rPr>
            <w:noProof/>
            <w:webHidden/>
          </w:rPr>
          <w:t>9</w:t>
        </w:r>
        <w:r w:rsidR="007F340F">
          <w:rPr>
            <w:noProof/>
            <w:webHidden/>
          </w:rPr>
          <w:fldChar w:fldCharType="end"/>
        </w:r>
      </w:hyperlink>
    </w:p>
    <w:p w14:paraId="5BD92D69" w14:textId="77777777" w:rsidR="007F340F" w:rsidRDefault="00F7347D">
      <w:pPr>
        <w:pStyle w:val="TOC2"/>
        <w:tabs>
          <w:tab w:val="right" w:leader="dot" w:pos="9016"/>
        </w:tabs>
        <w:rPr>
          <w:rFonts w:asciiTheme="minorHAnsi" w:eastAsiaTheme="minorEastAsia" w:hAnsiTheme="minorHAnsi"/>
          <w:noProof/>
          <w:lang w:eastAsia="en-AU"/>
        </w:rPr>
      </w:pPr>
      <w:hyperlink w:anchor="_Toc517179049" w:history="1">
        <w:r w:rsidR="007F340F" w:rsidRPr="004E2B6B">
          <w:rPr>
            <w:rStyle w:val="Hyperlink"/>
            <w:noProof/>
          </w:rPr>
          <w:t>Department’s analysis of performance</w:t>
        </w:r>
        <w:r w:rsidR="007F340F">
          <w:rPr>
            <w:noProof/>
            <w:webHidden/>
          </w:rPr>
          <w:tab/>
        </w:r>
        <w:r w:rsidR="007F340F">
          <w:rPr>
            <w:noProof/>
            <w:webHidden/>
          </w:rPr>
          <w:fldChar w:fldCharType="begin"/>
        </w:r>
        <w:r w:rsidR="007F340F">
          <w:rPr>
            <w:noProof/>
            <w:webHidden/>
          </w:rPr>
          <w:instrText xml:space="preserve"> PAGEREF _Toc517179049 \h </w:instrText>
        </w:r>
        <w:r w:rsidR="007F340F">
          <w:rPr>
            <w:noProof/>
            <w:webHidden/>
          </w:rPr>
        </w:r>
        <w:r w:rsidR="007F340F">
          <w:rPr>
            <w:noProof/>
            <w:webHidden/>
          </w:rPr>
          <w:fldChar w:fldCharType="separate"/>
        </w:r>
        <w:r w:rsidR="007F340F">
          <w:rPr>
            <w:noProof/>
            <w:webHidden/>
          </w:rPr>
          <w:t>12</w:t>
        </w:r>
        <w:r w:rsidR="007F340F">
          <w:rPr>
            <w:noProof/>
            <w:webHidden/>
          </w:rPr>
          <w:fldChar w:fldCharType="end"/>
        </w:r>
      </w:hyperlink>
    </w:p>
    <w:p w14:paraId="35AFF0C8" w14:textId="77777777" w:rsidR="007F340F" w:rsidRDefault="00F7347D">
      <w:pPr>
        <w:pStyle w:val="TOC2"/>
        <w:tabs>
          <w:tab w:val="right" w:leader="dot" w:pos="9016"/>
        </w:tabs>
        <w:rPr>
          <w:rFonts w:asciiTheme="minorHAnsi" w:eastAsiaTheme="minorEastAsia" w:hAnsiTheme="minorHAnsi"/>
          <w:noProof/>
          <w:lang w:eastAsia="en-AU"/>
        </w:rPr>
      </w:pPr>
      <w:hyperlink w:anchor="_Toc517179050" w:history="1">
        <w:r w:rsidR="007F340F" w:rsidRPr="004E2B6B">
          <w:rPr>
            <w:rStyle w:val="Hyperlink"/>
            <w:noProof/>
          </w:rPr>
          <w:t>Conclusion</w:t>
        </w:r>
        <w:r w:rsidR="007F340F">
          <w:rPr>
            <w:noProof/>
            <w:webHidden/>
          </w:rPr>
          <w:tab/>
        </w:r>
        <w:r w:rsidR="007F340F">
          <w:rPr>
            <w:noProof/>
            <w:webHidden/>
          </w:rPr>
          <w:fldChar w:fldCharType="begin"/>
        </w:r>
        <w:r w:rsidR="007F340F">
          <w:rPr>
            <w:noProof/>
            <w:webHidden/>
          </w:rPr>
          <w:instrText xml:space="preserve"> PAGEREF _Toc517179050 \h </w:instrText>
        </w:r>
        <w:r w:rsidR="007F340F">
          <w:rPr>
            <w:noProof/>
            <w:webHidden/>
          </w:rPr>
        </w:r>
        <w:r w:rsidR="007F340F">
          <w:rPr>
            <w:noProof/>
            <w:webHidden/>
          </w:rPr>
          <w:fldChar w:fldCharType="separate"/>
        </w:r>
        <w:r w:rsidR="007F340F">
          <w:rPr>
            <w:noProof/>
            <w:webHidden/>
          </w:rPr>
          <w:t>13</w:t>
        </w:r>
        <w:r w:rsidR="007F340F">
          <w:rPr>
            <w:noProof/>
            <w:webHidden/>
          </w:rPr>
          <w:fldChar w:fldCharType="end"/>
        </w:r>
      </w:hyperlink>
    </w:p>
    <w:p w14:paraId="69A15D81" w14:textId="2C53FCE6" w:rsidR="00A54A81" w:rsidRDefault="00A54A81" w:rsidP="00174E3A">
      <w:r>
        <w:fldChar w:fldCharType="end"/>
      </w:r>
      <w:r>
        <w:br w:type="page"/>
      </w:r>
    </w:p>
    <w:p w14:paraId="480E3203" w14:textId="7DEB94B6" w:rsidR="00714DC0" w:rsidRPr="00957A56" w:rsidRDefault="00C2492C">
      <w:pPr>
        <w:pStyle w:val="Heading2"/>
      </w:pPr>
      <w:bookmarkStart w:id="21" w:name="_Toc517179038"/>
      <w:bookmarkEnd w:id="15"/>
      <w:r>
        <w:lastRenderedPageBreak/>
        <w:t>Introduction</w:t>
      </w:r>
      <w:bookmarkEnd w:id="21"/>
    </w:p>
    <w:p w14:paraId="5B40FD94" w14:textId="0479E7E9" w:rsidR="00F65078" w:rsidRDefault="00433FCE" w:rsidP="003F3B32">
      <w:r>
        <w:t>The</w:t>
      </w:r>
      <w:r w:rsidR="006E4ED1">
        <w:t xml:space="preserve"> Department of Industry, Innovation and Science’s</w:t>
      </w:r>
      <w:r w:rsidR="004A4E61">
        <w:t xml:space="preserve"> </w:t>
      </w:r>
      <w:r>
        <w:t xml:space="preserve">Offshore Petroleum Incident Coordination Framework is exercised every two years to </w:t>
      </w:r>
      <w:r w:rsidR="00F65078">
        <w:t xml:space="preserve">test procedures, enhance participants’ knowledge of plans, and identify opportunities to improve competency and capability. This is done in preparation for the unlikely </w:t>
      </w:r>
      <w:r w:rsidR="00A96255">
        <w:t>event of a</w:t>
      </w:r>
      <w:r w:rsidR="00830761">
        <w:t>n</w:t>
      </w:r>
      <w:r w:rsidR="00A96255">
        <w:t xml:space="preserve"> offshore petroleum incident</w:t>
      </w:r>
      <w:r w:rsidR="00830761">
        <w:t xml:space="preserve"> occurring in Commonwealth waters</w:t>
      </w:r>
      <w:r w:rsidR="00A96255">
        <w:t>.</w:t>
      </w:r>
    </w:p>
    <w:p w14:paraId="658FAEE1" w14:textId="06A265EE" w:rsidR="000F0E5B" w:rsidRDefault="00714DC0" w:rsidP="003F3B32">
      <w:r w:rsidRPr="007E47D3">
        <w:t>In</w:t>
      </w:r>
      <w:r w:rsidR="00A80743">
        <w:t xml:space="preserve"> September</w:t>
      </w:r>
      <w:r w:rsidRPr="007E47D3">
        <w:t xml:space="preserve"> 2017</w:t>
      </w:r>
      <w:r w:rsidR="00AF7BC7">
        <w:t xml:space="preserve">, the Commonwealth Government </w:t>
      </w:r>
      <w:r w:rsidR="006A65F1">
        <w:t>participated</w:t>
      </w:r>
      <w:r w:rsidR="00AF7BC7">
        <w:t xml:space="preserve"> in Exercise Ningaloo Challenge, </w:t>
      </w:r>
      <w:r w:rsidR="00782C5C">
        <w:t xml:space="preserve">which was </w:t>
      </w:r>
      <w:r w:rsidR="00AF7BC7">
        <w:t>led by the Western Australia Department of Transport (</w:t>
      </w:r>
      <w:r w:rsidR="006A65F1">
        <w:t xml:space="preserve">WA DoT). </w:t>
      </w:r>
    </w:p>
    <w:p w14:paraId="12F7FD8C" w14:textId="633CC6A2" w:rsidR="000F0E5B" w:rsidRDefault="003F3B32" w:rsidP="003F3B32">
      <w:r w:rsidRPr="007E47D3">
        <w:t>Exercise Ningaloo Challenge was a real time</w:t>
      </w:r>
      <w:r w:rsidR="00830761">
        <w:t>,</w:t>
      </w:r>
      <w:r w:rsidRPr="007E47D3">
        <w:t xml:space="preserve"> strategic level</w:t>
      </w:r>
      <w:r w:rsidR="00830761">
        <w:t>,</w:t>
      </w:r>
      <w:r w:rsidRPr="007E47D3">
        <w:t xml:space="preserve"> functional</w:t>
      </w:r>
      <w:r>
        <w:rPr>
          <w:rStyle w:val="FootnoteReference"/>
          <w:rFonts w:ascii="Arial" w:hAnsi="Arial" w:cs="Arial"/>
        </w:rPr>
        <w:footnoteReference w:id="2"/>
      </w:r>
      <w:r w:rsidRPr="007E47D3">
        <w:t xml:space="preserve"> exercise focusing on the practical implementation of Commonwealth</w:t>
      </w:r>
      <w:r>
        <w:t>,</w:t>
      </w:r>
      <w:r w:rsidRPr="007E47D3">
        <w:t xml:space="preserve"> state </w:t>
      </w:r>
      <w:r>
        <w:t xml:space="preserve">and industry </w:t>
      </w:r>
      <w:r w:rsidRPr="007E47D3">
        <w:t xml:space="preserve">emergency management arrangements in response to a </w:t>
      </w:r>
      <w:r w:rsidR="00395C86" w:rsidRPr="00990642">
        <w:t>Level 3</w:t>
      </w:r>
      <w:r w:rsidR="00395C86" w:rsidRPr="00090E9A">
        <w:t xml:space="preserve"> offshore marine oil pollution incident</w:t>
      </w:r>
      <w:r w:rsidR="00327F2E">
        <w:rPr>
          <w:rStyle w:val="FootnoteReference"/>
        </w:rPr>
        <w:footnoteReference w:id="3"/>
      </w:r>
      <w:r w:rsidR="00395C86">
        <w:t>.</w:t>
      </w:r>
      <w:r w:rsidR="00395C86" w:rsidRPr="007E47D3">
        <w:t xml:space="preserve"> </w:t>
      </w:r>
    </w:p>
    <w:p w14:paraId="401B8AE8" w14:textId="36E268EF" w:rsidR="003F3B32" w:rsidRPr="007E47D3" w:rsidRDefault="003F3B32" w:rsidP="003F3B32">
      <w:r w:rsidRPr="007E47D3">
        <w:t>The</w:t>
      </w:r>
      <w:r w:rsidR="00CF5128">
        <w:t xml:space="preserve"> </w:t>
      </w:r>
      <w:r w:rsidR="008C7B05">
        <w:t>Offshore Petroleum Incident Coordination Committee (OPICC)</w:t>
      </w:r>
      <w:r w:rsidR="00F83566">
        <w:t>-led</w:t>
      </w:r>
      <w:r w:rsidR="00CF5128">
        <w:t xml:space="preserve"> component of the</w:t>
      </w:r>
      <w:r w:rsidRPr="007E47D3">
        <w:t xml:space="preserve"> </w:t>
      </w:r>
      <w:r>
        <w:t>e</w:t>
      </w:r>
      <w:r w:rsidRPr="007E47D3">
        <w:t xml:space="preserve">xercise was conducted in </w:t>
      </w:r>
      <w:r w:rsidR="00CF5128" w:rsidRPr="007E47D3">
        <w:t>Canberra</w:t>
      </w:r>
      <w:r w:rsidR="00CF5128">
        <w:t xml:space="preserve">, in coordination with Commonwealth </w:t>
      </w:r>
      <w:r w:rsidR="009B7BBB">
        <w:t xml:space="preserve">participants </w:t>
      </w:r>
      <w:r w:rsidR="00CF5128">
        <w:t xml:space="preserve">and state and industry activities across Western Australia in Fremantle, Perth and </w:t>
      </w:r>
      <w:r w:rsidRPr="007E47D3">
        <w:t>Exmouth</w:t>
      </w:r>
      <w:r w:rsidR="00CF5128">
        <w:t>.</w:t>
      </w:r>
      <w:r w:rsidRPr="007E47D3">
        <w:t xml:space="preserve"> </w:t>
      </w:r>
      <w:r w:rsidR="00CF5128">
        <w:t>The exercise</w:t>
      </w:r>
      <w:r w:rsidRPr="007E47D3">
        <w:t xml:space="preserve"> was run c</w:t>
      </w:r>
      <w:r>
        <w:t>oncurrently over two time zones;</w:t>
      </w:r>
      <w:r w:rsidRPr="007E47D3">
        <w:t xml:space="preserve"> </w:t>
      </w:r>
      <w:r w:rsidR="00782C5C" w:rsidRPr="007E47D3">
        <w:t xml:space="preserve">Australian </w:t>
      </w:r>
      <w:r w:rsidRPr="007E47D3">
        <w:t>Eastern Standard Time</w:t>
      </w:r>
      <w:r w:rsidR="000F0E5B" w:rsidRPr="000F0E5B">
        <w:t xml:space="preserve"> </w:t>
      </w:r>
      <w:r w:rsidR="000F0E5B">
        <w:t xml:space="preserve">(AEST) and </w:t>
      </w:r>
      <w:r w:rsidR="004C5D89">
        <w:t>Australian Western Standard Time</w:t>
      </w:r>
      <w:r w:rsidRPr="007E47D3">
        <w:t>.</w:t>
      </w:r>
    </w:p>
    <w:p w14:paraId="63A18A69" w14:textId="05B10DDD" w:rsidR="00714DC0" w:rsidRPr="007E47D3" w:rsidRDefault="00714DC0">
      <w:r w:rsidRPr="007E47D3">
        <w:t xml:space="preserve">Risk Emergency Management (REM) Associates was contracted by </w:t>
      </w:r>
      <w:r w:rsidR="00C42E0E">
        <w:t xml:space="preserve">the </w:t>
      </w:r>
      <w:r w:rsidR="006A65F1">
        <w:t xml:space="preserve">Department of Industry, Innovation and Science (the </w:t>
      </w:r>
      <w:r w:rsidR="00C42E0E">
        <w:t>department</w:t>
      </w:r>
      <w:r w:rsidR="006A65F1">
        <w:t>)</w:t>
      </w:r>
      <w:r w:rsidR="00C42E0E" w:rsidRPr="007E47D3">
        <w:t xml:space="preserve"> </w:t>
      </w:r>
      <w:r w:rsidRPr="007E47D3">
        <w:t>to integrate a sub-exercise into E</w:t>
      </w:r>
      <w:r w:rsidR="000F0E5B">
        <w:t xml:space="preserve">xercise Ningaloo Challenge. This sub-exercise was designed to </w:t>
      </w:r>
      <w:r w:rsidRPr="007E47D3">
        <w:t xml:space="preserve">evaluate the </w:t>
      </w:r>
      <w:r w:rsidR="00383AFF">
        <w:t xml:space="preserve">performance of the </w:t>
      </w:r>
      <w:r w:rsidR="002F7A01" w:rsidRPr="007E47D3">
        <w:t>OPICC</w:t>
      </w:r>
      <w:r w:rsidR="002F7A01">
        <w:t xml:space="preserve"> and </w:t>
      </w:r>
      <w:r w:rsidR="00383AFF">
        <w:t xml:space="preserve">the </w:t>
      </w:r>
      <w:r w:rsidR="00C42E0E">
        <w:t>department</w:t>
      </w:r>
      <w:r w:rsidR="00856770">
        <w:t>’s</w:t>
      </w:r>
      <w:r w:rsidR="00C42E0E" w:rsidRPr="007E47D3">
        <w:t xml:space="preserve"> </w:t>
      </w:r>
      <w:r w:rsidRPr="007E47D3">
        <w:t>Crisis Management Team (CMT).</w:t>
      </w:r>
    </w:p>
    <w:p w14:paraId="4979B1B5" w14:textId="3F8B5B5C" w:rsidR="00655932" w:rsidRDefault="00714DC0">
      <w:r w:rsidRPr="007E47D3">
        <w:t xml:space="preserve">This report </w:t>
      </w:r>
      <w:r w:rsidR="004C5D89">
        <w:t xml:space="preserve">includes the recommendations made by </w:t>
      </w:r>
      <w:r w:rsidRPr="007E47D3">
        <w:t xml:space="preserve">REM Associates </w:t>
      </w:r>
      <w:r w:rsidR="004C5D89">
        <w:t xml:space="preserve">after evaluating </w:t>
      </w:r>
      <w:r w:rsidRPr="007E47D3">
        <w:t xml:space="preserve">the </w:t>
      </w:r>
      <w:r w:rsidR="004C5D89">
        <w:t xml:space="preserve">performance of the </w:t>
      </w:r>
      <w:r w:rsidR="008F1F40">
        <w:t xml:space="preserve">OPICC and the </w:t>
      </w:r>
      <w:r w:rsidR="00C42E0E">
        <w:t>department</w:t>
      </w:r>
      <w:r w:rsidR="008F1F40">
        <w:t xml:space="preserve">’s CMT </w:t>
      </w:r>
      <w:r w:rsidRPr="007E47D3">
        <w:t>during the exercise</w:t>
      </w:r>
      <w:r w:rsidR="002C11A4">
        <w:t>. The department</w:t>
      </w:r>
      <w:r w:rsidR="003F3B32">
        <w:t>’s</w:t>
      </w:r>
      <w:r w:rsidR="002C11A4">
        <w:t xml:space="preserve"> response to these recommendations and </w:t>
      </w:r>
      <w:r w:rsidR="009B7BBB">
        <w:t xml:space="preserve">the </w:t>
      </w:r>
      <w:r w:rsidR="000F0E5B">
        <w:t xml:space="preserve">proposed </w:t>
      </w:r>
      <w:r w:rsidR="003F69AE">
        <w:t>actions to address the recommendations</w:t>
      </w:r>
      <w:r w:rsidR="002C11A4">
        <w:t xml:space="preserve"> </w:t>
      </w:r>
      <w:r w:rsidR="00504E0D">
        <w:t>are</w:t>
      </w:r>
      <w:r w:rsidR="002C11A4">
        <w:t xml:space="preserve"> provided.</w:t>
      </w:r>
    </w:p>
    <w:p w14:paraId="30ADF82E" w14:textId="7F718584" w:rsidR="00921525" w:rsidRDefault="00C2492C" w:rsidP="00B7114E">
      <w:pPr>
        <w:pStyle w:val="Heading2"/>
      </w:pPr>
      <w:bookmarkStart w:id="22" w:name="_Toc517179039"/>
      <w:bookmarkStart w:id="23" w:name="_Toc505678976"/>
      <w:r>
        <w:t>Background</w:t>
      </w:r>
      <w:bookmarkEnd w:id="22"/>
    </w:p>
    <w:p w14:paraId="2C8ABD19" w14:textId="77777777" w:rsidR="00F142CC" w:rsidRDefault="00F142CC" w:rsidP="00F142CC">
      <w:r>
        <w:t xml:space="preserve">The Department of Industry, Innovation and Science has responsibility for resources policy matters for the Commonwealth Government, and for the legislation that regulates the environment, safety, and resource management of the offshore petroleum industry within </w:t>
      </w:r>
      <w:r>
        <w:lastRenderedPageBreak/>
        <w:t>Commonwealth waters</w:t>
      </w:r>
      <w:r>
        <w:rPr>
          <w:rStyle w:val="FootnoteReference"/>
        </w:rPr>
        <w:footnoteReference w:id="4"/>
      </w:r>
      <w:r>
        <w:t xml:space="preserve">: the </w:t>
      </w:r>
      <w:r w:rsidRPr="007A130E">
        <w:rPr>
          <w:i/>
        </w:rPr>
        <w:t>Offshore Petroleum and Greenhouse Gas Storage Act 2006</w:t>
      </w:r>
      <w:r>
        <w:t xml:space="preserve"> (OPGGS Act) and associated regulations.</w:t>
      </w:r>
    </w:p>
    <w:p w14:paraId="61852F56" w14:textId="55289F3D" w:rsidR="00F142CC" w:rsidRDefault="00327F2E" w:rsidP="00F142CC">
      <w:r>
        <w:t>T</w:t>
      </w:r>
      <w:r w:rsidR="00F142CC">
        <w:t>he Australian Government Crisis Management Framework designates the Department of Industry, Innovation and Science as the lead Commonwealth agency for incidents involving an offshore petroleum facility in Commonwealth waters. The Minister with responsibility for resources is designated as the lead Commonwealth Minister.</w:t>
      </w:r>
    </w:p>
    <w:p w14:paraId="572FBB25" w14:textId="409ECEAF" w:rsidR="0006103B" w:rsidRDefault="004F2173" w:rsidP="00F142CC">
      <w:r>
        <w:t>Under the</w:t>
      </w:r>
      <w:r w:rsidR="00F142CC">
        <w:t xml:space="preserve"> OPGGS</w:t>
      </w:r>
      <w:r>
        <w:t>,</w:t>
      </w:r>
      <w:r w:rsidR="00F142CC">
        <w:t xml:space="preserve"> </w:t>
      </w:r>
      <w:r w:rsidR="008B7323">
        <w:t xml:space="preserve">if there is an escape of petroleum in relation to a petroleum activity, </w:t>
      </w:r>
      <w:r w:rsidR="00F142CC">
        <w:t xml:space="preserve">the </w:t>
      </w:r>
      <w:r w:rsidR="00833A15">
        <w:t xml:space="preserve">petroleum </w:t>
      </w:r>
      <w:r w:rsidR="00F142CC">
        <w:t>company</w:t>
      </w:r>
      <w:r w:rsidR="00833A15">
        <w:t xml:space="preserve"> </w:t>
      </w:r>
      <w:r w:rsidR="007904D9">
        <w:t xml:space="preserve">involved </w:t>
      </w:r>
      <w:r w:rsidR="00833A15">
        <w:t xml:space="preserve">(the titleholder) </w:t>
      </w:r>
      <w:r w:rsidR="00F142CC">
        <w:t>bears the responsibility for carrying out the operational response, including stopping and containing the spill, remediating any environmental damage and</w:t>
      </w:r>
      <w:r w:rsidR="00F142CC" w:rsidRPr="004B1C76">
        <w:t xml:space="preserve"> </w:t>
      </w:r>
      <w:r w:rsidR="00F142CC">
        <w:t xml:space="preserve">conducting </w:t>
      </w:r>
      <w:r w:rsidR="00F142CC" w:rsidRPr="004B1C76">
        <w:t>environment</w:t>
      </w:r>
      <w:r w:rsidR="00F142CC">
        <w:t>al</w:t>
      </w:r>
      <w:r w:rsidR="00F142CC" w:rsidRPr="004B1C76">
        <w:t xml:space="preserve"> monitoring. </w:t>
      </w:r>
    </w:p>
    <w:p w14:paraId="3FFDF649" w14:textId="4972AEAA" w:rsidR="00F142CC" w:rsidRDefault="00392143" w:rsidP="00F142CC">
      <w:r>
        <w:t xml:space="preserve">This approach is common </w:t>
      </w:r>
      <w:r w:rsidR="0006103B">
        <w:t xml:space="preserve">for the </w:t>
      </w:r>
      <w:r>
        <w:t>global</w:t>
      </w:r>
      <w:r w:rsidR="0006103B">
        <w:t xml:space="preserve"> offshore oil and gas industry, but</w:t>
      </w:r>
      <w:r w:rsidR="00F142CC">
        <w:t xml:space="preserve"> presents a unique situation </w:t>
      </w:r>
      <w:r w:rsidR="0006103B">
        <w:t>within Australia</w:t>
      </w:r>
      <w:r w:rsidR="00F142CC">
        <w:t xml:space="preserve">, where </w:t>
      </w:r>
      <w:r w:rsidR="00D90A08">
        <w:t xml:space="preserve">emergency </w:t>
      </w:r>
      <w:r w:rsidR="008E303E">
        <w:t xml:space="preserve">management </w:t>
      </w:r>
      <w:r w:rsidR="00F142CC">
        <w:t xml:space="preserve">processes </w:t>
      </w:r>
      <w:r w:rsidR="00811179">
        <w:t xml:space="preserve">are </w:t>
      </w:r>
      <w:r w:rsidR="00F142CC">
        <w:t xml:space="preserve">usually </w:t>
      </w:r>
      <w:r w:rsidR="00811179">
        <w:t>led by</w:t>
      </w:r>
      <w:r w:rsidR="00833A15">
        <w:t xml:space="preserve"> either</w:t>
      </w:r>
      <w:r w:rsidR="00F142CC">
        <w:t xml:space="preserve"> state or territory governments, or operational agencies within the </w:t>
      </w:r>
      <w:r w:rsidR="004F2173">
        <w:t>C</w:t>
      </w:r>
      <w:r w:rsidR="00F142CC">
        <w:t>ommonwealth</w:t>
      </w:r>
      <w:r w:rsidR="00833A15">
        <w:t xml:space="preserve"> Government</w:t>
      </w:r>
      <w:r w:rsidR="00811179">
        <w:t xml:space="preserve"> who</w:t>
      </w:r>
      <w:r w:rsidR="00F142CC">
        <w:t xml:space="preserve"> take responsibility for emergency response and reporting. For offshore petroleum incidents under Commonwealth jurisdiction, the titleholder fills this role. </w:t>
      </w:r>
    </w:p>
    <w:p w14:paraId="435470DC" w14:textId="75E09E31" w:rsidR="00F142CC" w:rsidRPr="004B1C76" w:rsidRDefault="00F142CC" w:rsidP="00F142CC">
      <w:r>
        <w:t xml:space="preserve">To ensure that the </w:t>
      </w:r>
      <w:r w:rsidRPr="00EE473D">
        <w:t xml:space="preserve">Commonwealth </w:t>
      </w:r>
      <w:r>
        <w:t>Government has</w:t>
      </w:r>
      <w:r w:rsidRPr="00EE473D">
        <w:t xml:space="preserve"> a clearly articulated and agreed approach to </w:t>
      </w:r>
      <w:r w:rsidR="004F2173">
        <w:t xml:space="preserve">respond to </w:t>
      </w:r>
      <w:r w:rsidRPr="00EE473D">
        <w:t>potential future offshore petroleum incident</w:t>
      </w:r>
      <w:r>
        <w:t>s, the Offshore Petroleum Incident Coordination Framework (the Framework) was</w:t>
      </w:r>
      <w:r w:rsidR="00327F2E">
        <w:t xml:space="preserve"> developed, and </w:t>
      </w:r>
      <w:r w:rsidR="00BB1776">
        <w:t xml:space="preserve">was </w:t>
      </w:r>
      <w:r w:rsidR="00327F2E">
        <w:t xml:space="preserve">put in place in </w:t>
      </w:r>
      <w:r>
        <w:t>January 2015. The Framework sets out the roles and responsibilities of Commonwealth agencies and establishes the OPICC as a central point of coordination to be activated in the event of a significant offshore petroleum incident.</w:t>
      </w:r>
    </w:p>
    <w:p w14:paraId="197A7BB2" w14:textId="4521B430" w:rsidR="00F142CC" w:rsidRDefault="00F142CC" w:rsidP="00F142CC">
      <w:r>
        <w:t xml:space="preserve">The 2015 </w:t>
      </w:r>
      <w:hyperlink r:id="rId14" w:history="1">
        <w:r w:rsidRPr="000E2F1C">
          <w:rPr>
            <w:rStyle w:val="Hyperlink"/>
          </w:rPr>
          <w:t>National Plan</w:t>
        </w:r>
      </w:hyperlink>
      <w:r w:rsidR="000E2F1C">
        <w:rPr>
          <w:rStyle w:val="FootnoteReference"/>
        </w:rPr>
        <w:footnoteReference w:id="5"/>
      </w:r>
      <w:r>
        <w:t xml:space="preserve"> exercise, Exercise </w:t>
      </w:r>
      <w:proofErr w:type="spellStart"/>
      <w:r>
        <w:t>Westwind</w:t>
      </w:r>
      <w:proofErr w:type="spellEnd"/>
      <w:r>
        <w:t xml:space="preserve">, provided the first opportunity to exercise the Framework and the OPICC. Exercise </w:t>
      </w:r>
      <w:proofErr w:type="spellStart"/>
      <w:r>
        <w:t>Westwind</w:t>
      </w:r>
      <w:proofErr w:type="spellEnd"/>
      <w:r>
        <w:t xml:space="preserve"> reinforced the value of a coordinated approach and showed that the concept of</w:t>
      </w:r>
      <w:r w:rsidR="00A83278">
        <w:t xml:space="preserve"> bringing key stakeholders together</w:t>
      </w:r>
      <w:r>
        <w:t xml:space="preserve"> </w:t>
      </w:r>
      <w:r w:rsidR="00A83278">
        <w:t xml:space="preserve">through </w:t>
      </w:r>
      <w:r>
        <w:t>the OPICC</w:t>
      </w:r>
      <w:r w:rsidR="00A83278">
        <w:t xml:space="preserve"> to facilitate interaction</w:t>
      </w:r>
      <w:r>
        <w:t xml:space="preserve"> was sound, however there were areas for improvement. The Exercise </w:t>
      </w:r>
      <w:proofErr w:type="spellStart"/>
      <w:r>
        <w:t>Westwind</w:t>
      </w:r>
      <w:proofErr w:type="spellEnd"/>
      <w:r>
        <w:t xml:space="preserve"> Evaluation Report</w:t>
      </w:r>
      <w:r>
        <w:rPr>
          <w:rStyle w:val="FootnoteReference"/>
        </w:rPr>
        <w:footnoteReference w:id="6"/>
      </w:r>
      <w:r>
        <w:t xml:space="preserve"> identified three recommendations relating to the OPICC and the Framework:</w:t>
      </w:r>
    </w:p>
    <w:p w14:paraId="0AE811FE" w14:textId="684679A7" w:rsidR="00F142CC" w:rsidRDefault="00F142CC" w:rsidP="00F142CC">
      <w:pPr>
        <w:pStyle w:val="ListParagraph"/>
        <w:numPr>
          <w:ilvl w:val="0"/>
          <w:numId w:val="16"/>
        </w:numPr>
      </w:pPr>
      <w:r>
        <w:t>Review the purpose and functions of the Offshore Petroleum Incident Coordination Framework (OPICF), and the role and responsibilities of OPICC and OPICC Secretariat to ensure that the OPICF provides an effective framework for strategic Government leadership in emergency response</w:t>
      </w:r>
      <w:r w:rsidR="007F340F">
        <w:t>.</w:t>
      </w:r>
    </w:p>
    <w:p w14:paraId="0406E4D7" w14:textId="10A06B3A" w:rsidR="00F142CC" w:rsidRDefault="00F142CC" w:rsidP="00F142CC">
      <w:pPr>
        <w:pStyle w:val="ListParagraph"/>
        <w:numPr>
          <w:ilvl w:val="0"/>
          <w:numId w:val="16"/>
        </w:numPr>
      </w:pPr>
      <w:r>
        <w:t>Ensure that the OPICF is supported by a formal learning and development and exercise program for OPICC members, and the OPICC Secretariat ensures an ongoing strategic response capability</w:t>
      </w:r>
      <w:r w:rsidR="007F340F">
        <w:t>.</w:t>
      </w:r>
    </w:p>
    <w:p w14:paraId="1785BBFD" w14:textId="1724D966" w:rsidR="00F142CC" w:rsidRDefault="00F142CC" w:rsidP="00F142CC">
      <w:pPr>
        <w:pStyle w:val="ListParagraph"/>
        <w:numPr>
          <w:ilvl w:val="0"/>
          <w:numId w:val="16"/>
        </w:numPr>
      </w:pPr>
      <w:r>
        <w:lastRenderedPageBreak/>
        <w:t>Seek greater integration between OPICF and the Australian Government capabilities for crisis management, including linkages to crisis communication capabilities within the Australian Government Crisis Coordination Centre of the Attorney-General’s Department</w:t>
      </w:r>
      <w:r w:rsidR="00BB1776">
        <w:t>.</w:t>
      </w:r>
    </w:p>
    <w:p w14:paraId="00898F03" w14:textId="5D66291C" w:rsidR="00F142CC" w:rsidRDefault="00F142CC" w:rsidP="00F142CC">
      <w:r>
        <w:t>These recommendations reflect</w:t>
      </w:r>
      <w:r w:rsidR="004F2173">
        <w:t>ed</w:t>
      </w:r>
      <w:r>
        <w:t xml:space="preserve"> that the OPICC, as a committee, was newly established and </w:t>
      </w:r>
      <w:r w:rsidR="00A83278">
        <w:t xml:space="preserve">was </w:t>
      </w:r>
      <w:r>
        <w:t xml:space="preserve">exercising its role for the first time. The exercise showed that there was a need for improved integration with other Commonwealth Government’s capabilities, and for greater preparation through </w:t>
      </w:r>
      <w:r w:rsidRPr="00C7039F">
        <w:t>learning and development</w:t>
      </w:r>
      <w:r>
        <w:t>.</w:t>
      </w:r>
    </w:p>
    <w:p w14:paraId="38401F1C" w14:textId="77777777" w:rsidR="00F142CC" w:rsidRDefault="00F142CC" w:rsidP="00F142CC">
      <w:r>
        <w:t xml:space="preserve">Importantly, Exercise </w:t>
      </w:r>
      <w:proofErr w:type="spellStart"/>
      <w:r>
        <w:t>Westwind</w:t>
      </w:r>
      <w:proofErr w:type="spellEnd"/>
      <w:r>
        <w:t xml:space="preserve"> showed that the OPICC needed to take a leading role in driving the Commonwealth’s strategic response, rather than focusing only on coordination and information-sharing.</w:t>
      </w:r>
    </w:p>
    <w:p w14:paraId="2794145F" w14:textId="5E3AEB0A" w:rsidR="00A83278" w:rsidRDefault="00BB1776" w:rsidP="00F142CC">
      <w:r>
        <w:t>T</w:t>
      </w:r>
      <w:r w:rsidR="00F142CC">
        <w:t>he department collaborated with stakeholders</w:t>
      </w:r>
      <w:r w:rsidR="00A83278">
        <w:t xml:space="preserve"> during 2016 and </w:t>
      </w:r>
      <w:r w:rsidR="005253D3">
        <w:t xml:space="preserve">early </w:t>
      </w:r>
      <w:r w:rsidR="00A83278">
        <w:t>2017</w:t>
      </w:r>
      <w:r w:rsidR="00F142CC">
        <w:t xml:space="preserve"> to</w:t>
      </w:r>
      <w:r w:rsidR="00A83278">
        <w:t xml:space="preserve"> undertake a significant</w:t>
      </w:r>
      <w:r w:rsidR="00F142CC">
        <w:t xml:space="preserve"> revis</w:t>
      </w:r>
      <w:r w:rsidR="00A83278">
        <w:t>ion of</w:t>
      </w:r>
      <w:r w:rsidR="00D77497">
        <w:t xml:space="preserve"> the Framework and implement tho</w:t>
      </w:r>
      <w:r w:rsidR="00F142CC">
        <w:t xml:space="preserve">se recommendations. </w:t>
      </w:r>
      <w:r w:rsidR="00A83278">
        <w:t>Key changes to the Framework included:</w:t>
      </w:r>
    </w:p>
    <w:p w14:paraId="01D86E46" w14:textId="77777777" w:rsidR="00A83278" w:rsidRPr="00A83278" w:rsidRDefault="00A83278" w:rsidP="00C2492C">
      <w:pPr>
        <w:pStyle w:val="ListParagraph"/>
        <w:numPr>
          <w:ilvl w:val="0"/>
          <w:numId w:val="17"/>
        </w:numPr>
      </w:pPr>
      <w:r w:rsidRPr="00A83278">
        <w:t>Bolstering the role of the OPICC to reflect the need for overt strategic leadership on the part of the Commonwealth Government in the event of an offshore petroleum incident.</w:t>
      </w:r>
    </w:p>
    <w:p w14:paraId="670B1A2A" w14:textId="77777777" w:rsidR="00A83278" w:rsidRPr="00A83278" w:rsidRDefault="00A83278" w:rsidP="00C2492C">
      <w:pPr>
        <w:pStyle w:val="ListParagraph"/>
        <w:numPr>
          <w:ilvl w:val="0"/>
          <w:numId w:val="17"/>
        </w:numPr>
      </w:pPr>
      <w:r w:rsidRPr="00A83278">
        <w:t xml:space="preserve">Clarifying how the Framework and the OPICC integrate and operate within the whole-of-government crisis management approach through the AGCMF. </w:t>
      </w:r>
    </w:p>
    <w:p w14:paraId="4DA5269F" w14:textId="77777777" w:rsidR="00A83278" w:rsidRPr="00A83278" w:rsidRDefault="00A83278" w:rsidP="00C2492C">
      <w:pPr>
        <w:pStyle w:val="ListParagraph"/>
        <w:numPr>
          <w:ilvl w:val="0"/>
          <w:numId w:val="17"/>
        </w:numPr>
      </w:pPr>
      <w:r w:rsidRPr="00A83278">
        <w:t>Bolstering the role of liaison officers and their role in facilitating communication between OPICC agencies, between different levels of government and with the petroleum titleholder.</w:t>
      </w:r>
    </w:p>
    <w:p w14:paraId="5908E089" w14:textId="28A5AB6A" w:rsidR="00A83278" w:rsidRDefault="00A83278" w:rsidP="00F142CC">
      <w:pPr>
        <w:pStyle w:val="ListParagraph"/>
        <w:numPr>
          <w:ilvl w:val="0"/>
          <w:numId w:val="17"/>
        </w:numPr>
      </w:pPr>
      <w:r w:rsidRPr="00A83278">
        <w:t xml:space="preserve">Providing more detail on the management of cross-jurisdictional incidents to clarify the roles of the Commonwealth and State/NT Governments and the titleholder, and how these roles interface and work together. </w:t>
      </w:r>
    </w:p>
    <w:p w14:paraId="0EF657C8" w14:textId="76DE4811" w:rsidR="00F142CC" w:rsidRDefault="00F142CC" w:rsidP="00F142CC">
      <w:r w:rsidRPr="00600879">
        <w:t>This collaborative effort provided the opportunity to further improve and promote productive working relationships across government</w:t>
      </w:r>
      <w:r>
        <w:t>, and to more fully understand the roles that different agencies may play. Rather than distinctly separate responsibilities, this type of incident will require an approach of layered responsibilities, capabilities and expertise.</w:t>
      </w:r>
      <w:r w:rsidRPr="00600879">
        <w:t xml:space="preserve"> </w:t>
      </w:r>
    </w:p>
    <w:p w14:paraId="1B925419" w14:textId="498D6C92" w:rsidR="00F142CC" w:rsidRDefault="005253D3" w:rsidP="00F142CC">
      <w:r>
        <w:t>The revision of the Framework</w:t>
      </w:r>
      <w:r w:rsidR="00F142CC">
        <w:t xml:space="preserve"> was supported by the department’s development of </w:t>
      </w:r>
      <w:r>
        <w:t>a communications strategy,</w:t>
      </w:r>
      <w:r w:rsidR="00F142CC">
        <w:t xml:space="preserve"> improved set of internal processes, guidance, and organisational structures for use during an offshore petroleum incident</w:t>
      </w:r>
      <w:r>
        <w:t>, and resilience training for relevant departmental staff.</w:t>
      </w:r>
    </w:p>
    <w:p w14:paraId="57B0FEA6" w14:textId="77777777" w:rsidR="00F142CC" w:rsidRDefault="00F142CC" w:rsidP="00F142CC">
      <w:r>
        <w:t xml:space="preserve">In accordance with the department’s commitment to exercise these arrangements every two years, the revised Framework was tested through Exercise Ningaloo Challenge. </w:t>
      </w:r>
    </w:p>
    <w:p w14:paraId="01F0B27E" w14:textId="77777777" w:rsidR="007F340F" w:rsidRDefault="007F340F">
      <w:pPr>
        <w:rPr>
          <w:rFonts w:eastAsiaTheme="majorEastAsia" w:cstheme="majorBidi"/>
          <w:color w:val="2E74B5" w:themeColor="accent1" w:themeShade="BF"/>
          <w:sz w:val="26"/>
          <w:szCs w:val="26"/>
        </w:rPr>
      </w:pPr>
      <w:r>
        <w:br w:type="page"/>
      </w:r>
    </w:p>
    <w:p w14:paraId="4369862B" w14:textId="5AF4F1E5" w:rsidR="00B7114E" w:rsidRPr="007E47D3" w:rsidRDefault="00B7114E" w:rsidP="00B7114E">
      <w:pPr>
        <w:pStyle w:val="Heading2"/>
      </w:pPr>
      <w:bookmarkStart w:id="24" w:name="_Toc517179040"/>
      <w:r>
        <w:lastRenderedPageBreak/>
        <w:t>Aim</w:t>
      </w:r>
      <w:r w:rsidRPr="007E47D3">
        <w:t xml:space="preserve"> and </w:t>
      </w:r>
      <w:r>
        <w:t>o</w:t>
      </w:r>
      <w:r w:rsidRPr="007E47D3">
        <w:t>bjective</w:t>
      </w:r>
      <w:bookmarkEnd w:id="23"/>
      <w:r>
        <w:t>s</w:t>
      </w:r>
      <w:bookmarkEnd w:id="24"/>
    </w:p>
    <w:p w14:paraId="424CE9E0" w14:textId="32F6B865" w:rsidR="00B7114E" w:rsidRPr="007E47D3" w:rsidRDefault="00B7114E" w:rsidP="00B7114E">
      <w:r w:rsidRPr="00090E9A">
        <w:t xml:space="preserve">The aim of </w:t>
      </w:r>
      <w:r w:rsidRPr="001C78AE">
        <w:t xml:space="preserve">the </w:t>
      </w:r>
      <w:r>
        <w:t xml:space="preserve">OPICC-led sub-exercise </w:t>
      </w:r>
      <w:r w:rsidRPr="00090E9A">
        <w:t xml:space="preserve">was to test and evaluate </w:t>
      </w:r>
      <w:r>
        <w:t>the current plans, processes and capabilities of the OPICC and the department’s CMT by simulating a coordinated response by the Commonwealth Government, Western Australia</w:t>
      </w:r>
      <w:r w:rsidR="008C7B05">
        <w:t>n</w:t>
      </w:r>
      <w:r>
        <w:t xml:space="preserve"> Government and offshore petroleum industry to a</w:t>
      </w:r>
      <w:r w:rsidR="0087312D">
        <w:t>n</w:t>
      </w:r>
      <w:r>
        <w:t xml:space="preserve"> offshore petroleum incident.</w:t>
      </w:r>
    </w:p>
    <w:p w14:paraId="1BB51071" w14:textId="6BD273DF" w:rsidR="00B7114E" w:rsidRPr="007E47D3" w:rsidRDefault="00B7114E" w:rsidP="00B7114E">
      <w:r>
        <w:t xml:space="preserve">The department set the following objectives for the sub-exercise, against which the performance of the </w:t>
      </w:r>
      <w:r w:rsidRPr="007E47D3">
        <w:t xml:space="preserve">OPICC </w:t>
      </w:r>
      <w:r>
        <w:t>and the department’s CMT w</w:t>
      </w:r>
      <w:r w:rsidR="00B31B15">
        <w:t>as</w:t>
      </w:r>
      <w:r>
        <w:t xml:space="preserve"> assessed</w:t>
      </w:r>
      <w:r w:rsidRPr="007E47D3">
        <w:t>:</w:t>
      </w:r>
    </w:p>
    <w:p w14:paraId="0C447F45" w14:textId="096560B7" w:rsidR="00B7114E" w:rsidRPr="007E47D3" w:rsidRDefault="00B7114E" w:rsidP="00B7114E">
      <w:pPr>
        <w:pStyle w:val="ListParagraph"/>
        <w:numPr>
          <w:ilvl w:val="0"/>
          <w:numId w:val="14"/>
        </w:numPr>
      </w:pPr>
      <w:r w:rsidRPr="007E47D3">
        <w:t xml:space="preserve">Test </w:t>
      </w:r>
      <w:r>
        <w:t xml:space="preserve">the </w:t>
      </w:r>
      <w:r w:rsidRPr="007E47D3">
        <w:t xml:space="preserve">OPICC’s and the </w:t>
      </w:r>
      <w:r>
        <w:t>CMT</w:t>
      </w:r>
      <w:r w:rsidRPr="007E47D3">
        <w:t>’s ability to demonstrate effective leadership in managing and coordinating the Commonwealth Government’s response to the incident</w:t>
      </w:r>
    </w:p>
    <w:p w14:paraId="3AD320BB" w14:textId="77777777" w:rsidR="00B7114E" w:rsidRPr="007E47D3" w:rsidRDefault="00B7114E" w:rsidP="00B7114E">
      <w:pPr>
        <w:pStyle w:val="ListParagraph"/>
        <w:numPr>
          <w:ilvl w:val="0"/>
          <w:numId w:val="14"/>
        </w:numPr>
      </w:pPr>
      <w:r w:rsidRPr="007E47D3">
        <w:t xml:space="preserve">Test </w:t>
      </w:r>
      <w:r>
        <w:t xml:space="preserve">the </w:t>
      </w:r>
      <w:r w:rsidRPr="007E47D3">
        <w:t>OPICC’s ability to use relevant information from a variety of sources to deliver targeted key messages to appropriate stakeholders through effective methods of communication</w:t>
      </w:r>
    </w:p>
    <w:p w14:paraId="509B7548" w14:textId="57040535" w:rsidR="00B7114E" w:rsidRPr="007E47D3" w:rsidRDefault="00B7114E" w:rsidP="00B7114E">
      <w:pPr>
        <w:pStyle w:val="ListParagraph"/>
        <w:numPr>
          <w:ilvl w:val="0"/>
          <w:numId w:val="14"/>
        </w:numPr>
      </w:pPr>
      <w:r w:rsidRPr="007E47D3">
        <w:t xml:space="preserve">Evaluate the </w:t>
      </w:r>
      <w:r w:rsidR="00FC2F2E">
        <w:t>CMT’s</w:t>
      </w:r>
      <w:r w:rsidRPr="007E47D3">
        <w:t xml:space="preserve"> internal capacity and resilience to manage the incident</w:t>
      </w:r>
    </w:p>
    <w:p w14:paraId="76EF32B4" w14:textId="59B3AE6A" w:rsidR="00B7114E" w:rsidRPr="007E47D3" w:rsidRDefault="00B7114E" w:rsidP="00B7114E">
      <w:pPr>
        <w:pStyle w:val="ListParagraph"/>
        <w:numPr>
          <w:ilvl w:val="0"/>
          <w:numId w:val="14"/>
        </w:numPr>
      </w:pPr>
      <w:r w:rsidRPr="007E47D3">
        <w:t xml:space="preserve">Test the effectiveness of </w:t>
      </w:r>
      <w:r>
        <w:t xml:space="preserve">the </w:t>
      </w:r>
      <w:r w:rsidRPr="007E47D3">
        <w:t xml:space="preserve">OPICC’s and </w:t>
      </w:r>
      <w:r>
        <w:t>the CMT</w:t>
      </w:r>
      <w:r w:rsidR="00FC2F2E">
        <w:t>’s</w:t>
      </w:r>
      <w:r w:rsidRPr="007E47D3">
        <w:t xml:space="preserve"> communication and media management with: NOPSEMA; other Commonwealth agencies; WA State Government; Titleholder</w:t>
      </w:r>
    </w:p>
    <w:p w14:paraId="517924A4" w14:textId="7E942225" w:rsidR="00B7114E" w:rsidRPr="007E47D3" w:rsidRDefault="00B7114E" w:rsidP="00B7114E">
      <w:pPr>
        <w:pStyle w:val="ListParagraph"/>
        <w:numPr>
          <w:ilvl w:val="0"/>
          <w:numId w:val="14"/>
        </w:numPr>
      </w:pPr>
      <w:r w:rsidRPr="007E47D3">
        <w:t xml:space="preserve">Test the ability of the OPICC and </w:t>
      </w:r>
      <w:r>
        <w:t xml:space="preserve">the CMT </w:t>
      </w:r>
      <w:r w:rsidRPr="007E47D3">
        <w:t>to deal with conflicting expert sources of information during an incident</w:t>
      </w:r>
    </w:p>
    <w:p w14:paraId="2F7F8E28" w14:textId="77777777" w:rsidR="00B7114E" w:rsidRPr="007E47D3" w:rsidRDefault="00B7114E" w:rsidP="00B7114E">
      <w:pPr>
        <w:pStyle w:val="Heading2"/>
      </w:pPr>
      <w:bookmarkStart w:id="25" w:name="_Toc505678977"/>
      <w:bookmarkStart w:id="26" w:name="_Toc517179041"/>
      <w:r w:rsidRPr="007E47D3">
        <w:t xml:space="preserve">Exercise </w:t>
      </w:r>
      <w:r>
        <w:t>g</w:t>
      </w:r>
      <w:r w:rsidRPr="007E47D3">
        <w:t>overnance</w:t>
      </w:r>
      <w:bookmarkEnd w:id="25"/>
      <w:bookmarkEnd w:id="26"/>
    </w:p>
    <w:p w14:paraId="4B7D618F" w14:textId="19E39688" w:rsidR="00B7114E" w:rsidRPr="007E47D3" w:rsidRDefault="00B7114E" w:rsidP="00B7114E">
      <w:r w:rsidRPr="007E47D3">
        <w:t xml:space="preserve">The </w:t>
      </w:r>
      <w:r>
        <w:t>e</w:t>
      </w:r>
      <w:r w:rsidRPr="007E47D3">
        <w:t>xercise was managed by the Exercise Steering Committee, wh</w:t>
      </w:r>
      <w:r w:rsidR="00FC2F2E">
        <w:t>ich</w:t>
      </w:r>
      <w:r w:rsidRPr="007E47D3">
        <w:t xml:space="preserve"> was responsible for high level planning and coordination.</w:t>
      </w:r>
      <w:r>
        <w:t xml:space="preserve"> </w:t>
      </w:r>
      <w:r w:rsidRPr="007E47D3">
        <w:t xml:space="preserve">The Exercise Writing Team was responsible for the development and coordination </w:t>
      </w:r>
      <w:r>
        <w:t>o</w:t>
      </w:r>
      <w:r w:rsidRPr="007E47D3">
        <w:t xml:space="preserve">f </w:t>
      </w:r>
      <w:r>
        <w:t>e</w:t>
      </w:r>
      <w:r w:rsidRPr="007E47D3">
        <w:t xml:space="preserve">xercise </w:t>
      </w:r>
      <w:r>
        <w:t>d</w:t>
      </w:r>
      <w:r w:rsidRPr="007E47D3">
        <w:t xml:space="preserve">ocumentation. </w:t>
      </w:r>
    </w:p>
    <w:p w14:paraId="24147A4D" w14:textId="77777777" w:rsidR="00B7114E" w:rsidRPr="00F36567" w:rsidRDefault="00B7114E" w:rsidP="00B7114E">
      <w:pPr>
        <w:pStyle w:val="Caption"/>
      </w:pPr>
      <w:r w:rsidRPr="00F36567">
        <w:t xml:space="preserve">Table </w:t>
      </w:r>
      <w:r w:rsidR="00F7347D">
        <w:rPr>
          <w:noProof/>
        </w:rPr>
        <w:fldChar w:fldCharType="begin"/>
      </w:r>
      <w:r w:rsidR="00F7347D">
        <w:rPr>
          <w:noProof/>
        </w:rPr>
        <w:instrText xml:space="preserve"> SEQ Table \* ARABIC </w:instrText>
      </w:r>
      <w:r w:rsidR="00F7347D">
        <w:rPr>
          <w:noProof/>
        </w:rPr>
        <w:fldChar w:fldCharType="separate"/>
      </w:r>
      <w:r w:rsidR="00531400">
        <w:rPr>
          <w:noProof/>
        </w:rPr>
        <w:t>1</w:t>
      </w:r>
      <w:r w:rsidR="00F7347D">
        <w:rPr>
          <w:noProof/>
        </w:rPr>
        <w:fldChar w:fldCharType="end"/>
      </w:r>
      <w:r w:rsidRPr="00F36567">
        <w:t xml:space="preserve"> Membership of Steering Committee and Writing Coordination Teams</w:t>
      </w:r>
    </w:p>
    <w:tbl>
      <w:tblPr>
        <w:tblStyle w:val="TableGrid"/>
        <w:tblW w:w="9067" w:type="dxa"/>
        <w:tblLook w:val="04A0" w:firstRow="1" w:lastRow="0" w:firstColumn="1" w:lastColumn="0" w:noHBand="0" w:noVBand="1"/>
      </w:tblPr>
      <w:tblGrid>
        <w:gridCol w:w="4533"/>
        <w:gridCol w:w="4534"/>
      </w:tblGrid>
      <w:tr w:rsidR="00B7114E" w:rsidRPr="007E47D3" w14:paraId="2F13C729" w14:textId="77777777" w:rsidTr="006727E4">
        <w:tc>
          <w:tcPr>
            <w:tcW w:w="4533" w:type="dxa"/>
          </w:tcPr>
          <w:p w14:paraId="40A49D29" w14:textId="77777777" w:rsidR="00B7114E" w:rsidRPr="00483037" w:rsidRDefault="00B7114E" w:rsidP="006727E4">
            <w:pPr>
              <w:spacing w:before="60" w:after="60"/>
              <w:rPr>
                <w:rFonts w:cs="Segoe UI"/>
                <w:b/>
              </w:rPr>
            </w:pPr>
            <w:r w:rsidRPr="00483037">
              <w:rPr>
                <w:rFonts w:cs="Segoe UI"/>
                <w:b/>
              </w:rPr>
              <w:t>Steering Committee</w:t>
            </w:r>
          </w:p>
        </w:tc>
        <w:tc>
          <w:tcPr>
            <w:tcW w:w="4534" w:type="dxa"/>
          </w:tcPr>
          <w:p w14:paraId="062E08C9" w14:textId="77777777" w:rsidR="00B7114E" w:rsidRPr="00483037" w:rsidRDefault="00B7114E" w:rsidP="006727E4">
            <w:pPr>
              <w:spacing w:before="60" w:after="60"/>
              <w:rPr>
                <w:rFonts w:cs="Segoe UI"/>
                <w:b/>
              </w:rPr>
            </w:pPr>
            <w:r w:rsidRPr="00483037">
              <w:rPr>
                <w:rFonts w:cs="Segoe UI"/>
                <w:b/>
              </w:rPr>
              <w:t>Writing Team</w:t>
            </w:r>
          </w:p>
        </w:tc>
      </w:tr>
      <w:tr w:rsidR="00B7114E" w:rsidRPr="007E47D3" w14:paraId="6EFC4E2B" w14:textId="77777777" w:rsidTr="006727E4">
        <w:tc>
          <w:tcPr>
            <w:tcW w:w="4533" w:type="dxa"/>
          </w:tcPr>
          <w:p w14:paraId="24CC35F4" w14:textId="77777777" w:rsidR="00B7114E" w:rsidRPr="00EB5AE6" w:rsidRDefault="00B7114E" w:rsidP="006727E4">
            <w:pPr>
              <w:pStyle w:val="ListParagraph"/>
              <w:numPr>
                <w:ilvl w:val="0"/>
                <w:numId w:val="1"/>
              </w:numPr>
              <w:spacing w:before="60" w:after="60"/>
              <w:ind w:left="453" w:hanging="357"/>
              <w:contextualSpacing w:val="0"/>
              <w:rPr>
                <w:rFonts w:cs="Segoe UI"/>
              </w:rPr>
            </w:pPr>
            <w:r>
              <w:rPr>
                <w:rFonts w:cs="Segoe UI"/>
              </w:rPr>
              <w:t xml:space="preserve">WA </w:t>
            </w:r>
            <w:r w:rsidRPr="00EB5AE6">
              <w:rPr>
                <w:rFonts w:cs="Segoe UI"/>
              </w:rPr>
              <w:t>Department of Transport – Marine Safety</w:t>
            </w:r>
          </w:p>
          <w:p w14:paraId="493EA51C" w14:textId="77777777" w:rsidR="00B7114E" w:rsidRPr="00EB5AE6" w:rsidRDefault="00B7114E" w:rsidP="006727E4">
            <w:pPr>
              <w:pStyle w:val="ListParagraph"/>
              <w:numPr>
                <w:ilvl w:val="0"/>
                <w:numId w:val="1"/>
              </w:numPr>
              <w:spacing w:before="60" w:after="60"/>
              <w:ind w:left="453" w:hanging="357"/>
              <w:contextualSpacing w:val="0"/>
              <w:rPr>
                <w:rFonts w:cs="Segoe UI"/>
              </w:rPr>
            </w:pPr>
            <w:r>
              <w:rPr>
                <w:rFonts w:cs="Segoe UI"/>
              </w:rPr>
              <w:t xml:space="preserve">WA </w:t>
            </w:r>
            <w:r w:rsidRPr="00EB5AE6">
              <w:rPr>
                <w:rFonts w:cs="Segoe UI"/>
              </w:rPr>
              <w:t>Office of Emergency Management and State Security</w:t>
            </w:r>
          </w:p>
          <w:p w14:paraId="03510A5A" w14:textId="77777777" w:rsidR="00B7114E" w:rsidRPr="00EB5AE6" w:rsidRDefault="00B7114E" w:rsidP="006727E4">
            <w:pPr>
              <w:pStyle w:val="ListParagraph"/>
              <w:numPr>
                <w:ilvl w:val="0"/>
                <w:numId w:val="1"/>
              </w:numPr>
              <w:spacing w:before="60" w:after="60"/>
              <w:ind w:left="453" w:hanging="357"/>
              <w:contextualSpacing w:val="0"/>
              <w:rPr>
                <w:rFonts w:cs="Segoe UI"/>
              </w:rPr>
            </w:pPr>
            <w:r>
              <w:rPr>
                <w:rFonts w:cs="Segoe UI"/>
              </w:rPr>
              <w:t xml:space="preserve">WA </w:t>
            </w:r>
            <w:r w:rsidRPr="00EB5AE6">
              <w:rPr>
                <w:rFonts w:cs="Segoe UI"/>
              </w:rPr>
              <w:t>Department of Biodiversity Conservation and Attractions</w:t>
            </w:r>
          </w:p>
          <w:p w14:paraId="5706D6BE" w14:textId="77777777" w:rsidR="00B7114E" w:rsidRPr="00EB5AE6" w:rsidRDefault="00B7114E" w:rsidP="006727E4">
            <w:pPr>
              <w:pStyle w:val="ListParagraph"/>
              <w:numPr>
                <w:ilvl w:val="0"/>
                <w:numId w:val="1"/>
              </w:numPr>
              <w:spacing w:before="60" w:after="60"/>
              <w:ind w:left="453" w:hanging="357"/>
              <w:contextualSpacing w:val="0"/>
              <w:rPr>
                <w:rFonts w:cs="Segoe UI"/>
              </w:rPr>
            </w:pPr>
            <w:r w:rsidRPr="00EB5AE6">
              <w:rPr>
                <w:rFonts w:cs="Segoe UI"/>
              </w:rPr>
              <w:t>Commonwealth Department of Industry, Innovation and Science</w:t>
            </w:r>
          </w:p>
          <w:p w14:paraId="3C690BC5" w14:textId="77777777" w:rsidR="00B7114E" w:rsidRPr="00EB5AE6" w:rsidRDefault="00B7114E" w:rsidP="006727E4">
            <w:pPr>
              <w:pStyle w:val="ListParagraph"/>
              <w:numPr>
                <w:ilvl w:val="0"/>
                <w:numId w:val="1"/>
              </w:numPr>
              <w:spacing w:before="60" w:after="60"/>
              <w:ind w:left="453" w:hanging="357"/>
              <w:contextualSpacing w:val="0"/>
              <w:rPr>
                <w:rFonts w:cs="Segoe UI"/>
              </w:rPr>
            </w:pPr>
            <w:r w:rsidRPr="00EB5AE6">
              <w:rPr>
                <w:rFonts w:cs="Segoe UI"/>
              </w:rPr>
              <w:t>National Offshore Petroleum and Environmental Management Authority</w:t>
            </w:r>
          </w:p>
          <w:p w14:paraId="24F55FC2" w14:textId="77777777" w:rsidR="00B7114E" w:rsidRPr="00EB5AE6" w:rsidRDefault="00B7114E" w:rsidP="006727E4">
            <w:pPr>
              <w:pStyle w:val="ListParagraph"/>
              <w:numPr>
                <w:ilvl w:val="0"/>
                <w:numId w:val="1"/>
              </w:numPr>
              <w:spacing w:before="60" w:after="60"/>
              <w:ind w:left="453" w:hanging="357"/>
              <w:contextualSpacing w:val="0"/>
              <w:rPr>
                <w:rFonts w:cs="Segoe UI"/>
              </w:rPr>
            </w:pPr>
            <w:r w:rsidRPr="00EB5AE6">
              <w:rPr>
                <w:rFonts w:cs="Segoe UI"/>
              </w:rPr>
              <w:t>Australian Marine Oil Spill Centre</w:t>
            </w:r>
          </w:p>
          <w:p w14:paraId="74674B1F" w14:textId="77777777" w:rsidR="00B7114E" w:rsidRPr="00EB5AE6" w:rsidRDefault="00B7114E" w:rsidP="006727E4">
            <w:pPr>
              <w:pStyle w:val="ListParagraph"/>
              <w:numPr>
                <w:ilvl w:val="0"/>
                <w:numId w:val="1"/>
              </w:numPr>
              <w:spacing w:before="60" w:after="60"/>
              <w:ind w:left="453" w:hanging="357"/>
              <w:contextualSpacing w:val="0"/>
              <w:rPr>
                <w:rFonts w:cs="Segoe UI"/>
              </w:rPr>
            </w:pPr>
            <w:r w:rsidRPr="00EB5AE6">
              <w:rPr>
                <w:rFonts w:cs="Segoe UI"/>
              </w:rPr>
              <w:t>Petroleum Titleholder</w:t>
            </w:r>
          </w:p>
          <w:p w14:paraId="39B9E690" w14:textId="77777777" w:rsidR="00B7114E" w:rsidRPr="001C78AE" w:rsidRDefault="00B7114E" w:rsidP="006727E4">
            <w:pPr>
              <w:pStyle w:val="ListParagraph"/>
              <w:numPr>
                <w:ilvl w:val="0"/>
                <w:numId w:val="1"/>
              </w:numPr>
              <w:spacing w:before="60" w:after="60"/>
              <w:ind w:left="453" w:hanging="357"/>
              <w:contextualSpacing w:val="0"/>
              <w:rPr>
                <w:rFonts w:cs="Segoe UI"/>
              </w:rPr>
            </w:pPr>
            <w:r w:rsidRPr="00EB5AE6">
              <w:rPr>
                <w:rFonts w:cs="Segoe UI"/>
              </w:rPr>
              <w:t>REM Associates</w:t>
            </w:r>
          </w:p>
        </w:tc>
        <w:tc>
          <w:tcPr>
            <w:tcW w:w="4534" w:type="dxa"/>
          </w:tcPr>
          <w:p w14:paraId="2BCEF75C" w14:textId="77777777" w:rsidR="00B7114E" w:rsidRPr="00EB5AE6" w:rsidRDefault="00B7114E" w:rsidP="006727E4">
            <w:pPr>
              <w:pStyle w:val="ListParagraph"/>
              <w:numPr>
                <w:ilvl w:val="0"/>
                <w:numId w:val="1"/>
              </w:numPr>
              <w:spacing w:before="60" w:after="60"/>
              <w:ind w:left="453" w:hanging="357"/>
              <w:contextualSpacing w:val="0"/>
              <w:rPr>
                <w:rFonts w:cs="Segoe UI"/>
              </w:rPr>
            </w:pPr>
            <w:r>
              <w:rPr>
                <w:rFonts w:cs="Segoe UI"/>
              </w:rPr>
              <w:t>WA</w:t>
            </w:r>
            <w:r w:rsidRPr="00EB5AE6">
              <w:rPr>
                <w:rFonts w:cs="Segoe UI"/>
              </w:rPr>
              <w:t xml:space="preserve"> Department of Transport – Marine Safety</w:t>
            </w:r>
          </w:p>
          <w:p w14:paraId="3DF43E1E" w14:textId="77777777" w:rsidR="00B7114E" w:rsidRPr="00EB5AE6" w:rsidRDefault="00B7114E" w:rsidP="006727E4">
            <w:pPr>
              <w:pStyle w:val="ListParagraph"/>
              <w:numPr>
                <w:ilvl w:val="0"/>
                <w:numId w:val="1"/>
              </w:numPr>
              <w:spacing w:before="60" w:after="60"/>
              <w:ind w:left="453" w:hanging="357"/>
              <w:contextualSpacing w:val="0"/>
              <w:rPr>
                <w:rFonts w:cs="Segoe UI"/>
              </w:rPr>
            </w:pPr>
            <w:r>
              <w:rPr>
                <w:rFonts w:cs="Segoe UI"/>
              </w:rPr>
              <w:t xml:space="preserve">WA </w:t>
            </w:r>
            <w:r w:rsidRPr="00EB5AE6">
              <w:rPr>
                <w:rFonts w:cs="Segoe UI"/>
              </w:rPr>
              <w:t>Department of Biodiversity, Conservation and Attractions</w:t>
            </w:r>
          </w:p>
          <w:p w14:paraId="5DFFD97E" w14:textId="77777777" w:rsidR="00B7114E" w:rsidRPr="00EB5AE6" w:rsidRDefault="00B7114E" w:rsidP="006727E4">
            <w:pPr>
              <w:pStyle w:val="ListParagraph"/>
              <w:numPr>
                <w:ilvl w:val="0"/>
                <w:numId w:val="1"/>
              </w:numPr>
              <w:spacing w:before="60" w:after="60"/>
              <w:ind w:left="453" w:hanging="357"/>
              <w:contextualSpacing w:val="0"/>
              <w:rPr>
                <w:rFonts w:cs="Segoe UI"/>
              </w:rPr>
            </w:pPr>
            <w:r w:rsidRPr="00EB5AE6">
              <w:rPr>
                <w:rFonts w:cs="Segoe UI"/>
              </w:rPr>
              <w:t>Commonwealth Department of Industry, Innovation and Science</w:t>
            </w:r>
          </w:p>
          <w:p w14:paraId="3B479363" w14:textId="77777777" w:rsidR="00B7114E" w:rsidRPr="00EB5AE6" w:rsidRDefault="00B7114E" w:rsidP="006727E4">
            <w:pPr>
              <w:pStyle w:val="ListParagraph"/>
              <w:numPr>
                <w:ilvl w:val="0"/>
                <w:numId w:val="1"/>
              </w:numPr>
              <w:spacing w:before="60" w:after="60"/>
              <w:ind w:left="453" w:hanging="357"/>
              <w:contextualSpacing w:val="0"/>
              <w:rPr>
                <w:rFonts w:cs="Segoe UI"/>
              </w:rPr>
            </w:pPr>
            <w:r w:rsidRPr="00EB5AE6">
              <w:rPr>
                <w:rFonts w:cs="Segoe UI"/>
              </w:rPr>
              <w:t>National Offshore Petroleum and Environmental Management Authority</w:t>
            </w:r>
          </w:p>
          <w:p w14:paraId="43EE03EC" w14:textId="77777777" w:rsidR="00B7114E" w:rsidRPr="00EB5AE6" w:rsidRDefault="00B7114E" w:rsidP="006727E4">
            <w:pPr>
              <w:pStyle w:val="ListParagraph"/>
              <w:numPr>
                <w:ilvl w:val="0"/>
                <w:numId w:val="1"/>
              </w:numPr>
              <w:spacing w:before="60" w:after="60"/>
              <w:ind w:left="453" w:hanging="357"/>
              <w:contextualSpacing w:val="0"/>
              <w:rPr>
                <w:rFonts w:cs="Segoe UI"/>
              </w:rPr>
            </w:pPr>
            <w:r w:rsidRPr="00EB5AE6">
              <w:rPr>
                <w:rFonts w:cs="Segoe UI"/>
              </w:rPr>
              <w:t>Petroleum Titleholder</w:t>
            </w:r>
          </w:p>
          <w:p w14:paraId="1D194F1A" w14:textId="77777777" w:rsidR="00B7114E" w:rsidRPr="001C78AE" w:rsidRDefault="00B7114E" w:rsidP="006727E4">
            <w:pPr>
              <w:pStyle w:val="ListParagraph"/>
              <w:numPr>
                <w:ilvl w:val="0"/>
                <w:numId w:val="1"/>
              </w:numPr>
              <w:spacing w:before="60" w:after="60"/>
              <w:ind w:left="453" w:hanging="357"/>
              <w:contextualSpacing w:val="0"/>
              <w:rPr>
                <w:rFonts w:cs="Segoe UI"/>
              </w:rPr>
            </w:pPr>
            <w:r w:rsidRPr="00EB5AE6">
              <w:rPr>
                <w:rFonts w:cs="Segoe UI"/>
              </w:rPr>
              <w:t>REM Associates</w:t>
            </w:r>
          </w:p>
        </w:tc>
      </w:tr>
    </w:tbl>
    <w:p w14:paraId="604FAA86" w14:textId="77777777" w:rsidR="00B7114E" w:rsidRPr="007E47D3" w:rsidRDefault="00B7114E" w:rsidP="00B7114E">
      <w:pPr>
        <w:pStyle w:val="Heading2"/>
      </w:pPr>
      <w:bookmarkStart w:id="27" w:name="_Toc505678979"/>
      <w:bookmarkStart w:id="28" w:name="_Toc517179042"/>
      <w:bookmarkEnd w:id="27"/>
      <w:r>
        <w:lastRenderedPageBreak/>
        <w:t>Overview of the exercise</w:t>
      </w:r>
      <w:bookmarkEnd w:id="28"/>
    </w:p>
    <w:p w14:paraId="6B4DCDE3" w14:textId="4122A224" w:rsidR="00B7114E" w:rsidRDefault="00B7114E" w:rsidP="00B7114E">
      <w:r w:rsidRPr="001C78AE">
        <w:t>Exercise Ningaloo Challenge</w:t>
      </w:r>
      <w:r w:rsidRPr="006437F5">
        <w:t xml:space="preserve"> </w:t>
      </w:r>
      <w:r>
        <w:t xml:space="preserve">was conducted </w:t>
      </w:r>
      <w:r w:rsidRPr="007E47D3">
        <w:t>from 11</w:t>
      </w:r>
      <w:r>
        <w:t> </w:t>
      </w:r>
      <w:r w:rsidRPr="007E47D3">
        <w:t>to</w:t>
      </w:r>
      <w:r>
        <w:t> </w:t>
      </w:r>
      <w:r w:rsidRPr="007E47D3">
        <w:t>14</w:t>
      </w:r>
      <w:r>
        <w:t> </w:t>
      </w:r>
      <w:r w:rsidRPr="007E47D3">
        <w:t>September</w:t>
      </w:r>
      <w:r>
        <w:t> </w:t>
      </w:r>
      <w:r w:rsidRPr="007E47D3">
        <w:t>2017</w:t>
      </w:r>
      <w:r>
        <w:t xml:space="preserve"> and </w:t>
      </w:r>
      <w:r w:rsidRPr="006437F5">
        <w:t>simulated a Level 3 oil spill incident occurring in Commonwealth waters</w:t>
      </w:r>
      <w:r>
        <w:t xml:space="preserve">, </w:t>
      </w:r>
      <w:r w:rsidR="00B31B15">
        <w:t>with the oil spill spreading</w:t>
      </w:r>
      <w:r>
        <w:t xml:space="preserve"> into Western Australian coastal waters. Incidents at this level are complex in size, duration, resource management and risk, and require deployment of jurisdictional resources beyond the initial response. </w:t>
      </w:r>
    </w:p>
    <w:p w14:paraId="19337B98" w14:textId="77777777" w:rsidR="00B7114E" w:rsidRPr="00720351" w:rsidRDefault="00B7114E" w:rsidP="00B7114E">
      <w:pPr>
        <w:pStyle w:val="Heading3"/>
      </w:pPr>
      <w:bookmarkStart w:id="29" w:name="_Toc517179043"/>
      <w:r>
        <w:t>D</w:t>
      </w:r>
      <w:r w:rsidRPr="00720351">
        <w:t>ay one</w:t>
      </w:r>
      <w:bookmarkEnd w:id="29"/>
    </w:p>
    <w:p w14:paraId="6719256C" w14:textId="79DA8C1D" w:rsidR="00B7114E" w:rsidRDefault="00B7114E" w:rsidP="00B7114E">
      <w:r>
        <w:t>The exercise commenced at 1</w:t>
      </w:r>
      <w:r w:rsidR="000A3D47">
        <w:t>2</w:t>
      </w:r>
      <w:r>
        <w:t>00 A</w:t>
      </w:r>
      <w:r w:rsidR="000A3D47">
        <w:t>E</w:t>
      </w:r>
      <w:r>
        <w:t>ST on 11 September 2017. Notification of a reported loss of well control and failed attempts to shut in the well were received by the Titleholder</w:t>
      </w:r>
      <w:r w:rsidR="00B31B15">
        <w:t>’s</w:t>
      </w:r>
      <w:r>
        <w:t xml:space="preserve"> Duty Manager. The incident was reported to the appropriate agencies, including the</w:t>
      </w:r>
      <w:r w:rsidR="000A3D47" w:rsidRPr="000A3D47">
        <w:t xml:space="preserve"> </w:t>
      </w:r>
      <w:r w:rsidR="000A3D47">
        <w:t>National Offshore Petroleum Safety and Environmental Management Authority (NOPSEMA)</w:t>
      </w:r>
      <w:r>
        <w:t>, the</w:t>
      </w:r>
      <w:r w:rsidR="000A3D47" w:rsidRPr="000A3D47">
        <w:t xml:space="preserve"> </w:t>
      </w:r>
      <w:r w:rsidR="000A3D47" w:rsidRPr="005F740C">
        <w:t>Australian Maritime Safety Authority</w:t>
      </w:r>
      <w:r w:rsidR="000A3D47">
        <w:t xml:space="preserve"> (AMSA) and</w:t>
      </w:r>
      <w:r>
        <w:t xml:space="preserve"> WA DoT. The Titleholder commenced simulated first response actions in accordance with </w:t>
      </w:r>
      <w:r w:rsidR="000A3D47">
        <w:t>its</w:t>
      </w:r>
      <w:r>
        <w:t xml:space="preserve"> Oil Pollution Emergency Plan (OPEP).</w:t>
      </w:r>
    </w:p>
    <w:p w14:paraId="4ABD8AB5" w14:textId="6F677476" w:rsidR="00B7114E" w:rsidRDefault="00B31B15" w:rsidP="00B7114E">
      <w:r>
        <w:t>The</w:t>
      </w:r>
      <w:r w:rsidR="00B7114E">
        <w:t xml:space="preserve"> WA DoT Maritime Environmental Emergency Coordination Centre was established and a State Marine Pollution Coordinator Liaison Officer was dep</w:t>
      </w:r>
      <w:r w:rsidR="00D92F79">
        <w:t>loyed to the Titleholder</w:t>
      </w:r>
      <w:r>
        <w:t xml:space="preserve">. </w:t>
      </w:r>
    </w:p>
    <w:p w14:paraId="5FD6F528" w14:textId="7E0CBA8B" w:rsidR="003765A8" w:rsidRDefault="00B7114E" w:rsidP="00B7114E">
      <w:r>
        <w:t xml:space="preserve">In Canberra, following </w:t>
      </w:r>
      <w:r w:rsidR="00B31B15">
        <w:t>NOPSEMA’s confirma</w:t>
      </w:r>
      <w:r>
        <w:t>tion</w:t>
      </w:r>
      <w:r w:rsidR="00B31B15">
        <w:t xml:space="preserve"> </w:t>
      </w:r>
      <w:r w:rsidR="00BB1776">
        <w:t xml:space="preserve">that </w:t>
      </w:r>
      <w:r w:rsidR="00B31B15">
        <w:t>an incident</w:t>
      </w:r>
      <w:r w:rsidR="00BB1776">
        <w:t xml:space="preserve"> had occurred</w:t>
      </w:r>
      <w:r>
        <w:t xml:space="preserve">, the department’s Crisis Manager (General Manager, Offshore </w:t>
      </w:r>
      <w:r w:rsidRPr="00D70CB0">
        <w:t xml:space="preserve">Resources </w:t>
      </w:r>
      <w:r w:rsidRPr="00070C40">
        <w:t>Branch) established the department’s CMT and OPICC</w:t>
      </w:r>
      <w:r w:rsidR="00B31B15" w:rsidRPr="00070C40">
        <w:t xml:space="preserve"> members were notified of the incident</w:t>
      </w:r>
      <w:r w:rsidRPr="00070C40">
        <w:t>.</w:t>
      </w:r>
      <w:r w:rsidR="000F73E4" w:rsidRPr="00070C40">
        <w:t xml:space="preserve"> </w:t>
      </w:r>
      <w:r w:rsidR="00D72E25" w:rsidRPr="00070C40">
        <w:t>Contact was established with t</w:t>
      </w:r>
      <w:r w:rsidR="00D70CB0" w:rsidRPr="00070C40">
        <w:t xml:space="preserve">he Titleholder, NOPSEMA and </w:t>
      </w:r>
      <w:r w:rsidR="00252D07" w:rsidRPr="00070C40">
        <w:t xml:space="preserve">WA DoT </w:t>
      </w:r>
      <w:r w:rsidR="009A5DAF" w:rsidRPr="00070C40">
        <w:t xml:space="preserve">to </w:t>
      </w:r>
      <w:r w:rsidR="00D70CB0" w:rsidRPr="00070C40">
        <w:t xml:space="preserve">seek information and set up communication channels </w:t>
      </w:r>
      <w:r w:rsidR="00070C40" w:rsidRPr="00070C40">
        <w:t xml:space="preserve">to </w:t>
      </w:r>
      <w:r w:rsidR="00236C26" w:rsidRPr="00070C40">
        <w:t xml:space="preserve">develop and maintain </w:t>
      </w:r>
      <w:r w:rsidR="009A5DAF" w:rsidRPr="00070C40">
        <w:t xml:space="preserve">situational awareness </w:t>
      </w:r>
      <w:r w:rsidR="00070C40" w:rsidRPr="00070C40">
        <w:t>during</w:t>
      </w:r>
      <w:r w:rsidR="009A5DAF" w:rsidRPr="00070C40">
        <w:t xml:space="preserve"> the incident</w:t>
      </w:r>
      <w:r w:rsidR="00252D07" w:rsidRPr="00070C40">
        <w:t>.</w:t>
      </w:r>
      <w:r w:rsidR="00724244" w:rsidRPr="00070C40">
        <w:t xml:space="preserve"> </w:t>
      </w:r>
    </w:p>
    <w:p w14:paraId="130B4C93" w14:textId="77777777" w:rsidR="00AC7ADF" w:rsidRDefault="00D72E25" w:rsidP="00B7114E">
      <w:r w:rsidRPr="003765A8">
        <w:t xml:space="preserve">The department’s CMT </w:t>
      </w:r>
      <w:r w:rsidR="00517702" w:rsidRPr="003765A8">
        <w:t xml:space="preserve">provided briefing </w:t>
      </w:r>
      <w:r w:rsidR="00950598" w:rsidRPr="003765A8">
        <w:t>to</w:t>
      </w:r>
      <w:r w:rsidR="00517702" w:rsidRPr="003765A8">
        <w:t xml:space="preserve"> the Minister for Resources and Northern </w:t>
      </w:r>
      <w:r w:rsidR="00517702" w:rsidRPr="004E1D47">
        <w:t xml:space="preserve">Australia, </w:t>
      </w:r>
      <w:r w:rsidR="003765A8" w:rsidRPr="004E1D47">
        <w:t>drafted a m</w:t>
      </w:r>
      <w:r w:rsidRPr="004E1D47">
        <w:t>inist</w:t>
      </w:r>
      <w:r w:rsidR="003765A8" w:rsidRPr="004E1D47">
        <w:t>erial media release, developed m</w:t>
      </w:r>
      <w:r w:rsidRPr="004E1D47">
        <w:t xml:space="preserve">inisterial talking points, commenced media monitoring and </w:t>
      </w:r>
      <w:r w:rsidR="004E1D47" w:rsidRPr="004E1D47">
        <w:t>prepared for an OPICC meeting on the following day</w:t>
      </w:r>
      <w:r w:rsidRPr="004E1D47">
        <w:t>.</w:t>
      </w:r>
      <w:r w:rsidR="00252D07" w:rsidRPr="004E1D47">
        <w:t xml:space="preserve"> </w:t>
      </w:r>
    </w:p>
    <w:p w14:paraId="5A4DE66E" w14:textId="5B15A5AA" w:rsidR="00724244" w:rsidRDefault="00AC7ADF" w:rsidP="00B7114E">
      <w:pPr>
        <w:rPr>
          <w:highlight w:val="yellow"/>
        </w:rPr>
      </w:pPr>
      <w:r>
        <w:t xml:space="preserve">The first </w:t>
      </w:r>
      <w:r w:rsidR="00F86484">
        <w:t>department</w:t>
      </w:r>
      <w:r>
        <w:t xml:space="preserve"> incident brief was prepared and distributed to OPICC members late in the afternoon.</w:t>
      </w:r>
    </w:p>
    <w:p w14:paraId="311602FD" w14:textId="77777777" w:rsidR="00B7114E" w:rsidRDefault="00B7114E" w:rsidP="00D14ED0">
      <w:pPr>
        <w:pStyle w:val="Heading3"/>
        <w:keepNext/>
      </w:pPr>
      <w:bookmarkStart w:id="30" w:name="_Toc517179044"/>
      <w:r>
        <w:t>Day two</w:t>
      </w:r>
      <w:bookmarkEnd w:id="30"/>
    </w:p>
    <w:p w14:paraId="1DFE1566" w14:textId="79384277" w:rsidR="00476DA2" w:rsidRDefault="00476DA2" w:rsidP="00D14ED0">
      <w:pPr>
        <w:keepNext/>
        <w:keepLines/>
      </w:pPr>
      <w:r>
        <w:t>During day two, the first OPICC meeting of the exercise was held</w:t>
      </w:r>
      <w:r w:rsidR="0028757A">
        <w:t>, attended by</w:t>
      </w:r>
      <w:r>
        <w:t>:</w:t>
      </w:r>
    </w:p>
    <w:p w14:paraId="37879EBB" w14:textId="77777777" w:rsidR="00476DA2" w:rsidRPr="005F740C" w:rsidRDefault="00476DA2" w:rsidP="00476DA2">
      <w:pPr>
        <w:pStyle w:val="ListParagraph"/>
        <w:keepNext/>
        <w:keepLines/>
        <w:numPr>
          <w:ilvl w:val="0"/>
          <w:numId w:val="15"/>
        </w:numPr>
      </w:pPr>
      <w:r w:rsidRPr="00D17CD0">
        <w:t>Department of Industry, Innovation and Science</w:t>
      </w:r>
      <w:r>
        <w:t>, including the National Offshore Petroleum Titles Administrator</w:t>
      </w:r>
    </w:p>
    <w:p w14:paraId="68E13A02" w14:textId="77777777" w:rsidR="00476DA2" w:rsidRPr="005F740C" w:rsidRDefault="00476DA2" w:rsidP="00476DA2">
      <w:pPr>
        <w:pStyle w:val="ListParagraph"/>
        <w:numPr>
          <w:ilvl w:val="0"/>
          <w:numId w:val="15"/>
        </w:numPr>
      </w:pPr>
      <w:r>
        <w:t>AMSA</w:t>
      </w:r>
    </w:p>
    <w:p w14:paraId="237B42E8" w14:textId="77777777" w:rsidR="00476DA2" w:rsidRPr="005F740C" w:rsidRDefault="00476DA2" w:rsidP="00476DA2">
      <w:pPr>
        <w:pStyle w:val="ListParagraph"/>
        <w:numPr>
          <w:ilvl w:val="0"/>
          <w:numId w:val="15"/>
        </w:numPr>
      </w:pPr>
      <w:r w:rsidRPr="005F740C">
        <w:t>NOPSEMA</w:t>
      </w:r>
    </w:p>
    <w:p w14:paraId="4AC29280" w14:textId="77777777" w:rsidR="00476DA2" w:rsidRPr="00D17CD0" w:rsidRDefault="00476DA2" w:rsidP="00476DA2">
      <w:pPr>
        <w:pStyle w:val="ListParagraph"/>
        <w:numPr>
          <w:ilvl w:val="0"/>
          <w:numId w:val="15"/>
        </w:numPr>
      </w:pPr>
      <w:r w:rsidRPr="00D17CD0">
        <w:t>Department of the Prime Minister and Cabinet</w:t>
      </w:r>
    </w:p>
    <w:p w14:paraId="257B18A3" w14:textId="77777777" w:rsidR="00476DA2" w:rsidRDefault="00476DA2" w:rsidP="00476DA2">
      <w:pPr>
        <w:pStyle w:val="ListParagraph"/>
        <w:numPr>
          <w:ilvl w:val="0"/>
          <w:numId w:val="15"/>
        </w:numPr>
      </w:pPr>
      <w:r w:rsidRPr="00D17CD0">
        <w:t>Emergency Management Australia, Attorney-General’s Department</w:t>
      </w:r>
    </w:p>
    <w:p w14:paraId="7E6CDA69" w14:textId="77777777" w:rsidR="00476DA2" w:rsidRPr="00D17CD0" w:rsidRDefault="00476DA2" w:rsidP="00476DA2">
      <w:pPr>
        <w:pStyle w:val="ListParagraph"/>
        <w:numPr>
          <w:ilvl w:val="0"/>
          <w:numId w:val="15"/>
        </w:numPr>
      </w:pPr>
      <w:r w:rsidRPr="00D17CD0">
        <w:t>Department of Immigration and Border Protection</w:t>
      </w:r>
    </w:p>
    <w:p w14:paraId="3103ED00" w14:textId="77777777" w:rsidR="00476DA2" w:rsidRPr="00D17CD0" w:rsidRDefault="00476DA2" w:rsidP="00476DA2">
      <w:pPr>
        <w:pStyle w:val="ListParagraph"/>
        <w:numPr>
          <w:ilvl w:val="0"/>
          <w:numId w:val="15"/>
        </w:numPr>
      </w:pPr>
      <w:r w:rsidRPr="00D17CD0">
        <w:t>Department of Foreign Affairs and Trade</w:t>
      </w:r>
    </w:p>
    <w:p w14:paraId="7EA7E067" w14:textId="77777777" w:rsidR="00476DA2" w:rsidRPr="00D17CD0" w:rsidRDefault="00476DA2" w:rsidP="00476DA2">
      <w:pPr>
        <w:pStyle w:val="ListParagraph"/>
        <w:numPr>
          <w:ilvl w:val="0"/>
          <w:numId w:val="15"/>
        </w:numPr>
      </w:pPr>
      <w:r w:rsidRPr="00D17CD0">
        <w:t>Department of Agriculture and Water Resources</w:t>
      </w:r>
    </w:p>
    <w:p w14:paraId="0958D398" w14:textId="77777777" w:rsidR="00476DA2" w:rsidRPr="00D17CD0" w:rsidRDefault="00476DA2" w:rsidP="00476DA2">
      <w:pPr>
        <w:pStyle w:val="ListParagraph"/>
        <w:numPr>
          <w:ilvl w:val="0"/>
          <w:numId w:val="15"/>
        </w:numPr>
      </w:pPr>
      <w:r w:rsidRPr="00D17CD0">
        <w:t>Australian Fisheries Management Authority</w:t>
      </w:r>
    </w:p>
    <w:p w14:paraId="2FBA3195" w14:textId="77777777" w:rsidR="00476DA2" w:rsidRPr="00D17CD0" w:rsidRDefault="00476DA2" w:rsidP="00476DA2">
      <w:pPr>
        <w:pStyle w:val="ListParagraph"/>
        <w:numPr>
          <w:ilvl w:val="0"/>
          <w:numId w:val="15"/>
        </w:numPr>
      </w:pPr>
      <w:r w:rsidRPr="00D17CD0">
        <w:t>Department of Infrastructure and Regional Development</w:t>
      </w:r>
    </w:p>
    <w:p w14:paraId="150CDFEC" w14:textId="77777777" w:rsidR="00476DA2" w:rsidRPr="00D17CD0" w:rsidRDefault="00476DA2" w:rsidP="00476DA2">
      <w:pPr>
        <w:pStyle w:val="ListParagraph"/>
        <w:numPr>
          <w:ilvl w:val="0"/>
          <w:numId w:val="15"/>
        </w:numPr>
      </w:pPr>
      <w:r w:rsidRPr="00D17CD0">
        <w:t>Department of the Environment and Energy</w:t>
      </w:r>
    </w:p>
    <w:p w14:paraId="29F71C74" w14:textId="77777777" w:rsidR="00476DA2" w:rsidRPr="00D17CD0" w:rsidRDefault="00476DA2" w:rsidP="00476DA2">
      <w:pPr>
        <w:pStyle w:val="ListParagraph"/>
        <w:numPr>
          <w:ilvl w:val="0"/>
          <w:numId w:val="15"/>
        </w:numPr>
      </w:pPr>
      <w:r w:rsidRPr="00D17CD0">
        <w:lastRenderedPageBreak/>
        <w:t>Geoscience Australia</w:t>
      </w:r>
    </w:p>
    <w:p w14:paraId="080B5F11" w14:textId="77777777" w:rsidR="00476DA2" w:rsidRDefault="00476DA2" w:rsidP="00476DA2">
      <w:pPr>
        <w:pStyle w:val="ListParagraph"/>
        <w:numPr>
          <w:ilvl w:val="0"/>
          <w:numId w:val="15"/>
        </w:numPr>
      </w:pPr>
      <w:r>
        <w:t>WA DoT</w:t>
      </w:r>
    </w:p>
    <w:p w14:paraId="374AC93F" w14:textId="77777777" w:rsidR="00476DA2" w:rsidRDefault="00476DA2" w:rsidP="00476DA2">
      <w:pPr>
        <w:pStyle w:val="ListParagraph"/>
        <w:numPr>
          <w:ilvl w:val="0"/>
          <w:numId w:val="15"/>
        </w:numPr>
      </w:pPr>
      <w:r>
        <w:t>Titleholder</w:t>
      </w:r>
    </w:p>
    <w:p w14:paraId="34E8799D" w14:textId="28F80DA9" w:rsidR="00C84652" w:rsidRDefault="00162F83" w:rsidP="00B7114E">
      <w:r>
        <w:t>Attendees received situation reports from</w:t>
      </w:r>
      <w:r w:rsidR="003C40B9">
        <w:t xml:space="preserve"> the titleholder, WA DoT and</w:t>
      </w:r>
      <w:r>
        <w:t xml:space="preserve"> NOPSEMA and the issues around this information were discussed. The </w:t>
      </w:r>
      <w:r w:rsidR="00F47B02">
        <w:t>T</w:t>
      </w:r>
      <w:r>
        <w:t xml:space="preserve">itleholder made </w:t>
      </w:r>
      <w:r w:rsidR="007D785E">
        <w:t>six</w:t>
      </w:r>
      <w:r>
        <w:t xml:space="preserve"> requests for Commonwealth Government assistance</w:t>
      </w:r>
      <w:r w:rsidR="00F47B02">
        <w:t xml:space="preserve">, relating to </w:t>
      </w:r>
      <w:r w:rsidR="00560E20">
        <w:t>aviation (civil and defence) flight coordination; customs and biosecurity clearance advice</w:t>
      </w:r>
      <w:r w:rsidR="00192F06">
        <w:t>;</w:t>
      </w:r>
      <w:r w:rsidR="00560E20">
        <w:t xml:space="preserve"> visa facilitation and expedited processing; </w:t>
      </w:r>
      <w:r w:rsidR="00205AA1">
        <w:t>access to</w:t>
      </w:r>
      <w:r w:rsidR="00367CF2">
        <w:t xml:space="preserve"> </w:t>
      </w:r>
      <w:r w:rsidR="00560E20">
        <w:t xml:space="preserve">Bureau of Meteorology information and imaging tools; and NOPSEMA assistance with reviewing revised safety cases and </w:t>
      </w:r>
      <w:proofErr w:type="spellStart"/>
      <w:r w:rsidR="00560E20">
        <w:t>permissioning</w:t>
      </w:r>
      <w:proofErr w:type="spellEnd"/>
      <w:r w:rsidR="00560E20">
        <w:t xml:space="preserve"> documents. These requests</w:t>
      </w:r>
      <w:r>
        <w:t xml:space="preserve"> were agreed to</w:t>
      </w:r>
      <w:r w:rsidR="007D785E">
        <w:t xml:space="preserve">, pending written request from the </w:t>
      </w:r>
      <w:r w:rsidR="00F47B02">
        <w:t>T</w:t>
      </w:r>
      <w:r w:rsidR="007D785E">
        <w:t>itleholder</w:t>
      </w:r>
      <w:r>
        <w:t>.</w:t>
      </w:r>
    </w:p>
    <w:p w14:paraId="5054D61D" w14:textId="77777777" w:rsidR="009B74CC" w:rsidRDefault="007D785E" w:rsidP="00B7114E">
      <w:r>
        <w:t xml:space="preserve">OPICC members </w:t>
      </w:r>
      <w:r w:rsidR="00F03F09">
        <w:t xml:space="preserve">asked for </w:t>
      </w:r>
      <w:r>
        <w:t>information on the safety of personnel, potential impacts</w:t>
      </w:r>
      <w:r w:rsidR="00F03F09">
        <w:t xml:space="preserve"> of the incident</w:t>
      </w:r>
      <w:r w:rsidR="00BB4ECA">
        <w:t>,</w:t>
      </w:r>
      <w:r>
        <w:t xml:space="preserve"> potential control measures</w:t>
      </w:r>
      <w:r w:rsidR="00BB4ECA">
        <w:t>, and discussed the Commonwealth resources that were available to assist</w:t>
      </w:r>
      <w:r w:rsidR="00F47B02">
        <w:t xml:space="preserve"> the operational response</w:t>
      </w:r>
      <w:r w:rsidR="00BB4ECA">
        <w:t>.</w:t>
      </w:r>
    </w:p>
    <w:p w14:paraId="00A4FB58" w14:textId="61A6F757" w:rsidR="00476DA2" w:rsidRDefault="00F47B02" w:rsidP="00B7114E">
      <w:r>
        <w:t>T</w:t>
      </w:r>
      <w:r w:rsidR="009C5DA4">
        <w:t xml:space="preserve">he OPICC meeting </w:t>
      </w:r>
      <w:r w:rsidR="00BB4ECA">
        <w:t>did</w:t>
      </w:r>
      <w:r>
        <w:t xml:space="preserve"> not</w:t>
      </w:r>
      <w:r w:rsidR="00BB4ECA">
        <w:t xml:space="preserve"> </w:t>
      </w:r>
      <w:r w:rsidR="002D1B96">
        <w:t>address all agenda items</w:t>
      </w:r>
      <w:r w:rsidR="009C5DA4">
        <w:t>,</w:t>
      </w:r>
      <w:r w:rsidR="000A3952">
        <w:t xml:space="preserve"> and</w:t>
      </w:r>
      <w:r w:rsidR="009C5DA4">
        <w:t xml:space="preserve"> </w:t>
      </w:r>
      <w:r w:rsidR="000623E4">
        <w:t>most notably</w:t>
      </w:r>
      <w:r w:rsidR="009C5DA4">
        <w:t xml:space="preserve"> </w:t>
      </w:r>
      <w:r w:rsidR="00804FE2">
        <w:t xml:space="preserve">the approach to </w:t>
      </w:r>
      <w:r w:rsidR="009C5DA4">
        <w:t>coordinated communications</w:t>
      </w:r>
      <w:r w:rsidR="00804FE2">
        <w:t xml:space="preserve"> was not adequately discussed</w:t>
      </w:r>
      <w:r w:rsidR="00205AA1">
        <w:t>.</w:t>
      </w:r>
      <w:r w:rsidR="00205AA1" w:rsidRPr="00205AA1">
        <w:t xml:space="preserve"> </w:t>
      </w:r>
      <w:r w:rsidR="00205AA1">
        <w:t>This highlighted the need for the OPICC to have a more focused mission statement, rather than attempting to address all issues related to the incident</w:t>
      </w:r>
      <w:r w:rsidR="009C5DA4">
        <w:t>.</w:t>
      </w:r>
      <w:r w:rsidR="00CC31EC" w:rsidDel="00CC31EC">
        <w:rPr>
          <w:rStyle w:val="FootnoteReference"/>
        </w:rPr>
        <w:t xml:space="preserve"> </w:t>
      </w:r>
    </w:p>
    <w:p w14:paraId="1B317805" w14:textId="51A808D1" w:rsidR="00AC7ADF" w:rsidRDefault="00AC7ADF" w:rsidP="00B7114E">
      <w:r>
        <w:t xml:space="preserve">The </w:t>
      </w:r>
      <w:r w:rsidR="00F86484">
        <w:t xml:space="preserve">department’s </w:t>
      </w:r>
      <w:r>
        <w:t>CMT produced a</w:t>
      </w:r>
      <w:r w:rsidR="007A22B5">
        <w:t xml:space="preserve"> </w:t>
      </w:r>
      <w:r>
        <w:t xml:space="preserve">morning and </w:t>
      </w:r>
      <w:r w:rsidR="007A22B5">
        <w:t xml:space="preserve">an </w:t>
      </w:r>
      <w:r>
        <w:t>afternoon incident brief (incident briefs #2 and #3)</w:t>
      </w:r>
      <w:r w:rsidR="00F47B02">
        <w:t xml:space="preserve">, which were provided to </w:t>
      </w:r>
      <w:r w:rsidR="00F86484">
        <w:t>OPICC members</w:t>
      </w:r>
      <w:r w:rsidR="00F47B02">
        <w:t>.</w:t>
      </w:r>
    </w:p>
    <w:p w14:paraId="55F90B5A" w14:textId="1557D5EC" w:rsidR="00AB478E" w:rsidRDefault="00992C41" w:rsidP="00B7114E">
      <w:r>
        <w:t xml:space="preserve">In Fremantle, </w:t>
      </w:r>
      <w:r w:rsidR="00B7114E">
        <w:t xml:space="preserve">WA DoT established an Incident Management Team and </w:t>
      </w:r>
      <w:r>
        <w:t xml:space="preserve">in Exmouth </w:t>
      </w:r>
      <w:r w:rsidR="00B7114E">
        <w:t>WA DoT Strike Teams were deployed to the Forward Operating Base established</w:t>
      </w:r>
      <w:r>
        <w:t xml:space="preserve"> there</w:t>
      </w:r>
      <w:r w:rsidR="00B7114E">
        <w:t>. The Titleholder commenced mobilisation of Strike Teams to Exmouth. To facilitate effective coordination between the Titleholder and WA DoT, the State Marine Pollution Coordinator convened the inaugural meeting of the Joint Strategic Coordi</w:t>
      </w:r>
      <w:r w:rsidR="00476DA2">
        <w:t xml:space="preserve">nation Committee (JSCC). </w:t>
      </w:r>
    </w:p>
    <w:p w14:paraId="3CF9D2FB" w14:textId="1AA30FFD" w:rsidR="00AB478E" w:rsidRDefault="00476DA2" w:rsidP="00B7114E">
      <w:r>
        <w:t xml:space="preserve">The WA Government </w:t>
      </w:r>
      <w:r w:rsidR="00B7114E">
        <w:t>and the Titleholder con</w:t>
      </w:r>
      <w:r w:rsidR="00AB478E">
        <w:t xml:space="preserve">ducted </w:t>
      </w:r>
      <w:r w:rsidR="006A23B3">
        <w:t>a joint media conference in WA and t</w:t>
      </w:r>
      <w:r w:rsidR="00AB478E">
        <w:t xml:space="preserve">he Prime Minister held a media conference in Canberra. </w:t>
      </w:r>
    </w:p>
    <w:p w14:paraId="3C7FC9EF" w14:textId="0ECBC865" w:rsidR="001D149B" w:rsidRPr="00D17CD0" w:rsidRDefault="001D149B" w:rsidP="001D149B">
      <w:r>
        <w:t xml:space="preserve">Oil escaping from the well entered </w:t>
      </w:r>
      <w:r w:rsidR="003B540C">
        <w:t>WA coastal</w:t>
      </w:r>
      <w:r>
        <w:t xml:space="preserve"> waters late in the night on day two.</w:t>
      </w:r>
    </w:p>
    <w:p w14:paraId="282CCD46" w14:textId="77777777" w:rsidR="00B7114E" w:rsidRDefault="00B7114E" w:rsidP="00B7114E">
      <w:pPr>
        <w:pStyle w:val="Heading3"/>
      </w:pPr>
      <w:bookmarkStart w:id="31" w:name="_Toc517179045"/>
      <w:r>
        <w:t>Day three</w:t>
      </w:r>
      <w:bookmarkEnd w:id="31"/>
    </w:p>
    <w:p w14:paraId="220EA308" w14:textId="377BEC54" w:rsidR="00803DFD" w:rsidRDefault="00630714" w:rsidP="00B7114E">
      <w:r>
        <w:t xml:space="preserve">Geoscience Australia provided </w:t>
      </w:r>
      <w:r w:rsidR="009B74CC">
        <w:t xml:space="preserve">the OPICC with </w:t>
      </w:r>
      <w:r>
        <w:t xml:space="preserve">satellite and ocean current </w:t>
      </w:r>
      <w:r w:rsidR="00B55FF2">
        <w:t xml:space="preserve">data </w:t>
      </w:r>
      <w:r w:rsidR="0028757A">
        <w:t xml:space="preserve">that had been </w:t>
      </w:r>
      <w:r w:rsidR="00B55FF2">
        <w:t>requested on d</w:t>
      </w:r>
      <w:r>
        <w:t>ay</w:t>
      </w:r>
      <w:r w:rsidR="00B55FF2">
        <w:t xml:space="preserve"> two</w:t>
      </w:r>
      <w:r>
        <w:t xml:space="preserve">. </w:t>
      </w:r>
    </w:p>
    <w:p w14:paraId="5D7E95F2" w14:textId="2691379C" w:rsidR="001D149B" w:rsidRPr="00CD676D" w:rsidRDefault="00B7114E" w:rsidP="00B7114E">
      <w:r>
        <w:t xml:space="preserve">Strike </w:t>
      </w:r>
      <w:r w:rsidR="00A67AF0">
        <w:t>t</w:t>
      </w:r>
      <w:r>
        <w:t xml:space="preserve">eams from both WA DoT and the Titleholder arrived in Exmouth and initial site reconnaissance in the operational areas was conducted. A WA DoT team was also deployed </w:t>
      </w:r>
      <w:r w:rsidRPr="00CD676D">
        <w:t xml:space="preserve">to </w:t>
      </w:r>
      <w:r w:rsidR="00953F1D">
        <w:t>nearby i</w:t>
      </w:r>
      <w:r w:rsidRPr="00E35083">
        <w:t xml:space="preserve">slands. The JSCC </w:t>
      </w:r>
      <w:r w:rsidR="00E35083" w:rsidRPr="00E35083">
        <w:t>was</w:t>
      </w:r>
      <w:r w:rsidRPr="00E35083">
        <w:t xml:space="preserve"> convened </w:t>
      </w:r>
      <w:r w:rsidR="00E35083" w:rsidRPr="00E35083">
        <w:t>again.</w:t>
      </w:r>
    </w:p>
    <w:p w14:paraId="0B67FB4F" w14:textId="1F800F76" w:rsidR="001272F4" w:rsidRDefault="001272F4" w:rsidP="00B7114E">
      <w:r>
        <w:t xml:space="preserve">Oil </w:t>
      </w:r>
      <w:r w:rsidR="00953F1D">
        <w:t>began</w:t>
      </w:r>
      <w:r w:rsidR="00FC2ED0">
        <w:t xml:space="preserve"> to </w:t>
      </w:r>
      <w:r>
        <w:t xml:space="preserve">reach </w:t>
      </w:r>
      <w:r w:rsidR="00FC2ED0">
        <w:t xml:space="preserve">land </w:t>
      </w:r>
      <w:r>
        <w:t>around 1200 AEST.</w:t>
      </w:r>
    </w:p>
    <w:p w14:paraId="59CBBA04" w14:textId="04652B06" w:rsidR="00B7114E" w:rsidRDefault="00BB3B33" w:rsidP="00B7114E">
      <w:r w:rsidRPr="00CD676D">
        <w:t xml:space="preserve">The OPICC held a second meeting </w:t>
      </w:r>
      <w:r w:rsidR="00CD676D" w:rsidRPr="00CD676D">
        <w:t xml:space="preserve">at 1400 AEST </w:t>
      </w:r>
      <w:r w:rsidR="0040061C" w:rsidRPr="00CD676D">
        <w:t xml:space="preserve">and received </w:t>
      </w:r>
      <w:r w:rsidR="001D149B" w:rsidRPr="00CD676D">
        <w:t xml:space="preserve">situation </w:t>
      </w:r>
      <w:r w:rsidR="0040061C" w:rsidRPr="00CD676D">
        <w:t xml:space="preserve">reports from the Titleholder, WA DoT and NOPSEMA. OPICC </w:t>
      </w:r>
      <w:r w:rsidR="001D149B" w:rsidRPr="00CD676D">
        <w:t xml:space="preserve">members </w:t>
      </w:r>
      <w:r w:rsidR="0040061C" w:rsidRPr="00CD676D">
        <w:t xml:space="preserve">discussed the process of external communication </w:t>
      </w:r>
      <w:r w:rsidR="00337FF5" w:rsidRPr="00CD676D">
        <w:t xml:space="preserve">by </w:t>
      </w:r>
      <w:r w:rsidR="0040061C" w:rsidRPr="00CD676D">
        <w:t>the various stakeholders</w:t>
      </w:r>
      <w:r w:rsidR="00CD676D" w:rsidRPr="00CD676D">
        <w:t xml:space="preserve">, </w:t>
      </w:r>
      <w:r w:rsidR="0040061C" w:rsidRPr="00CD676D">
        <w:t xml:space="preserve">the circumstances under which the </w:t>
      </w:r>
      <w:r w:rsidR="007A22B5">
        <w:t xml:space="preserve">Australian Government </w:t>
      </w:r>
      <w:r w:rsidR="001D149B" w:rsidRPr="00CD676D">
        <w:t>National Crisis Commi</w:t>
      </w:r>
      <w:r w:rsidR="00517702" w:rsidRPr="00CD676D">
        <w:t>t</w:t>
      </w:r>
      <w:r w:rsidR="001D149B" w:rsidRPr="00CD676D">
        <w:t xml:space="preserve">tee </w:t>
      </w:r>
      <w:r w:rsidR="0040061C" w:rsidRPr="00CD676D">
        <w:t xml:space="preserve">would be </w:t>
      </w:r>
      <w:r w:rsidR="00CD676D" w:rsidRPr="00CD676D">
        <w:t>activated</w:t>
      </w:r>
      <w:r w:rsidR="00CD676D">
        <w:t>,</w:t>
      </w:r>
      <w:r w:rsidR="00337FF5" w:rsidRPr="00CD676D">
        <w:t xml:space="preserve"> the role of the</w:t>
      </w:r>
      <w:r w:rsidR="007A22B5">
        <w:t xml:space="preserve"> Australian </w:t>
      </w:r>
      <w:r w:rsidR="007A22B5">
        <w:lastRenderedPageBreak/>
        <w:t>Government Crisis Coordination Centre</w:t>
      </w:r>
      <w:r w:rsidR="00337FF5" w:rsidRPr="00CD676D">
        <w:t xml:space="preserve"> </w:t>
      </w:r>
      <w:r w:rsidR="007A22B5">
        <w:t>(</w:t>
      </w:r>
      <w:r w:rsidR="00337FF5" w:rsidRPr="00CD676D">
        <w:t>CCC</w:t>
      </w:r>
      <w:r w:rsidR="007A22B5">
        <w:t>)</w:t>
      </w:r>
      <w:r w:rsidR="00833D49">
        <w:t xml:space="preserve"> and the progress of action items from the previous meeting</w:t>
      </w:r>
      <w:r w:rsidR="0040061C" w:rsidRPr="00CD676D">
        <w:t xml:space="preserve">. </w:t>
      </w:r>
    </w:p>
    <w:p w14:paraId="5E45C526" w14:textId="3B0EF3C6" w:rsidR="00AC7ADF" w:rsidRPr="00C20F06" w:rsidRDefault="00AC7ADF" w:rsidP="00B7114E">
      <w:r>
        <w:t xml:space="preserve">The </w:t>
      </w:r>
      <w:r w:rsidR="00CB3B01">
        <w:t xml:space="preserve">department’s </w:t>
      </w:r>
      <w:r>
        <w:t xml:space="preserve">CMT produced a morning and </w:t>
      </w:r>
      <w:r w:rsidR="007A22B5">
        <w:t xml:space="preserve">an </w:t>
      </w:r>
      <w:r>
        <w:t>afternoon incident brief (incident briefs #4 and #5).</w:t>
      </w:r>
    </w:p>
    <w:p w14:paraId="77ABFF25" w14:textId="30BA18D5" w:rsidR="00B7114E" w:rsidRPr="00724244" w:rsidRDefault="00B7114E" w:rsidP="00B7114E">
      <w:pPr>
        <w:rPr>
          <w:highlight w:val="yellow"/>
        </w:rPr>
      </w:pPr>
      <w:r>
        <w:t>This was the final day of the exercise for the OPICC and the department’s CMT.</w:t>
      </w:r>
      <w:r w:rsidR="00A054CC">
        <w:t xml:space="preserve"> </w:t>
      </w:r>
    </w:p>
    <w:p w14:paraId="1C682A86" w14:textId="77777777" w:rsidR="00B7114E" w:rsidRDefault="00B7114E" w:rsidP="00D77497">
      <w:pPr>
        <w:pStyle w:val="Heading3"/>
        <w:keepNext/>
      </w:pPr>
      <w:bookmarkStart w:id="32" w:name="_Toc517179046"/>
      <w:r>
        <w:t>Day four</w:t>
      </w:r>
      <w:bookmarkEnd w:id="32"/>
    </w:p>
    <w:p w14:paraId="633428B9" w14:textId="35DEAB43" w:rsidR="00B7114E" w:rsidRDefault="001D149B" w:rsidP="00B7114E">
      <w:r>
        <w:t xml:space="preserve">Oil </w:t>
      </w:r>
      <w:r w:rsidR="00E70474">
        <w:t xml:space="preserve">reached </w:t>
      </w:r>
      <w:r w:rsidR="00865669">
        <w:t>additional areas</w:t>
      </w:r>
      <w:r w:rsidR="00D65EF8">
        <w:t xml:space="preserve"> of the WA coast</w:t>
      </w:r>
      <w:r>
        <w:t xml:space="preserve"> early on day four. </w:t>
      </w:r>
      <w:r w:rsidR="00AF3D9B">
        <w:t>WA DoT and t</w:t>
      </w:r>
      <w:r w:rsidR="00B7114E">
        <w:t xml:space="preserve">he Titleholder </w:t>
      </w:r>
      <w:r w:rsidR="00AF3D9B">
        <w:t xml:space="preserve">continued the </w:t>
      </w:r>
      <w:r w:rsidR="00B7114E">
        <w:t xml:space="preserve">operational response with </w:t>
      </w:r>
      <w:r w:rsidR="00A67AF0">
        <w:t>s</w:t>
      </w:r>
      <w:r w:rsidR="00B7114E">
        <w:t xml:space="preserve">trike </w:t>
      </w:r>
      <w:r w:rsidR="00A67AF0">
        <w:t>t</w:t>
      </w:r>
      <w:r w:rsidR="00B7114E">
        <w:t>eams deployed in accordance with Incident Action Plans, and a third JSCC meeting was conducted.</w:t>
      </w:r>
    </w:p>
    <w:p w14:paraId="630B3D70" w14:textId="3719F083" w:rsidR="00B7114E" w:rsidRDefault="00B7114E" w:rsidP="00B7114E">
      <w:r>
        <w:t xml:space="preserve">This was the final day of the exercise for </w:t>
      </w:r>
      <w:r w:rsidR="00AF3D9B">
        <w:t>WA DoT and the Titleholder.</w:t>
      </w:r>
    </w:p>
    <w:p w14:paraId="3DC3F9DC" w14:textId="5DCD416C" w:rsidR="009C2555" w:rsidRPr="007E47D3" w:rsidRDefault="009C2555" w:rsidP="009C2555">
      <w:pPr>
        <w:pStyle w:val="Heading2"/>
      </w:pPr>
      <w:bookmarkStart w:id="33" w:name="_Toc505678980"/>
      <w:bookmarkStart w:id="34" w:name="_Toc517179047"/>
      <w:r w:rsidRPr="007E47D3">
        <w:t>Exercise evaluation</w:t>
      </w:r>
      <w:bookmarkEnd w:id="33"/>
      <w:bookmarkEnd w:id="34"/>
    </w:p>
    <w:p w14:paraId="22555453" w14:textId="77777777" w:rsidR="009C2555" w:rsidRPr="007E47D3" w:rsidRDefault="009C2555" w:rsidP="009C2555">
      <w:r w:rsidRPr="007E47D3">
        <w:t>Data was collected by REM Associates from each functional area via the following methods:</w:t>
      </w:r>
    </w:p>
    <w:p w14:paraId="3E90C11B" w14:textId="77777777" w:rsidR="009C2555" w:rsidRPr="007E47D3" w:rsidRDefault="009C2555" w:rsidP="009C2555">
      <w:pPr>
        <w:pStyle w:val="ListParagraph"/>
        <w:numPr>
          <w:ilvl w:val="0"/>
          <w:numId w:val="12"/>
        </w:numPr>
      </w:pPr>
      <w:r w:rsidRPr="007E47D3">
        <w:t>Direct observation (through the completion of individual evaluator reports)</w:t>
      </w:r>
    </w:p>
    <w:p w14:paraId="524CF130" w14:textId="77777777" w:rsidR="009C2555" w:rsidRPr="007E47D3" w:rsidRDefault="009C2555" w:rsidP="009C2555">
      <w:pPr>
        <w:pStyle w:val="ListParagraph"/>
        <w:numPr>
          <w:ilvl w:val="0"/>
          <w:numId w:val="12"/>
        </w:numPr>
      </w:pPr>
      <w:r w:rsidRPr="007E47D3">
        <w:t>Outcomes of debriefs</w:t>
      </w:r>
    </w:p>
    <w:p w14:paraId="6CCDAA1B" w14:textId="77777777" w:rsidR="009C2555" w:rsidRPr="007E47D3" w:rsidRDefault="009C2555" w:rsidP="009C2555">
      <w:pPr>
        <w:pStyle w:val="ListParagraph"/>
        <w:numPr>
          <w:ilvl w:val="0"/>
          <w:numId w:val="12"/>
        </w:numPr>
      </w:pPr>
      <w:r w:rsidRPr="007E47D3">
        <w:t>Reviews of documentation from observers</w:t>
      </w:r>
    </w:p>
    <w:p w14:paraId="2903CEB0" w14:textId="278E70DC" w:rsidR="009C2555" w:rsidRPr="007E47D3" w:rsidRDefault="009C2555" w:rsidP="009C2555">
      <w:r w:rsidRPr="007E47D3">
        <w:t xml:space="preserve">Observations were </w:t>
      </w:r>
      <w:r>
        <w:t>analysed</w:t>
      </w:r>
      <w:r w:rsidRPr="007E47D3">
        <w:t xml:space="preserve"> by the REM Associates Evaluation Coordinator and categorised based on exercise objectives and key performance indicators. REM Associates </w:t>
      </w:r>
      <w:r>
        <w:t xml:space="preserve">provided recommendations based </w:t>
      </w:r>
      <w:r w:rsidRPr="007E47D3">
        <w:t xml:space="preserve">on </w:t>
      </w:r>
      <w:r>
        <w:t xml:space="preserve">the </w:t>
      </w:r>
      <w:r w:rsidRPr="007E47D3">
        <w:t xml:space="preserve">performance </w:t>
      </w:r>
      <w:r>
        <w:t>of the OPICC and</w:t>
      </w:r>
      <w:r w:rsidRPr="007E47D3">
        <w:t xml:space="preserve"> </w:t>
      </w:r>
      <w:r>
        <w:t>the department’s</w:t>
      </w:r>
      <w:r w:rsidRPr="007E47D3">
        <w:t xml:space="preserve"> CMT</w:t>
      </w:r>
      <w:r>
        <w:t xml:space="preserve"> i</w:t>
      </w:r>
      <w:r w:rsidRPr="007E47D3">
        <w:t xml:space="preserve">n relation to the </w:t>
      </w:r>
      <w:r w:rsidR="006D7C66">
        <w:t xml:space="preserve">exercise </w:t>
      </w:r>
      <w:r w:rsidRPr="007E47D3">
        <w:t>objectives.</w:t>
      </w:r>
    </w:p>
    <w:p w14:paraId="5216B70B" w14:textId="77777777" w:rsidR="00B7114E" w:rsidRDefault="00B7114E"/>
    <w:p w14:paraId="602D6564" w14:textId="14A316D7" w:rsidR="00DB2BD2" w:rsidRDefault="00DB2BD2"/>
    <w:p w14:paraId="38043647" w14:textId="77777777" w:rsidR="00DB2BD2" w:rsidRDefault="00DB2BD2">
      <w:pPr>
        <w:sectPr w:rsidR="00DB2BD2" w:rsidSect="001D6433">
          <w:footerReference w:type="default" r:id="rId15"/>
          <w:pgSz w:w="11906" w:h="16838"/>
          <w:pgMar w:top="1440" w:right="1440" w:bottom="1440" w:left="1440" w:header="708" w:footer="708" w:gutter="0"/>
          <w:pgNumType w:start="1"/>
          <w:cols w:space="708"/>
          <w:docGrid w:linePitch="360"/>
        </w:sectPr>
      </w:pPr>
    </w:p>
    <w:p w14:paraId="32824721" w14:textId="77777777" w:rsidR="00655932" w:rsidRPr="007E47D3" w:rsidRDefault="00655932" w:rsidP="00655932">
      <w:pPr>
        <w:pStyle w:val="Heading2"/>
      </w:pPr>
      <w:bookmarkStart w:id="35" w:name="_Toc505678978"/>
      <w:bookmarkStart w:id="36" w:name="_Toc517179048"/>
      <w:r w:rsidRPr="007E47D3">
        <w:lastRenderedPageBreak/>
        <w:t>Recommendations</w:t>
      </w:r>
      <w:bookmarkEnd w:id="35"/>
      <w:bookmarkEnd w:id="36"/>
    </w:p>
    <w:p w14:paraId="42F32099" w14:textId="1D7CAD7F" w:rsidR="003278BD" w:rsidRPr="003278BD" w:rsidRDefault="00655932" w:rsidP="00655932">
      <w:r w:rsidRPr="00A768BA">
        <w:t xml:space="preserve">The </w:t>
      </w:r>
      <w:r>
        <w:t>e</w:t>
      </w:r>
      <w:r w:rsidRPr="00A768BA">
        <w:t>xercis</w:t>
      </w:r>
      <w:r>
        <w:t>e contractor, REM Associates, made eight recommendations to improve the operation of the OPICC and the department’s CMT,</w:t>
      </w:r>
      <w:r w:rsidRPr="00A768BA">
        <w:t xml:space="preserve"> grouped by priority for implementation.</w:t>
      </w:r>
      <w:r>
        <w:t xml:space="preserve"> The department has accepted all recommendations. Table 2 presents the recommendations</w:t>
      </w:r>
      <w:r w:rsidR="001B19F6">
        <w:t xml:space="preserve"> and</w:t>
      </w:r>
      <w:r>
        <w:t xml:space="preserve"> the department</w:t>
      </w:r>
      <w:r w:rsidRPr="005B35E4">
        <w:t>’s response.</w:t>
      </w:r>
      <w:r w:rsidR="006D7C66">
        <w:t xml:space="preserve"> The implementation of a</w:t>
      </w:r>
      <w:r w:rsidR="00AE1CBD">
        <w:t xml:space="preserve">ll recommendations </w:t>
      </w:r>
      <w:r w:rsidR="006D7C66">
        <w:t xml:space="preserve">is </w:t>
      </w:r>
      <w:r w:rsidR="00AE1CBD">
        <w:t xml:space="preserve">the responsibility of the Department of Industry, Innovation and Science. </w:t>
      </w:r>
    </w:p>
    <w:p w14:paraId="0D5F9C7D" w14:textId="75E81869" w:rsidR="003278BD" w:rsidRDefault="003278BD" w:rsidP="003278BD">
      <w:pPr>
        <w:pStyle w:val="Caption"/>
      </w:pPr>
      <w:r>
        <w:t xml:space="preserve">Table </w:t>
      </w:r>
      <w:r w:rsidR="00F7347D">
        <w:rPr>
          <w:noProof/>
        </w:rPr>
        <w:fldChar w:fldCharType="begin"/>
      </w:r>
      <w:r w:rsidR="00F7347D">
        <w:rPr>
          <w:noProof/>
        </w:rPr>
        <w:instrText xml:space="preserve"> SEQ Table \* ARABIC </w:instrText>
      </w:r>
      <w:r w:rsidR="00F7347D">
        <w:rPr>
          <w:noProof/>
        </w:rPr>
        <w:fldChar w:fldCharType="separate"/>
      </w:r>
      <w:r w:rsidR="00531400">
        <w:rPr>
          <w:noProof/>
        </w:rPr>
        <w:t>2</w:t>
      </w:r>
      <w:r w:rsidR="00F7347D">
        <w:rPr>
          <w:noProof/>
        </w:rPr>
        <w:fldChar w:fldCharType="end"/>
      </w:r>
      <w:r>
        <w:t xml:space="preserve"> </w:t>
      </w:r>
      <w:r w:rsidRPr="00866929">
        <w:t>Recommendations for the OPICC and the d</w:t>
      </w:r>
      <w:r>
        <w:t>epartment’s CMT</w:t>
      </w:r>
    </w:p>
    <w:tbl>
      <w:tblPr>
        <w:tblStyle w:val="TableGrid"/>
        <w:tblW w:w="0" w:type="auto"/>
        <w:tblLook w:val="04A0" w:firstRow="1" w:lastRow="0" w:firstColumn="1" w:lastColumn="0" w:noHBand="0" w:noVBand="1"/>
      </w:tblPr>
      <w:tblGrid>
        <w:gridCol w:w="6375"/>
        <w:gridCol w:w="7229"/>
      </w:tblGrid>
      <w:tr w:rsidR="00D05456" w:rsidRPr="00655932" w14:paraId="3C176D6A" w14:textId="77777777" w:rsidTr="00E351E7">
        <w:tc>
          <w:tcPr>
            <w:tcW w:w="13604" w:type="dxa"/>
            <w:gridSpan w:val="2"/>
            <w:shd w:val="clear" w:color="auto" w:fill="000000" w:themeFill="text1"/>
            <w:vAlign w:val="center"/>
          </w:tcPr>
          <w:p w14:paraId="24F3E7FC" w14:textId="4DEA515A" w:rsidR="00D05456" w:rsidRPr="00655932" w:rsidRDefault="00D05456" w:rsidP="00E351E7">
            <w:pPr>
              <w:spacing w:before="20" w:after="20"/>
              <w:rPr>
                <w:b/>
              </w:rPr>
            </w:pPr>
            <w:r w:rsidRPr="00655932">
              <w:rPr>
                <w:b/>
              </w:rPr>
              <w:t>Priority 1 – For implementation within 12 months</w:t>
            </w:r>
          </w:p>
        </w:tc>
      </w:tr>
      <w:tr w:rsidR="00D05456" w:rsidRPr="00655932" w14:paraId="4F78748A" w14:textId="77777777" w:rsidTr="00E351E7">
        <w:tc>
          <w:tcPr>
            <w:tcW w:w="6375" w:type="dxa"/>
            <w:shd w:val="clear" w:color="auto" w:fill="D9D9D9" w:themeFill="background1" w:themeFillShade="D9"/>
            <w:vAlign w:val="center"/>
          </w:tcPr>
          <w:p w14:paraId="69CD3E31" w14:textId="39877D18" w:rsidR="00D05456" w:rsidRPr="00655932" w:rsidRDefault="00D05456" w:rsidP="00E351E7">
            <w:pPr>
              <w:spacing w:before="20" w:after="20"/>
              <w:rPr>
                <w:b/>
              </w:rPr>
            </w:pPr>
            <w:r w:rsidRPr="00655932">
              <w:rPr>
                <w:b/>
              </w:rPr>
              <w:t xml:space="preserve">Recommendation </w:t>
            </w:r>
          </w:p>
        </w:tc>
        <w:tc>
          <w:tcPr>
            <w:tcW w:w="7229" w:type="dxa"/>
            <w:shd w:val="clear" w:color="auto" w:fill="D9D9D9" w:themeFill="background1" w:themeFillShade="D9"/>
            <w:vAlign w:val="center"/>
          </w:tcPr>
          <w:p w14:paraId="01D7D0F8" w14:textId="77777777" w:rsidR="00D05456" w:rsidRPr="00655932" w:rsidRDefault="00D05456" w:rsidP="00E351E7">
            <w:pPr>
              <w:spacing w:before="20" w:after="20"/>
              <w:rPr>
                <w:b/>
              </w:rPr>
            </w:pPr>
            <w:r w:rsidRPr="00655932">
              <w:rPr>
                <w:b/>
              </w:rPr>
              <w:t>Department of Industry, Innovation and Science response</w:t>
            </w:r>
          </w:p>
        </w:tc>
      </w:tr>
      <w:tr w:rsidR="00D05456" w:rsidRPr="007E47D3" w14:paraId="4AF54682" w14:textId="77777777" w:rsidTr="00682E84">
        <w:tc>
          <w:tcPr>
            <w:tcW w:w="6375" w:type="dxa"/>
          </w:tcPr>
          <w:p w14:paraId="15D3022F" w14:textId="77777777" w:rsidR="00D05456" w:rsidRDefault="00D05456" w:rsidP="000F1886">
            <w:pPr>
              <w:spacing w:before="60" w:after="60"/>
            </w:pPr>
            <w:r w:rsidRPr="007E47D3">
              <w:t xml:space="preserve">1. Review current Crisis Management System (CMS) to align with </w:t>
            </w:r>
            <w:r>
              <w:t>Australian Government Crisis Management Framework</w:t>
            </w:r>
            <w:r w:rsidRPr="007E47D3">
              <w:t xml:space="preserve"> arrangements. </w:t>
            </w:r>
          </w:p>
          <w:p w14:paraId="4896054D" w14:textId="77777777" w:rsidR="00D05456" w:rsidRDefault="00D05456" w:rsidP="000F1886">
            <w:pPr>
              <w:spacing w:before="60" w:after="60"/>
            </w:pPr>
            <w:r w:rsidRPr="007E47D3">
              <w:t>Align processes and forms to Australian Government Crisis Coordination Centre and implement procedures to track and maintain situational awareness incl</w:t>
            </w:r>
            <w:r>
              <w:t>uding designated room/facility.</w:t>
            </w:r>
            <w:r w:rsidRPr="007E47D3">
              <w:t xml:space="preserve"> </w:t>
            </w:r>
          </w:p>
          <w:p w14:paraId="5B1B9FAF" w14:textId="3E5639FB" w:rsidR="00D05456" w:rsidRPr="007E47D3" w:rsidRDefault="00D05456" w:rsidP="000F1886">
            <w:pPr>
              <w:spacing w:before="60" w:after="60"/>
            </w:pPr>
            <w:r w:rsidRPr="007E47D3">
              <w:t xml:space="preserve">Consider deploying </w:t>
            </w:r>
            <w:r>
              <w:t>l</w:t>
            </w:r>
            <w:r w:rsidRPr="007E47D3">
              <w:t xml:space="preserve">iaison </w:t>
            </w:r>
            <w:r>
              <w:t>o</w:t>
            </w:r>
            <w:r w:rsidRPr="007E47D3">
              <w:t>fficers to Petroleum Titleholder and other response agencies upon notification and ensure they are trained and understand role.</w:t>
            </w:r>
          </w:p>
        </w:tc>
        <w:tc>
          <w:tcPr>
            <w:tcW w:w="7229" w:type="dxa"/>
          </w:tcPr>
          <w:p w14:paraId="56A30A9B" w14:textId="1A72E714" w:rsidR="00D05456" w:rsidRDefault="00D05456" w:rsidP="000F1886">
            <w:pPr>
              <w:spacing w:before="60" w:after="60"/>
            </w:pPr>
            <w:r w:rsidRPr="007E47D3">
              <w:t>Agreed</w:t>
            </w:r>
            <w:r w:rsidRPr="005B35E4">
              <w:t xml:space="preserve">. The department </w:t>
            </w:r>
            <w:r>
              <w:t>will undertake a thorough evaluation</w:t>
            </w:r>
            <w:r w:rsidRPr="005B35E4">
              <w:t xml:space="preserve"> of </w:t>
            </w:r>
            <w:r w:rsidRPr="001C78AE">
              <w:t xml:space="preserve">its offshore incident response plans and processes. This includes ensuring </w:t>
            </w:r>
            <w:r>
              <w:t xml:space="preserve">that the department’s internal </w:t>
            </w:r>
            <w:r w:rsidR="002D22BE">
              <w:t>policies and plans</w:t>
            </w:r>
            <w:r>
              <w:t xml:space="preserve"> better </w:t>
            </w:r>
            <w:r w:rsidRPr="005B35E4">
              <w:t>align</w:t>
            </w:r>
            <w:r>
              <w:t xml:space="preserve"> </w:t>
            </w:r>
            <w:r w:rsidRPr="005B35E4">
              <w:t xml:space="preserve">with the </w:t>
            </w:r>
            <w:r w:rsidRPr="001C78AE">
              <w:t xml:space="preserve">Australian Government Crisis Management Framework through </w:t>
            </w:r>
            <w:r>
              <w:t>collaboration</w:t>
            </w:r>
            <w:r w:rsidRPr="001C78AE">
              <w:t xml:space="preserve"> with the Department of the Prime Minister and Cabinet and the Australian Government Crisis Coordination Centre</w:t>
            </w:r>
            <w:r w:rsidRPr="005B35E4">
              <w:t xml:space="preserve">. </w:t>
            </w:r>
            <w:r w:rsidR="002D22BE" w:rsidRPr="002D22BE">
              <w:t>The department will work directly with the Crisis Coordination Centre to ensure that the processes and functions of each agency are appropriately integrated.</w:t>
            </w:r>
          </w:p>
          <w:p w14:paraId="35E27027" w14:textId="12348FCD" w:rsidR="00D05456" w:rsidRPr="007E47D3" w:rsidRDefault="00D05456" w:rsidP="00811179">
            <w:pPr>
              <w:spacing w:before="60" w:after="60"/>
            </w:pPr>
            <w:r>
              <w:t>While liaison officers were not deployed to Western Australia during Exercise Ningaloo Challenge due to exercise constraints, the use of liaison officers forms part of the department’s existing Offshore Petroleum Incident Coordination Fr</w:t>
            </w:r>
            <w:r w:rsidRPr="007E47D3">
              <w:t>amework</w:t>
            </w:r>
            <w:r>
              <w:t xml:space="preserve">. To support this framework, specific guidance will be developed to outline the role and responsibilities of liaison officers. </w:t>
            </w:r>
          </w:p>
        </w:tc>
      </w:tr>
      <w:tr w:rsidR="00D05456" w:rsidRPr="007E47D3" w14:paraId="26C8BB3A" w14:textId="77777777" w:rsidTr="00682E84">
        <w:tc>
          <w:tcPr>
            <w:tcW w:w="6375" w:type="dxa"/>
          </w:tcPr>
          <w:p w14:paraId="0CFB3850" w14:textId="2D39FA36" w:rsidR="00D05456" w:rsidRDefault="00D05456" w:rsidP="000F1886">
            <w:pPr>
              <w:spacing w:before="60" w:after="60"/>
            </w:pPr>
            <w:r w:rsidRPr="007E47D3">
              <w:t xml:space="preserve">2. Implement regular training and exercise program to instruct </w:t>
            </w:r>
            <w:r>
              <w:t>the department’s</w:t>
            </w:r>
            <w:r w:rsidRPr="007E47D3">
              <w:t xml:space="preserve"> CMT personnel on </w:t>
            </w:r>
            <w:r>
              <w:t>c</w:t>
            </w:r>
            <w:r w:rsidRPr="007E47D3">
              <w:t xml:space="preserve">risis </w:t>
            </w:r>
            <w:r>
              <w:t>m</w:t>
            </w:r>
            <w:r w:rsidRPr="007E47D3">
              <w:t xml:space="preserve">anagement fundamentals. </w:t>
            </w:r>
          </w:p>
          <w:p w14:paraId="1AE3A21D" w14:textId="77777777" w:rsidR="00D05456" w:rsidRDefault="00D05456" w:rsidP="000F1886">
            <w:pPr>
              <w:spacing w:before="60" w:after="60"/>
            </w:pPr>
            <w:r w:rsidRPr="007E47D3">
              <w:lastRenderedPageBreak/>
              <w:t>Include smaller, regular exercises to validate critical components of the CMS. Integrate training and exercises with Petroleum Titleholders a</w:t>
            </w:r>
            <w:r>
              <w:t>nd other Commonwealth Agencies.</w:t>
            </w:r>
          </w:p>
          <w:p w14:paraId="3E9EC7DD" w14:textId="29CEFB4B" w:rsidR="00D05456" w:rsidRPr="007E47D3" w:rsidRDefault="00D05456" w:rsidP="000F1886">
            <w:pPr>
              <w:spacing w:before="60" w:after="60"/>
            </w:pPr>
            <w:r w:rsidRPr="007E47D3">
              <w:t xml:space="preserve">Align training and competencies for </w:t>
            </w:r>
            <w:r>
              <w:t>the department’s</w:t>
            </w:r>
            <w:r w:rsidRPr="007E47D3">
              <w:t xml:space="preserve"> CMT and OPICC personnel to Australian Government Crisis Management practices.</w:t>
            </w:r>
          </w:p>
        </w:tc>
        <w:tc>
          <w:tcPr>
            <w:tcW w:w="7229" w:type="dxa"/>
          </w:tcPr>
          <w:p w14:paraId="1659B997" w14:textId="65AB586F" w:rsidR="00D05456" w:rsidRDefault="00D05456" w:rsidP="003E7874">
            <w:pPr>
              <w:spacing w:before="60" w:after="60"/>
            </w:pPr>
            <w:r w:rsidRPr="007E47D3">
              <w:lastRenderedPageBreak/>
              <w:t xml:space="preserve">Agreed. The </w:t>
            </w:r>
            <w:r>
              <w:t>Offshore Petroleum Incident Coordination Fr</w:t>
            </w:r>
            <w:r w:rsidRPr="007E47D3">
              <w:t xml:space="preserve">amework currently outlines a learning and development program to </w:t>
            </w:r>
            <w:r>
              <w:t xml:space="preserve">assist in building and maintaining the crisis management </w:t>
            </w:r>
            <w:r w:rsidRPr="007E47D3">
              <w:t>capability of OPICC</w:t>
            </w:r>
            <w:r>
              <w:t xml:space="preserve"> member agencies </w:t>
            </w:r>
            <w:r w:rsidRPr="007E47D3">
              <w:t xml:space="preserve">and </w:t>
            </w:r>
            <w:r>
              <w:t>the department’s</w:t>
            </w:r>
            <w:r w:rsidRPr="007E47D3">
              <w:t xml:space="preserve"> CMT. T</w:t>
            </w:r>
            <w:r>
              <w:t xml:space="preserve">he department will reconsider these arrangements to ensure that </w:t>
            </w:r>
            <w:r w:rsidRPr="007E47D3">
              <w:t xml:space="preserve">appropriate training </w:t>
            </w:r>
            <w:r>
              <w:t xml:space="preserve">is </w:t>
            </w:r>
            <w:r>
              <w:lastRenderedPageBreak/>
              <w:t xml:space="preserve">conducted, and where possible in alignment with Australian Government crisis management practices, </w:t>
            </w:r>
            <w:r w:rsidRPr="007E47D3">
              <w:t xml:space="preserve">and the procedures </w:t>
            </w:r>
            <w:r>
              <w:t xml:space="preserve">to be implemented </w:t>
            </w:r>
            <w:r w:rsidRPr="007E47D3">
              <w:t xml:space="preserve">during an offshore incident are </w:t>
            </w:r>
            <w:r>
              <w:t>understood by all relevant staff</w:t>
            </w:r>
            <w:r w:rsidRPr="007E47D3">
              <w:t>.</w:t>
            </w:r>
          </w:p>
          <w:p w14:paraId="6C662C92" w14:textId="5D5557FE" w:rsidR="00D05456" w:rsidRPr="007E47D3" w:rsidRDefault="00D05456" w:rsidP="00AE77A7">
            <w:pPr>
              <w:spacing w:before="60" w:after="60"/>
            </w:pPr>
            <w:r>
              <w:t xml:space="preserve">The department supports the approach of conducting smaller, more regular exercises to increase the retention of information, improve competency and reduce costs. </w:t>
            </w:r>
          </w:p>
        </w:tc>
      </w:tr>
      <w:tr w:rsidR="00D05456" w:rsidRPr="007E47D3" w14:paraId="5BFC2BA5" w14:textId="77777777" w:rsidTr="00682E84">
        <w:tc>
          <w:tcPr>
            <w:tcW w:w="6375" w:type="dxa"/>
          </w:tcPr>
          <w:p w14:paraId="7DC35FFB" w14:textId="7812E459" w:rsidR="00D05456" w:rsidRPr="007E47D3" w:rsidRDefault="00D05456" w:rsidP="000F1886">
            <w:pPr>
              <w:spacing w:before="60" w:after="60"/>
            </w:pPr>
            <w:r w:rsidRPr="007E47D3">
              <w:lastRenderedPageBreak/>
              <w:t xml:space="preserve">3. Develop and implement Crisis Management Handbook for </w:t>
            </w:r>
            <w:r>
              <w:t>the department’s</w:t>
            </w:r>
            <w:r w:rsidRPr="007E47D3">
              <w:t xml:space="preserve"> CMT outlining roles, responsibilities of key positions and processes to track and manage requests for support.</w:t>
            </w:r>
          </w:p>
        </w:tc>
        <w:tc>
          <w:tcPr>
            <w:tcW w:w="7229" w:type="dxa"/>
          </w:tcPr>
          <w:p w14:paraId="4B461E10" w14:textId="16B8B108" w:rsidR="00D05456" w:rsidRPr="007E47D3" w:rsidRDefault="00D05456" w:rsidP="00797EB3">
            <w:pPr>
              <w:spacing w:before="60" w:after="60"/>
            </w:pPr>
            <w:r w:rsidRPr="007E47D3">
              <w:t xml:space="preserve">Agreed. </w:t>
            </w:r>
            <w:r>
              <w:t xml:space="preserve">Following </w:t>
            </w:r>
            <w:r w:rsidRPr="005B35E4">
              <w:t xml:space="preserve">the </w:t>
            </w:r>
            <w:r w:rsidRPr="00FC3018">
              <w:t xml:space="preserve">review and </w:t>
            </w:r>
            <w:r>
              <w:t>revision</w:t>
            </w:r>
            <w:r w:rsidRPr="00FC3018">
              <w:t xml:space="preserve"> of the department</w:t>
            </w:r>
            <w:r w:rsidRPr="00323FD7">
              <w:t xml:space="preserve">’s offshore incident response plans, </w:t>
            </w:r>
            <w:r w:rsidRPr="001C78AE">
              <w:t>the</w:t>
            </w:r>
            <w:r>
              <w:t>se</w:t>
            </w:r>
            <w:r w:rsidRPr="001C78AE">
              <w:t xml:space="preserve"> plans and procedures </w:t>
            </w:r>
            <w:r>
              <w:t xml:space="preserve">will be compiled </w:t>
            </w:r>
            <w:r w:rsidRPr="001C78AE">
              <w:t xml:space="preserve">into a Crisis Management Handbook. This </w:t>
            </w:r>
            <w:r>
              <w:t>h</w:t>
            </w:r>
            <w:r w:rsidRPr="001C78AE">
              <w:t xml:space="preserve">andbook </w:t>
            </w:r>
            <w:r w:rsidRPr="00323FD7">
              <w:t xml:space="preserve">will assist the operation of the </w:t>
            </w:r>
            <w:r w:rsidRPr="001C78AE">
              <w:t xml:space="preserve">department’s </w:t>
            </w:r>
            <w:r w:rsidRPr="005B35E4">
              <w:t xml:space="preserve">CMT during an incident by outlining key </w:t>
            </w:r>
            <w:r w:rsidRPr="007E47D3">
              <w:t>roles</w:t>
            </w:r>
            <w:r>
              <w:t>, key</w:t>
            </w:r>
            <w:r w:rsidRPr="007E47D3">
              <w:t xml:space="preserve"> </w:t>
            </w:r>
            <w:r w:rsidRPr="005B35E4">
              <w:t>responsibil</w:t>
            </w:r>
            <w:r w:rsidRPr="007E47D3">
              <w:t>ities, and processes that should be undertaken.</w:t>
            </w:r>
          </w:p>
        </w:tc>
      </w:tr>
      <w:tr w:rsidR="00D05456" w:rsidRPr="00655932" w14:paraId="07347F40" w14:textId="77777777" w:rsidTr="00E351E7">
        <w:tc>
          <w:tcPr>
            <w:tcW w:w="13604" w:type="dxa"/>
            <w:gridSpan w:val="2"/>
            <w:shd w:val="clear" w:color="auto" w:fill="000000" w:themeFill="text1"/>
            <w:vAlign w:val="center"/>
          </w:tcPr>
          <w:p w14:paraId="74233EFE" w14:textId="183CF866" w:rsidR="00D05456" w:rsidRPr="00655932" w:rsidRDefault="00D05456" w:rsidP="00E351E7">
            <w:pPr>
              <w:spacing w:before="20" w:after="20"/>
              <w:rPr>
                <w:b/>
              </w:rPr>
            </w:pPr>
            <w:r w:rsidRPr="00655932">
              <w:rPr>
                <w:b/>
              </w:rPr>
              <w:t>Priority 2 – implementation within 13-24 months</w:t>
            </w:r>
          </w:p>
        </w:tc>
      </w:tr>
      <w:tr w:rsidR="00D05456" w:rsidRPr="00655932" w14:paraId="3E2EC704" w14:textId="77777777" w:rsidTr="00E351E7">
        <w:tc>
          <w:tcPr>
            <w:tcW w:w="6375" w:type="dxa"/>
            <w:shd w:val="clear" w:color="auto" w:fill="D9D9D9" w:themeFill="background1" w:themeFillShade="D9"/>
            <w:vAlign w:val="center"/>
          </w:tcPr>
          <w:p w14:paraId="04028029" w14:textId="36096B83" w:rsidR="00D05456" w:rsidRPr="00655932" w:rsidRDefault="00D05456" w:rsidP="00E351E7">
            <w:pPr>
              <w:spacing w:before="20" w:after="20"/>
              <w:rPr>
                <w:b/>
              </w:rPr>
            </w:pPr>
            <w:r w:rsidRPr="00655932">
              <w:rPr>
                <w:b/>
              </w:rPr>
              <w:t>Recommendation</w:t>
            </w:r>
          </w:p>
        </w:tc>
        <w:tc>
          <w:tcPr>
            <w:tcW w:w="7229" w:type="dxa"/>
            <w:shd w:val="clear" w:color="auto" w:fill="D9D9D9" w:themeFill="background1" w:themeFillShade="D9"/>
            <w:vAlign w:val="center"/>
          </w:tcPr>
          <w:p w14:paraId="6EFB6A6D" w14:textId="77777777" w:rsidR="00D05456" w:rsidRPr="00655932" w:rsidRDefault="00D05456" w:rsidP="00E351E7">
            <w:pPr>
              <w:spacing w:before="20" w:after="20"/>
              <w:rPr>
                <w:b/>
              </w:rPr>
            </w:pPr>
            <w:r w:rsidRPr="00655932">
              <w:rPr>
                <w:b/>
              </w:rPr>
              <w:t>Department of Industry, Innovation and Science response</w:t>
            </w:r>
          </w:p>
        </w:tc>
      </w:tr>
      <w:tr w:rsidR="00D05456" w:rsidRPr="007E47D3" w14:paraId="2B26D714" w14:textId="77777777" w:rsidTr="00682E84">
        <w:tc>
          <w:tcPr>
            <w:tcW w:w="6375" w:type="dxa"/>
          </w:tcPr>
          <w:p w14:paraId="2395C231" w14:textId="6C7C40C8" w:rsidR="00D05456" w:rsidRPr="007E47D3" w:rsidRDefault="00D05456" w:rsidP="000F1886">
            <w:pPr>
              <w:spacing w:before="60" w:after="60"/>
            </w:pPr>
            <w:r w:rsidRPr="007E47D3">
              <w:t xml:space="preserve">4. Clearly define and document organisational roles and responsibilities of </w:t>
            </w:r>
            <w:r>
              <w:t>the department’s</w:t>
            </w:r>
            <w:r w:rsidRPr="007E47D3">
              <w:t xml:space="preserve"> CMT, OPICC and relation to Australian Government Crisis Management Framework arrangements.</w:t>
            </w:r>
          </w:p>
        </w:tc>
        <w:tc>
          <w:tcPr>
            <w:tcW w:w="7229" w:type="dxa"/>
          </w:tcPr>
          <w:p w14:paraId="43478E31" w14:textId="6AD6A2DB" w:rsidR="00D05456" w:rsidRPr="007E47D3" w:rsidRDefault="00D05456" w:rsidP="00CB3B01">
            <w:pPr>
              <w:spacing w:before="60" w:after="60"/>
            </w:pPr>
            <w:r w:rsidRPr="007E47D3">
              <w:t xml:space="preserve">Agreed. </w:t>
            </w:r>
            <w:r>
              <w:t xml:space="preserve">The department will work with the Department of the Prime Minister and Cabinet and the Australian Government Crisis Coordination Centre to clearly define the role and responsibilities of the department and the OPICC in relation to whole-of-government crisis arrangements. The outcomes of this collaboration will be clearly reflected in an update of the Offshore Petroleum Incident Coordination Framework, and supporting plans within the CMT’s Crisis Management System. The department will consult </w:t>
            </w:r>
            <w:r w:rsidRPr="00A022D5">
              <w:t xml:space="preserve">with relevant external agencies </w:t>
            </w:r>
            <w:r>
              <w:t xml:space="preserve">and stakeholders on the draft </w:t>
            </w:r>
            <w:r w:rsidRPr="00A022D5">
              <w:t xml:space="preserve">amendments to the </w:t>
            </w:r>
            <w:r>
              <w:t>f</w:t>
            </w:r>
            <w:r w:rsidRPr="00A022D5">
              <w:t>ramework.</w:t>
            </w:r>
          </w:p>
        </w:tc>
      </w:tr>
      <w:tr w:rsidR="00D05456" w:rsidRPr="007E47D3" w14:paraId="5D7BCB92" w14:textId="77777777" w:rsidTr="00682E84">
        <w:tc>
          <w:tcPr>
            <w:tcW w:w="6375" w:type="dxa"/>
          </w:tcPr>
          <w:p w14:paraId="6D4D5335" w14:textId="77777777" w:rsidR="00D05456" w:rsidRDefault="00D05456" w:rsidP="000F1886">
            <w:pPr>
              <w:spacing w:before="60" w:after="60"/>
            </w:pPr>
            <w:r w:rsidRPr="007E47D3">
              <w:t xml:space="preserve">5. Develop and implement Situation Appreciation / Business Impact Assessment to ensure understanding of size and complexity of incident for </w:t>
            </w:r>
            <w:r>
              <w:t>the department’s CMT and OPICC.</w:t>
            </w:r>
          </w:p>
          <w:p w14:paraId="0C15D59D" w14:textId="332532AA" w:rsidR="00D05456" w:rsidRPr="007E47D3" w:rsidRDefault="00D05456" w:rsidP="000F1886">
            <w:pPr>
              <w:spacing w:before="60" w:after="60"/>
            </w:pPr>
            <w:r w:rsidRPr="007E47D3">
              <w:lastRenderedPageBreak/>
              <w:t xml:space="preserve">Train </w:t>
            </w:r>
            <w:r>
              <w:t>the department’s</w:t>
            </w:r>
            <w:r w:rsidRPr="007E47D3">
              <w:t xml:space="preserve"> CMT and OPICC personnel in use of Strategic Incident Potential Assessment / Business Impact Assessment.</w:t>
            </w:r>
          </w:p>
        </w:tc>
        <w:tc>
          <w:tcPr>
            <w:tcW w:w="7229" w:type="dxa"/>
          </w:tcPr>
          <w:p w14:paraId="680EDE71" w14:textId="148C033A" w:rsidR="00D05456" w:rsidRDefault="00D05456" w:rsidP="000F1886">
            <w:pPr>
              <w:spacing w:before="60" w:after="60"/>
            </w:pPr>
            <w:r w:rsidRPr="001C78AE">
              <w:lastRenderedPageBreak/>
              <w:t>Agreed</w:t>
            </w:r>
            <w:r w:rsidRPr="005B35E4">
              <w:t xml:space="preserve">. </w:t>
            </w:r>
            <w:r>
              <w:t>The department recognises the value in a clearly articulated situation appreciation process, to understand the scope and severity of the incident</w:t>
            </w:r>
            <w:r w:rsidR="00080631">
              <w:t xml:space="preserve"> to inform strategic decision making.</w:t>
            </w:r>
          </w:p>
          <w:p w14:paraId="3CB0961E" w14:textId="3DA53398" w:rsidR="00D05456" w:rsidRPr="007E47D3" w:rsidRDefault="00B747B4" w:rsidP="00B747B4">
            <w:pPr>
              <w:spacing w:before="60" w:after="60"/>
            </w:pPr>
            <w:r>
              <w:lastRenderedPageBreak/>
              <w:t>The department views this as a priority, and it wil</w:t>
            </w:r>
            <w:r w:rsidR="00D05456" w:rsidRPr="005B35E4">
              <w:t>l be incorporated</w:t>
            </w:r>
            <w:r w:rsidR="00D05456" w:rsidRPr="00FC3018">
              <w:t xml:space="preserve"> </w:t>
            </w:r>
            <w:r w:rsidR="00D05456" w:rsidRPr="000D5CC1">
              <w:t xml:space="preserve">in the further development </w:t>
            </w:r>
            <w:r w:rsidR="00D05456" w:rsidRPr="001C78AE">
              <w:t xml:space="preserve">and improvement </w:t>
            </w:r>
            <w:r w:rsidR="00D05456" w:rsidRPr="005B35E4">
              <w:t xml:space="preserve">of the </w:t>
            </w:r>
            <w:r w:rsidR="00D05456" w:rsidRPr="00FC3018">
              <w:t xml:space="preserve">current </w:t>
            </w:r>
            <w:r w:rsidR="00D05456">
              <w:t>C</w:t>
            </w:r>
            <w:r w:rsidR="00D05456" w:rsidRPr="000D5CC1">
              <w:t xml:space="preserve">risis </w:t>
            </w:r>
            <w:r w:rsidR="00D05456">
              <w:t>M</w:t>
            </w:r>
            <w:r w:rsidR="00D05456" w:rsidRPr="000D5CC1">
              <w:t xml:space="preserve">anagement </w:t>
            </w:r>
            <w:r w:rsidR="00D05456">
              <w:t>S</w:t>
            </w:r>
            <w:r w:rsidR="00D05456" w:rsidRPr="000D5CC1">
              <w:t>ystem</w:t>
            </w:r>
            <w:r>
              <w:t>.</w:t>
            </w:r>
          </w:p>
        </w:tc>
      </w:tr>
      <w:tr w:rsidR="00D05456" w:rsidRPr="007E47D3" w14:paraId="57B86714" w14:textId="77777777" w:rsidTr="00682E84">
        <w:tc>
          <w:tcPr>
            <w:tcW w:w="6375" w:type="dxa"/>
          </w:tcPr>
          <w:p w14:paraId="5B62EE42" w14:textId="10DA57F8" w:rsidR="00D05456" w:rsidRDefault="00D05456" w:rsidP="000F1886">
            <w:pPr>
              <w:spacing w:before="60" w:after="60"/>
            </w:pPr>
            <w:r w:rsidRPr="007E47D3">
              <w:lastRenderedPageBreak/>
              <w:t xml:space="preserve">6. Develop and implement a strategic communications process that identifies key </w:t>
            </w:r>
            <w:r>
              <w:t>s</w:t>
            </w:r>
            <w:r w:rsidRPr="007E47D3">
              <w:t xml:space="preserve">takeholders, frequency and mechanism of communication within Commonwealth Government and external interested parties. </w:t>
            </w:r>
          </w:p>
          <w:p w14:paraId="713D9599" w14:textId="7D5B35C3" w:rsidR="00D05456" w:rsidRPr="007E47D3" w:rsidRDefault="00D05456" w:rsidP="000F1886">
            <w:pPr>
              <w:spacing w:before="60" w:after="60"/>
            </w:pPr>
            <w:r w:rsidRPr="007E47D3">
              <w:t xml:space="preserve">Review integration of </w:t>
            </w:r>
            <w:r>
              <w:t>the department’s</w:t>
            </w:r>
            <w:r w:rsidRPr="007E47D3">
              <w:t xml:space="preserve"> communications into Australian Government communications arrangements.</w:t>
            </w:r>
          </w:p>
        </w:tc>
        <w:tc>
          <w:tcPr>
            <w:tcW w:w="7229" w:type="dxa"/>
          </w:tcPr>
          <w:p w14:paraId="62A10E8F" w14:textId="77B1FF09" w:rsidR="00D05456" w:rsidRPr="007E47D3" w:rsidRDefault="00D05456" w:rsidP="0028757A">
            <w:pPr>
              <w:spacing w:before="60" w:after="60"/>
            </w:pPr>
            <w:r>
              <w:t>Agreed. The department will consult with relevant Commonwealth agencies, in particular t</w:t>
            </w:r>
            <w:r w:rsidRPr="007E47D3">
              <w:t>he Department of the Prime Minister and Cabinet</w:t>
            </w:r>
            <w:r>
              <w:t xml:space="preserve">, </w:t>
            </w:r>
            <w:r w:rsidRPr="007E47D3">
              <w:t xml:space="preserve">the </w:t>
            </w:r>
            <w:r>
              <w:t xml:space="preserve">Australian Government </w:t>
            </w:r>
            <w:r w:rsidRPr="007E47D3">
              <w:t>Crisis Coordination Centre</w:t>
            </w:r>
            <w:r>
              <w:t xml:space="preserve"> and NOPSEMA, to develop a clear and integrated communications process for use within the Commonwealth Government. The department will also review, and revise where necessary, its communication process with external parties, such as the Titleholder and state/territory governments.</w:t>
            </w:r>
          </w:p>
        </w:tc>
      </w:tr>
      <w:tr w:rsidR="00D05456" w:rsidRPr="00655932" w14:paraId="28A59CEB" w14:textId="77777777" w:rsidTr="00E351E7">
        <w:tc>
          <w:tcPr>
            <w:tcW w:w="13604" w:type="dxa"/>
            <w:gridSpan w:val="2"/>
            <w:shd w:val="clear" w:color="auto" w:fill="000000" w:themeFill="text1"/>
            <w:vAlign w:val="center"/>
          </w:tcPr>
          <w:p w14:paraId="58575004" w14:textId="50570A10" w:rsidR="00D05456" w:rsidRPr="00655932" w:rsidRDefault="00D05456" w:rsidP="00E351E7">
            <w:pPr>
              <w:spacing w:before="20" w:after="20"/>
              <w:rPr>
                <w:b/>
              </w:rPr>
            </w:pPr>
            <w:r w:rsidRPr="00655932">
              <w:rPr>
                <w:b/>
              </w:rPr>
              <w:t>Priority 3 – as resources are available to implement</w:t>
            </w:r>
          </w:p>
        </w:tc>
      </w:tr>
      <w:tr w:rsidR="00D05456" w:rsidRPr="00655932" w14:paraId="12BF897D" w14:textId="77777777" w:rsidTr="00E351E7">
        <w:tc>
          <w:tcPr>
            <w:tcW w:w="6375" w:type="dxa"/>
            <w:shd w:val="clear" w:color="auto" w:fill="D9D9D9" w:themeFill="background1" w:themeFillShade="D9"/>
            <w:vAlign w:val="center"/>
          </w:tcPr>
          <w:p w14:paraId="7481B9B0" w14:textId="6D22AB4A" w:rsidR="00D05456" w:rsidRPr="00655932" w:rsidRDefault="00D05456" w:rsidP="00E351E7">
            <w:pPr>
              <w:spacing w:before="20" w:after="20"/>
              <w:rPr>
                <w:b/>
              </w:rPr>
            </w:pPr>
            <w:r w:rsidRPr="00655932">
              <w:rPr>
                <w:b/>
              </w:rPr>
              <w:t>Recommendation</w:t>
            </w:r>
          </w:p>
        </w:tc>
        <w:tc>
          <w:tcPr>
            <w:tcW w:w="7229" w:type="dxa"/>
            <w:shd w:val="clear" w:color="auto" w:fill="D9D9D9" w:themeFill="background1" w:themeFillShade="D9"/>
            <w:vAlign w:val="center"/>
          </w:tcPr>
          <w:p w14:paraId="2FBD785E" w14:textId="77777777" w:rsidR="00D05456" w:rsidRPr="00655932" w:rsidRDefault="00D05456" w:rsidP="00E351E7">
            <w:pPr>
              <w:spacing w:before="20" w:after="20"/>
              <w:rPr>
                <w:b/>
              </w:rPr>
            </w:pPr>
            <w:r w:rsidRPr="00655932">
              <w:rPr>
                <w:b/>
              </w:rPr>
              <w:t>Department of Industry, Innovation and Science response</w:t>
            </w:r>
          </w:p>
        </w:tc>
      </w:tr>
      <w:tr w:rsidR="00D05456" w:rsidRPr="007E47D3" w14:paraId="09A5CF9A" w14:textId="77777777" w:rsidTr="00682E84">
        <w:tc>
          <w:tcPr>
            <w:tcW w:w="6375" w:type="dxa"/>
          </w:tcPr>
          <w:p w14:paraId="590A43FF" w14:textId="04313FF7" w:rsidR="00D05456" w:rsidRPr="007E47D3" w:rsidRDefault="00D05456" w:rsidP="000F1886">
            <w:pPr>
              <w:spacing w:before="60" w:after="60"/>
            </w:pPr>
            <w:r w:rsidRPr="007E47D3">
              <w:t xml:space="preserve">7. Identify suitable room and facilities for </w:t>
            </w:r>
            <w:r>
              <w:t>the department’s</w:t>
            </w:r>
            <w:r w:rsidRPr="007E47D3">
              <w:t xml:space="preserve"> CMT including room layout, communications requirements, situation display and key personnel locations.</w:t>
            </w:r>
          </w:p>
        </w:tc>
        <w:tc>
          <w:tcPr>
            <w:tcW w:w="7229" w:type="dxa"/>
          </w:tcPr>
          <w:p w14:paraId="414633DE" w14:textId="27149145" w:rsidR="00D05456" w:rsidRDefault="00D05456" w:rsidP="00F45DA8">
            <w:pPr>
              <w:spacing w:before="60" w:after="60"/>
            </w:pPr>
            <w:r w:rsidRPr="007E47D3">
              <w:t xml:space="preserve">Agreed. </w:t>
            </w:r>
            <w:r>
              <w:t>Following the development of new arrangements and procedures identified through implementing recommendations 1, 3, 4, 5 and 6, the department will consider the facilities required to support these arrangements.</w:t>
            </w:r>
          </w:p>
          <w:p w14:paraId="79DF6154" w14:textId="31CCC656" w:rsidR="00D05456" w:rsidRPr="007E47D3" w:rsidRDefault="00D05456" w:rsidP="00F45DA8">
            <w:pPr>
              <w:spacing w:before="60" w:after="60"/>
            </w:pPr>
            <w:r>
              <w:t>The facilities required will be documented in the department’s Crisis Management System.</w:t>
            </w:r>
          </w:p>
        </w:tc>
      </w:tr>
      <w:tr w:rsidR="00D05456" w:rsidRPr="007E47D3" w14:paraId="7F14E30A" w14:textId="77777777" w:rsidTr="00682E84">
        <w:tc>
          <w:tcPr>
            <w:tcW w:w="6375" w:type="dxa"/>
          </w:tcPr>
          <w:p w14:paraId="3919F2A1" w14:textId="15635F49" w:rsidR="00D05456" w:rsidRPr="007E47D3" w:rsidRDefault="00D05456" w:rsidP="000F1886">
            <w:pPr>
              <w:spacing w:before="60" w:after="60"/>
            </w:pPr>
            <w:r w:rsidRPr="007E47D3">
              <w:t xml:space="preserve">8. </w:t>
            </w:r>
            <w:r>
              <w:t>The department</w:t>
            </w:r>
            <w:r w:rsidRPr="007E47D3">
              <w:t xml:space="preserve"> to identify, understand and leverage capabilities from other Commonwealth Agencies (AMSA, Australian Border Force Maritime Border Command) and opportunities to leverage subject matter expertise to support response operations and maintain situational awareness.</w:t>
            </w:r>
          </w:p>
        </w:tc>
        <w:tc>
          <w:tcPr>
            <w:tcW w:w="7229" w:type="dxa"/>
          </w:tcPr>
          <w:p w14:paraId="337DE05B" w14:textId="51C17A17" w:rsidR="00D05456" w:rsidRPr="007E47D3" w:rsidRDefault="00D05456">
            <w:pPr>
              <w:spacing w:before="60" w:after="60"/>
            </w:pPr>
            <w:r w:rsidRPr="007E47D3">
              <w:t xml:space="preserve">Agreed. </w:t>
            </w:r>
            <w:r>
              <w:t xml:space="preserve">The update of the Offshore Petroleum Incident Coordination Framework will include clear descriptions of the capabilities of </w:t>
            </w:r>
            <w:r w:rsidRPr="00277795">
              <w:t>relevant Commonwealth agencies</w:t>
            </w:r>
            <w:r>
              <w:t xml:space="preserve"> that are available during an offshore petroleum incident, to ensure the expertise and resources of agencies are appropriately recognised and utilised. Additional specific information about Commonwealth capabilities will be incorporated into the department’s internal planning documents. </w:t>
            </w:r>
          </w:p>
        </w:tc>
      </w:tr>
    </w:tbl>
    <w:p w14:paraId="5F56EA9F" w14:textId="77777777" w:rsidR="00655932" w:rsidRPr="007E47D3" w:rsidRDefault="00655932" w:rsidP="00655932">
      <w:pPr>
        <w:rPr>
          <w:rFonts w:ascii="Arial" w:hAnsi="Arial" w:cs="Arial"/>
        </w:rPr>
        <w:sectPr w:rsidR="00655932" w:rsidRPr="007E47D3" w:rsidSect="004C7CA6">
          <w:pgSz w:w="16838" w:h="11906" w:orient="landscape"/>
          <w:pgMar w:top="1440" w:right="1440" w:bottom="1440" w:left="1440" w:header="708" w:footer="708" w:gutter="0"/>
          <w:cols w:space="708"/>
          <w:docGrid w:linePitch="360"/>
        </w:sectPr>
      </w:pPr>
    </w:p>
    <w:p w14:paraId="09F79619" w14:textId="61E75283" w:rsidR="00714DC0" w:rsidRPr="007E47D3" w:rsidRDefault="00714DC0" w:rsidP="001C78AE">
      <w:pPr>
        <w:pStyle w:val="Heading2"/>
      </w:pPr>
      <w:bookmarkStart w:id="37" w:name="_Toc505678981"/>
      <w:bookmarkStart w:id="38" w:name="_Toc517179049"/>
      <w:r w:rsidRPr="007E47D3">
        <w:lastRenderedPageBreak/>
        <w:t>Departm</w:t>
      </w:r>
      <w:r w:rsidR="00375431">
        <w:t>ent’s</w:t>
      </w:r>
      <w:r w:rsidRPr="007E47D3">
        <w:t xml:space="preserve"> analysis of performance</w:t>
      </w:r>
      <w:bookmarkEnd w:id="37"/>
      <w:bookmarkEnd w:id="38"/>
    </w:p>
    <w:p w14:paraId="159DAFF1" w14:textId="047CED55" w:rsidR="000D03CF" w:rsidRDefault="00966E25">
      <w:r>
        <w:t>T</w:t>
      </w:r>
      <w:r w:rsidR="00714DC0" w:rsidRPr="00AD738A">
        <w:t xml:space="preserve">he department </w:t>
      </w:r>
      <w:r>
        <w:t xml:space="preserve">agrees with all recommendations </w:t>
      </w:r>
      <w:r w:rsidR="00CD0BE0">
        <w:t>made by</w:t>
      </w:r>
      <w:r>
        <w:t xml:space="preserve"> REM Associates and </w:t>
      </w:r>
      <w:r w:rsidR="00721CE8">
        <w:t>is committed to</w:t>
      </w:r>
      <w:r>
        <w:t xml:space="preserve"> improv</w:t>
      </w:r>
      <w:r w:rsidR="00721CE8">
        <w:t>ing</w:t>
      </w:r>
      <w:r w:rsidR="00714DC0" w:rsidRPr="00AD738A">
        <w:t xml:space="preserve"> </w:t>
      </w:r>
      <w:r>
        <w:t>current</w:t>
      </w:r>
      <w:r w:rsidR="00A768BA" w:rsidRPr="00AD738A">
        <w:t xml:space="preserve"> proced</w:t>
      </w:r>
      <w:r w:rsidR="00A768BA">
        <w:t xml:space="preserve">ures and processes </w:t>
      </w:r>
      <w:r>
        <w:t xml:space="preserve">outlined in the Offshore Petroleum Incident Coordination Framework and the department’s Crisis Management System. </w:t>
      </w:r>
      <w:r w:rsidR="000D03CF">
        <w:t xml:space="preserve"> </w:t>
      </w:r>
    </w:p>
    <w:p w14:paraId="7A45ED08" w14:textId="60CAB1BF" w:rsidR="00714DC0" w:rsidRPr="007E47D3" w:rsidRDefault="000D03CF">
      <w:r w:rsidRPr="00054B45">
        <w:t xml:space="preserve">The need </w:t>
      </w:r>
      <w:r>
        <w:t>for</w:t>
      </w:r>
      <w:r w:rsidRPr="00054B45">
        <w:t xml:space="preserve"> open</w:t>
      </w:r>
      <w:r>
        <w:t xml:space="preserve"> and effective</w:t>
      </w:r>
      <w:r w:rsidRPr="00054B45">
        <w:t xml:space="preserve"> communication and coordination between </w:t>
      </w:r>
      <w:r>
        <w:t xml:space="preserve">stakeholders in the event of an offshore petroleum incident </w:t>
      </w:r>
      <w:r w:rsidR="00C470E3">
        <w:t xml:space="preserve">should not </w:t>
      </w:r>
      <w:r>
        <w:t>be underestimated, and as such the department will work to</w:t>
      </w:r>
      <w:r w:rsidR="00714DC0" w:rsidRPr="007E47D3">
        <w:t>:</w:t>
      </w:r>
    </w:p>
    <w:p w14:paraId="67A355B3" w14:textId="6FA5C974" w:rsidR="00714DC0" w:rsidRPr="00957A56" w:rsidRDefault="00714DC0" w:rsidP="001C78AE">
      <w:pPr>
        <w:pStyle w:val="ListParagraph"/>
        <w:numPr>
          <w:ilvl w:val="0"/>
          <w:numId w:val="13"/>
        </w:numPr>
        <w:rPr>
          <w:u w:val="single"/>
        </w:rPr>
      </w:pPr>
      <w:r w:rsidRPr="007E47D3">
        <w:t>Improv</w:t>
      </w:r>
      <w:r w:rsidR="000D03CF">
        <w:t>e</w:t>
      </w:r>
      <w:r w:rsidRPr="007E47D3">
        <w:t xml:space="preserve"> the clarity of the role and function of </w:t>
      </w:r>
      <w:r w:rsidR="00FC3018">
        <w:t xml:space="preserve">the </w:t>
      </w:r>
      <w:r w:rsidRPr="007E47D3">
        <w:t xml:space="preserve">OPICC in relation to the </w:t>
      </w:r>
      <w:r w:rsidR="008F1F40">
        <w:t>Australian Government Crisis Management Framework</w:t>
      </w:r>
      <w:r w:rsidR="008F1F40" w:rsidRPr="007E47D3">
        <w:t xml:space="preserve"> </w:t>
      </w:r>
      <w:r w:rsidRPr="007E47D3">
        <w:t>to prevent duplication of roles and responsibilities</w:t>
      </w:r>
      <w:r w:rsidR="0028757A">
        <w:t>.</w:t>
      </w:r>
    </w:p>
    <w:p w14:paraId="001B8F5F" w14:textId="05F5377C" w:rsidR="00714DC0" w:rsidRPr="008E55AF" w:rsidRDefault="00714DC0" w:rsidP="001C78AE">
      <w:pPr>
        <w:pStyle w:val="ListParagraph"/>
        <w:numPr>
          <w:ilvl w:val="0"/>
          <w:numId w:val="13"/>
        </w:numPr>
      </w:pPr>
      <w:r w:rsidRPr="007E47D3">
        <w:t>Clearly identify the capabilities and expertise offered by OPICC member agencies to ensure all available resources are fully utilised</w:t>
      </w:r>
      <w:r w:rsidR="0028757A">
        <w:t>.</w:t>
      </w:r>
    </w:p>
    <w:p w14:paraId="3C57CCBC" w14:textId="2B5E3B22" w:rsidR="00714DC0" w:rsidRPr="00957A56" w:rsidRDefault="00714DC0" w:rsidP="001C78AE">
      <w:pPr>
        <w:pStyle w:val="ListParagraph"/>
        <w:numPr>
          <w:ilvl w:val="0"/>
          <w:numId w:val="13"/>
        </w:numPr>
        <w:rPr>
          <w:u w:val="single"/>
        </w:rPr>
      </w:pPr>
      <w:r w:rsidRPr="007E47D3">
        <w:t>Review processes for escalation and de-escalation to ensure an appropriate, scalable response to an offshore incident</w:t>
      </w:r>
      <w:r w:rsidR="0028757A">
        <w:t>.</w:t>
      </w:r>
    </w:p>
    <w:p w14:paraId="0F561BFF" w14:textId="590F4BD6" w:rsidR="00714DC0" w:rsidRPr="00957A56" w:rsidRDefault="00714DC0" w:rsidP="001C78AE">
      <w:pPr>
        <w:pStyle w:val="ListParagraph"/>
        <w:numPr>
          <w:ilvl w:val="0"/>
          <w:numId w:val="13"/>
        </w:numPr>
        <w:rPr>
          <w:u w:val="single"/>
        </w:rPr>
      </w:pPr>
      <w:r w:rsidRPr="007E47D3">
        <w:t>Improv</w:t>
      </w:r>
      <w:r w:rsidR="000D03CF">
        <w:t>e</w:t>
      </w:r>
      <w:r w:rsidRPr="007E47D3">
        <w:t xml:space="preserve"> processes that ensure effective flow of information between the various stakeholders during an incident, including the Titleholder, </w:t>
      </w:r>
      <w:r w:rsidR="00FC3018">
        <w:t xml:space="preserve">the </w:t>
      </w:r>
      <w:r w:rsidRPr="007E47D3">
        <w:t>state</w:t>
      </w:r>
      <w:r w:rsidR="00FC3018">
        <w:t>/territory</w:t>
      </w:r>
      <w:r w:rsidRPr="007E47D3">
        <w:t xml:space="preserve"> government, </w:t>
      </w:r>
      <w:r w:rsidR="00FC3018">
        <w:t xml:space="preserve">the </w:t>
      </w:r>
      <w:r w:rsidRPr="007E47D3">
        <w:t>OPICC and other relevant agencies</w:t>
      </w:r>
      <w:r w:rsidR="0028757A">
        <w:t>.</w:t>
      </w:r>
    </w:p>
    <w:p w14:paraId="757CC360" w14:textId="61A66A15" w:rsidR="00714DC0" w:rsidRPr="00957A56" w:rsidRDefault="00714DC0" w:rsidP="001C78AE">
      <w:pPr>
        <w:pStyle w:val="ListParagraph"/>
        <w:numPr>
          <w:ilvl w:val="0"/>
          <w:numId w:val="13"/>
        </w:numPr>
        <w:rPr>
          <w:u w:val="single"/>
        </w:rPr>
      </w:pPr>
      <w:r w:rsidRPr="007E47D3">
        <w:t>Improv</w:t>
      </w:r>
      <w:r w:rsidR="000D03CF">
        <w:t>e</w:t>
      </w:r>
      <w:r w:rsidRPr="007E47D3">
        <w:t xml:space="preserve"> </w:t>
      </w:r>
      <w:r w:rsidR="002D434A">
        <w:t xml:space="preserve">capability and the </w:t>
      </w:r>
      <w:r w:rsidRPr="007E47D3">
        <w:t xml:space="preserve">processes </w:t>
      </w:r>
      <w:r w:rsidR="00CD54A2">
        <w:t>in place</w:t>
      </w:r>
      <w:r w:rsidRPr="007E47D3">
        <w:t xml:space="preserve"> to </w:t>
      </w:r>
      <w:r w:rsidR="002D434A">
        <w:t xml:space="preserve">rapidly </w:t>
      </w:r>
      <w:r w:rsidR="00CD54A2">
        <w:t>establish</w:t>
      </w:r>
      <w:r w:rsidR="00CD54A2" w:rsidRPr="007E47D3">
        <w:t xml:space="preserve"> </w:t>
      </w:r>
      <w:r w:rsidRPr="007E47D3">
        <w:t xml:space="preserve">situational awareness and a </w:t>
      </w:r>
      <w:r w:rsidR="00CA50C0">
        <w:t>c</w:t>
      </w:r>
      <w:r w:rsidRPr="007E47D3">
        <w:t xml:space="preserve">ommon </w:t>
      </w:r>
      <w:r w:rsidR="00CA50C0">
        <w:t>o</w:t>
      </w:r>
      <w:r w:rsidRPr="007E47D3">
        <w:t xml:space="preserve">perating </w:t>
      </w:r>
      <w:r w:rsidR="00CA50C0">
        <w:t>p</w:t>
      </w:r>
      <w:r w:rsidRPr="007E47D3">
        <w:t>icture</w:t>
      </w:r>
      <w:r w:rsidR="0028757A">
        <w:t xml:space="preserve"> to enable strategic decision-</w:t>
      </w:r>
      <w:r w:rsidR="002D434A">
        <w:t>making</w:t>
      </w:r>
      <w:r w:rsidR="0028757A">
        <w:t>.</w:t>
      </w:r>
    </w:p>
    <w:p w14:paraId="4E602D7D" w14:textId="4840A237" w:rsidR="00714DC0" w:rsidRPr="008E55AF" w:rsidRDefault="00714DC0" w:rsidP="001C78AE">
      <w:pPr>
        <w:pStyle w:val="ListParagraph"/>
        <w:numPr>
          <w:ilvl w:val="0"/>
          <w:numId w:val="13"/>
        </w:numPr>
      </w:pPr>
      <w:r w:rsidRPr="007E47D3">
        <w:t xml:space="preserve">Review the current </w:t>
      </w:r>
      <w:r w:rsidR="00CA50C0">
        <w:t>c</w:t>
      </w:r>
      <w:r w:rsidRPr="007E47D3">
        <w:t xml:space="preserve">ommunications </w:t>
      </w:r>
      <w:r w:rsidR="00CA50C0">
        <w:t>s</w:t>
      </w:r>
      <w:r w:rsidRPr="007E47D3">
        <w:t xml:space="preserve">trategy and develop processes to manage whole-of-government communication </w:t>
      </w:r>
      <w:r w:rsidR="00B219C7">
        <w:t>ensuring appropriate media management and coordinated messaging</w:t>
      </w:r>
      <w:r w:rsidR="00B219C7" w:rsidRPr="007E47D3">
        <w:t xml:space="preserve"> </w:t>
      </w:r>
      <w:r w:rsidR="00B219C7">
        <w:t>to</w:t>
      </w:r>
      <w:r w:rsidRPr="007E47D3">
        <w:t xml:space="preserve"> the public and relevant stakeholders</w:t>
      </w:r>
      <w:r w:rsidR="0028757A">
        <w:t>.</w:t>
      </w:r>
    </w:p>
    <w:p w14:paraId="58F5D206" w14:textId="0CDA51BB" w:rsidR="006B1883" w:rsidRDefault="008E55AF" w:rsidP="001C78AE">
      <w:pPr>
        <w:pStyle w:val="ListParagraph"/>
        <w:numPr>
          <w:ilvl w:val="0"/>
          <w:numId w:val="13"/>
        </w:numPr>
      </w:pPr>
      <w:r>
        <w:t xml:space="preserve">Maintain </w:t>
      </w:r>
      <w:r w:rsidR="003630BE">
        <w:t>ongoing engagement with the offshore petroleum industry to ensure a common understanding of expertise, responsibilities,</w:t>
      </w:r>
      <w:r w:rsidR="0048537B">
        <w:t xml:space="preserve"> </w:t>
      </w:r>
      <w:r w:rsidR="003630BE">
        <w:t>coordination arrangements</w:t>
      </w:r>
      <w:r w:rsidR="0048537B">
        <w:t xml:space="preserve"> and media management.</w:t>
      </w:r>
    </w:p>
    <w:p w14:paraId="4A931BB8" w14:textId="4AAE9224" w:rsidR="00E47589" w:rsidRPr="008E55AF" w:rsidRDefault="00E47589" w:rsidP="001C78AE">
      <w:pPr>
        <w:pStyle w:val="ListParagraph"/>
        <w:numPr>
          <w:ilvl w:val="0"/>
          <w:numId w:val="13"/>
        </w:numPr>
      </w:pPr>
      <w:r>
        <w:t xml:space="preserve">Promote the role of the OPICC among all relevant stakeholders to ensure that </w:t>
      </w:r>
      <w:r w:rsidR="002D1EBA">
        <w:t>it</w:t>
      </w:r>
      <w:r w:rsidR="00DA3B9A">
        <w:t>s</w:t>
      </w:r>
      <w:r w:rsidR="002D1EBA">
        <w:t xml:space="preserve"> </w:t>
      </w:r>
      <w:r w:rsidR="00DA3B9A">
        <w:t xml:space="preserve">function </w:t>
      </w:r>
      <w:r w:rsidR="002D1EBA">
        <w:t xml:space="preserve">and </w:t>
      </w:r>
      <w:r w:rsidR="00DA3B9A">
        <w:t>merits are</w:t>
      </w:r>
      <w:r>
        <w:t xml:space="preserve"> well</w:t>
      </w:r>
      <w:r w:rsidR="00DA3B9A">
        <w:t xml:space="preserve"> understood</w:t>
      </w:r>
      <w:r>
        <w:t xml:space="preserve"> and utilised effectively during future exercises or in the event of a real incident. </w:t>
      </w:r>
    </w:p>
    <w:p w14:paraId="5ABDF8BD" w14:textId="3B11951B" w:rsidR="00714DC0" w:rsidRDefault="00E65105" w:rsidP="00714DC0">
      <w:pPr>
        <w:rPr>
          <w:rFonts w:cs="Segoe UI"/>
        </w:rPr>
      </w:pPr>
      <w:r w:rsidRPr="001C78AE">
        <w:rPr>
          <w:rFonts w:cs="Segoe UI"/>
        </w:rPr>
        <w:t xml:space="preserve">The department also recognises the need for ongoing crisis management training to ensure </w:t>
      </w:r>
      <w:r w:rsidR="00CD54A2">
        <w:rPr>
          <w:rFonts w:cs="Segoe UI"/>
        </w:rPr>
        <w:t>that</w:t>
      </w:r>
      <w:r w:rsidRPr="001C78AE">
        <w:rPr>
          <w:rFonts w:cs="Segoe UI"/>
        </w:rPr>
        <w:t xml:space="preserve"> those involved in a departmental response to an offshore incident</w:t>
      </w:r>
      <w:r w:rsidR="00CD54A2">
        <w:rPr>
          <w:rFonts w:cs="Segoe UI"/>
        </w:rPr>
        <w:t xml:space="preserve"> understand their role and how that relates to the desired outcome</w:t>
      </w:r>
      <w:r w:rsidR="00757758">
        <w:rPr>
          <w:rFonts w:cs="Segoe UI"/>
        </w:rPr>
        <w:t>s</w:t>
      </w:r>
      <w:r w:rsidR="00921525">
        <w:rPr>
          <w:rFonts w:cs="Segoe UI"/>
        </w:rPr>
        <w:t>, and can adequately undertake their role</w:t>
      </w:r>
      <w:r w:rsidRPr="001C78AE">
        <w:rPr>
          <w:rFonts w:cs="Segoe UI"/>
        </w:rPr>
        <w:t>.</w:t>
      </w:r>
      <w:r w:rsidR="000D03CF">
        <w:rPr>
          <w:rFonts w:cs="Segoe UI"/>
        </w:rPr>
        <w:t xml:space="preserve"> </w:t>
      </w:r>
      <w:r w:rsidR="0028757A">
        <w:rPr>
          <w:rFonts w:cs="Segoe UI"/>
        </w:rPr>
        <w:t>E</w:t>
      </w:r>
      <w:r w:rsidR="000D03CF">
        <w:rPr>
          <w:rFonts w:cs="Segoe UI"/>
        </w:rPr>
        <w:t xml:space="preserve">xisting capabilities and opportunities within the Australian Government will be </w:t>
      </w:r>
      <w:r w:rsidR="0028757A">
        <w:rPr>
          <w:rFonts w:cs="Segoe UI"/>
        </w:rPr>
        <w:t>leveraged where possible</w:t>
      </w:r>
      <w:r w:rsidR="000D03CF">
        <w:rPr>
          <w:rFonts w:cs="Segoe UI"/>
        </w:rPr>
        <w:t xml:space="preserve"> to streamline training effort.</w:t>
      </w:r>
    </w:p>
    <w:p w14:paraId="74F0A16F" w14:textId="2A193317" w:rsidR="002F261E" w:rsidRPr="009A283F" w:rsidRDefault="002F261E" w:rsidP="009A283F">
      <w:pPr>
        <w:spacing w:before="60" w:after="60"/>
      </w:pPr>
      <w:r w:rsidRPr="002F261E">
        <w:rPr>
          <w:rFonts w:cs="Segoe UI"/>
        </w:rPr>
        <w:t xml:space="preserve">The department </w:t>
      </w:r>
      <w:r w:rsidR="0028757A">
        <w:rPr>
          <w:rFonts w:cs="Segoe UI"/>
        </w:rPr>
        <w:t>recognises</w:t>
      </w:r>
      <w:r w:rsidR="00721CE8">
        <w:rPr>
          <w:rFonts w:cs="Segoe UI"/>
        </w:rPr>
        <w:t xml:space="preserve"> the importance</w:t>
      </w:r>
      <w:r w:rsidRPr="002F261E">
        <w:rPr>
          <w:rFonts w:cs="Segoe UI"/>
        </w:rPr>
        <w:t xml:space="preserve"> </w:t>
      </w:r>
      <w:r w:rsidR="00721CE8">
        <w:rPr>
          <w:rFonts w:cs="Segoe UI"/>
        </w:rPr>
        <w:t xml:space="preserve">of strengthened </w:t>
      </w:r>
      <w:r w:rsidRPr="002F261E">
        <w:rPr>
          <w:rFonts w:cs="Segoe UI"/>
        </w:rPr>
        <w:t>e</w:t>
      </w:r>
      <w:r w:rsidRPr="002F261E">
        <w:t>ngage</w:t>
      </w:r>
      <w:r w:rsidR="00721CE8">
        <w:t>ment</w:t>
      </w:r>
      <w:r w:rsidRPr="002F261E">
        <w:t xml:space="preserve"> with relevant government agencies and the offshore petroleum industry to increase </w:t>
      </w:r>
      <w:r w:rsidR="00721CE8">
        <w:t xml:space="preserve">their </w:t>
      </w:r>
      <w:r w:rsidRPr="002F261E">
        <w:t>awareness</w:t>
      </w:r>
      <w:r w:rsidR="00721CE8">
        <w:t xml:space="preserve"> and understanding</w:t>
      </w:r>
      <w:r w:rsidRPr="002F261E">
        <w:t xml:space="preserve"> of the Offshore Petroleum Incident Coordination Framework</w:t>
      </w:r>
      <w:r>
        <w:t xml:space="preserve"> and the role of the Commonwealth during an offshore petroleum incident.</w:t>
      </w:r>
      <w:r w:rsidR="00721CE8">
        <w:t xml:space="preserve"> </w:t>
      </w:r>
      <w:r w:rsidR="00472194">
        <w:t>T</w:t>
      </w:r>
      <w:r w:rsidR="003D0482">
        <w:t>he rarity of this</w:t>
      </w:r>
      <w:r w:rsidR="00472194">
        <w:t xml:space="preserve"> type of inci</w:t>
      </w:r>
      <w:r w:rsidR="003D0482">
        <w:t>dent</w:t>
      </w:r>
      <w:r w:rsidR="00472194">
        <w:t xml:space="preserve"> pose</w:t>
      </w:r>
      <w:r w:rsidR="00B26358">
        <w:t>s</w:t>
      </w:r>
      <w:r w:rsidR="00472194">
        <w:t xml:space="preserve"> dif</w:t>
      </w:r>
      <w:r w:rsidR="00B26358">
        <w:t>ficulties for the department in ensuring</w:t>
      </w:r>
      <w:r w:rsidR="00472194">
        <w:t xml:space="preserve"> </w:t>
      </w:r>
      <w:r w:rsidR="00B26358">
        <w:t xml:space="preserve">continued stakeholder </w:t>
      </w:r>
      <w:r w:rsidR="00472194">
        <w:t>awareness</w:t>
      </w:r>
      <w:r w:rsidR="00B26358">
        <w:t xml:space="preserve"> and familiarity,</w:t>
      </w:r>
      <w:r w:rsidR="00472194">
        <w:t xml:space="preserve"> however the implementation of more regular smaller exercises and ongoing engagement</w:t>
      </w:r>
      <w:r w:rsidR="00B26358">
        <w:t xml:space="preserve"> with stakeholders</w:t>
      </w:r>
      <w:r w:rsidR="00472194">
        <w:t xml:space="preserve"> </w:t>
      </w:r>
      <w:r w:rsidR="00B26358">
        <w:t>will seek to</w:t>
      </w:r>
      <w:r w:rsidR="00472194">
        <w:t xml:space="preserve"> address this.</w:t>
      </w:r>
    </w:p>
    <w:p w14:paraId="235AEBE4" w14:textId="77777777" w:rsidR="00714DC0" w:rsidRDefault="00714DC0" w:rsidP="001C78AE">
      <w:pPr>
        <w:pStyle w:val="Heading2"/>
      </w:pPr>
      <w:bookmarkStart w:id="39" w:name="_Toc505678982"/>
      <w:bookmarkStart w:id="40" w:name="_Toc517179050"/>
      <w:r>
        <w:lastRenderedPageBreak/>
        <w:t>Conclusion</w:t>
      </w:r>
      <w:bookmarkEnd w:id="39"/>
      <w:bookmarkEnd w:id="40"/>
    </w:p>
    <w:p w14:paraId="5CA7A95A" w14:textId="61405CA8" w:rsidR="00054B45" w:rsidRDefault="00714DC0" w:rsidP="00957A56">
      <w:r>
        <w:t xml:space="preserve">Exercise Ningaloo Challenge provided the opportunity to examine the </w:t>
      </w:r>
      <w:r w:rsidR="00952C89">
        <w:t>execution o</w:t>
      </w:r>
      <w:r>
        <w:t>f the</w:t>
      </w:r>
      <w:r w:rsidR="00863210">
        <w:t xml:space="preserve"> current </w:t>
      </w:r>
      <w:r>
        <w:t xml:space="preserve">Offshore Petroleum Incident </w:t>
      </w:r>
      <w:r w:rsidR="00890D59">
        <w:t xml:space="preserve">Coordination </w:t>
      </w:r>
      <w:r>
        <w:t>Framework</w:t>
      </w:r>
      <w:r w:rsidR="00B42B36">
        <w:t>,</w:t>
      </w:r>
      <w:r>
        <w:t xml:space="preserve"> and the operation of </w:t>
      </w:r>
      <w:r w:rsidR="008F1F40">
        <w:t xml:space="preserve">the </w:t>
      </w:r>
      <w:r>
        <w:t xml:space="preserve">OPICC and the </w:t>
      </w:r>
      <w:r w:rsidR="00856770">
        <w:t xml:space="preserve">department’s </w:t>
      </w:r>
      <w:r>
        <w:t>CMT</w:t>
      </w:r>
      <w:r w:rsidR="00A768BA">
        <w:t xml:space="preserve"> during an offshore incident</w:t>
      </w:r>
      <w:r>
        <w:t xml:space="preserve">. It </w:t>
      </w:r>
      <w:r w:rsidR="00A768BA">
        <w:t xml:space="preserve">successfully </w:t>
      </w:r>
      <w:r w:rsidR="00EE6D52">
        <w:t>assisted</w:t>
      </w:r>
      <w:r>
        <w:t xml:space="preserve"> the department </w:t>
      </w:r>
      <w:r w:rsidR="0028757A">
        <w:t>to</w:t>
      </w:r>
      <w:r w:rsidR="00EE6D52">
        <w:t xml:space="preserve"> </w:t>
      </w:r>
      <w:r w:rsidR="00721CE8">
        <w:t xml:space="preserve">identify specific </w:t>
      </w:r>
      <w:r>
        <w:t xml:space="preserve">areas </w:t>
      </w:r>
      <w:r w:rsidR="0028757A">
        <w:t>for</w:t>
      </w:r>
      <w:r>
        <w:t xml:space="preserve"> improvement in the current arrangements</w:t>
      </w:r>
      <w:r w:rsidR="00775FA1">
        <w:t xml:space="preserve"> and provided direction on how </w:t>
      </w:r>
      <w:r w:rsidR="00863210">
        <w:t xml:space="preserve">more </w:t>
      </w:r>
      <w:r w:rsidR="00775FA1">
        <w:t xml:space="preserve">effective outcomes can be achieved. </w:t>
      </w:r>
      <w:r>
        <w:t xml:space="preserve"> </w:t>
      </w:r>
    </w:p>
    <w:p w14:paraId="61AE7BCC" w14:textId="62433AD1" w:rsidR="00775FA1" w:rsidRDefault="00775FA1" w:rsidP="00957A56">
      <w:r>
        <w:t xml:space="preserve">The department </w:t>
      </w:r>
      <w:r w:rsidR="00863210">
        <w:t>would support future</w:t>
      </w:r>
      <w:r>
        <w:t xml:space="preserve"> simulated exercises to ensure the Commonwealth Government, with industry and state and territory governments, is ready and capable to respond to an offshore petroleum incident. </w:t>
      </w:r>
    </w:p>
    <w:p w14:paraId="34494E78" w14:textId="159B39F8" w:rsidR="00F142CC" w:rsidRDefault="00F142CC" w:rsidP="00F142CC">
      <w:r>
        <w:t xml:space="preserve">The department would like to extend thanks to OPICC </w:t>
      </w:r>
      <w:r w:rsidR="00C470E3">
        <w:t xml:space="preserve">member </w:t>
      </w:r>
      <w:r>
        <w:t>agencies, WA DoT and Quadrant Energy for their participation in Exercise Ningaloo Challenge, and their continued effort</w:t>
      </w:r>
      <w:r w:rsidR="00863210">
        <w:t>s</w:t>
      </w:r>
      <w:r>
        <w:t xml:space="preserve"> and ongoing collaboration with the department. The department would like to acknowledge and thank REM Associates for the development of the sub-exercise and the resulting recommendations, which will be used to assist in the ongoing improvement of the Commonwealth Government’s response to an offshore petroleum incident.</w:t>
      </w:r>
    </w:p>
    <w:p w14:paraId="3DB6F15B" w14:textId="46EC1E8E" w:rsidR="00CB2B65" w:rsidRPr="00714DC0" w:rsidRDefault="00CB2B65" w:rsidP="00714DC0"/>
    <w:sectPr w:rsidR="00CB2B65" w:rsidRPr="00714DC0" w:rsidSect="004C7C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370CF" w14:textId="77777777" w:rsidR="004931FF" w:rsidRDefault="004931FF" w:rsidP="004C7CA6">
      <w:pPr>
        <w:spacing w:after="0" w:line="240" w:lineRule="auto"/>
      </w:pPr>
      <w:r>
        <w:separator/>
      </w:r>
    </w:p>
  </w:endnote>
  <w:endnote w:type="continuationSeparator" w:id="0">
    <w:p w14:paraId="0E16C3CA" w14:textId="77777777" w:rsidR="004931FF" w:rsidRDefault="004931FF" w:rsidP="004C7CA6">
      <w:pPr>
        <w:spacing w:after="0" w:line="240" w:lineRule="auto"/>
      </w:pPr>
      <w:r>
        <w:continuationSeparator/>
      </w:r>
    </w:p>
  </w:endnote>
  <w:endnote w:type="continuationNotice" w:id="1">
    <w:p w14:paraId="38ABD759" w14:textId="77777777" w:rsidR="004931FF" w:rsidRDefault="004931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B6D90" w14:textId="77777777" w:rsidR="004B6664" w:rsidRDefault="004B66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754F9" w14:textId="77777777" w:rsidR="004B6664" w:rsidRDefault="004B66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9F535" w14:textId="77777777" w:rsidR="004B6664" w:rsidRDefault="004B666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EACAD" w14:textId="77777777" w:rsidR="004931FF" w:rsidRPr="004B6664" w:rsidRDefault="004931FF" w:rsidP="004B66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D3C69" w14:textId="77777777" w:rsidR="004931FF" w:rsidRDefault="004931FF" w:rsidP="004C7CA6">
      <w:pPr>
        <w:spacing w:after="0" w:line="240" w:lineRule="auto"/>
      </w:pPr>
      <w:r>
        <w:separator/>
      </w:r>
    </w:p>
  </w:footnote>
  <w:footnote w:type="continuationSeparator" w:id="0">
    <w:p w14:paraId="0331780B" w14:textId="77777777" w:rsidR="004931FF" w:rsidRDefault="004931FF" w:rsidP="004C7CA6">
      <w:pPr>
        <w:spacing w:after="0" w:line="240" w:lineRule="auto"/>
      </w:pPr>
      <w:r>
        <w:continuationSeparator/>
      </w:r>
    </w:p>
  </w:footnote>
  <w:footnote w:type="continuationNotice" w:id="1">
    <w:p w14:paraId="1EF4EC67" w14:textId="77777777" w:rsidR="004931FF" w:rsidRDefault="004931FF">
      <w:pPr>
        <w:spacing w:after="0" w:line="240" w:lineRule="auto"/>
      </w:pPr>
    </w:p>
  </w:footnote>
  <w:footnote w:id="2">
    <w:p w14:paraId="7BACB4E1" w14:textId="1D1BB2D3" w:rsidR="004931FF" w:rsidRDefault="004931FF" w:rsidP="003F3B32">
      <w:pPr>
        <w:pStyle w:val="FootnoteText"/>
      </w:pPr>
      <w:r>
        <w:rPr>
          <w:rStyle w:val="FootnoteReference"/>
        </w:rPr>
        <w:footnoteRef/>
      </w:r>
      <w:r>
        <w:t xml:space="preserve"> The </w:t>
      </w:r>
      <w:r w:rsidRPr="004C7CA6">
        <w:t>Homeland Security Exercise Evaluation Program</w:t>
      </w:r>
      <w:r>
        <w:t xml:space="preserve"> des</w:t>
      </w:r>
      <w:r w:rsidR="00887D7A">
        <w:t xml:space="preserve">cribes a functional exercise as </w:t>
      </w:r>
      <w:r w:rsidR="004F2173">
        <w:t xml:space="preserve">one </w:t>
      </w:r>
      <w:r>
        <w:t xml:space="preserve">designed to examine and/or validate the plans and staff members involved in coordination, command and control functions across multi-agency coordination centres. </w:t>
      </w:r>
    </w:p>
    <w:p w14:paraId="2BA40A56" w14:textId="77777777" w:rsidR="004931FF" w:rsidRDefault="00F7347D" w:rsidP="003F3B32">
      <w:pPr>
        <w:pStyle w:val="FootnoteText"/>
      </w:pPr>
      <w:hyperlink r:id="rId1" w:history="1">
        <w:r w:rsidR="004931FF" w:rsidRPr="00124989">
          <w:rPr>
            <w:rStyle w:val="Hyperlink"/>
          </w:rPr>
          <w:t>https://www.fema.gov/media-library/assets/documents/32326</w:t>
        </w:r>
      </w:hyperlink>
      <w:r w:rsidR="004931FF">
        <w:t xml:space="preserve"> </w:t>
      </w:r>
    </w:p>
  </w:footnote>
  <w:footnote w:id="3">
    <w:p w14:paraId="6FD5B5E3" w14:textId="405F1BE2" w:rsidR="00327F2E" w:rsidRDefault="00327F2E" w:rsidP="00327F2E">
      <w:pPr>
        <w:spacing w:after="0" w:line="240" w:lineRule="auto"/>
      </w:pPr>
      <w:r>
        <w:rPr>
          <w:rStyle w:val="FootnoteReference"/>
        </w:rPr>
        <w:footnoteRef/>
      </w:r>
      <w:r>
        <w:t xml:space="preserve"> </w:t>
      </w:r>
      <w:r w:rsidRPr="00327F2E">
        <w:rPr>
          <w:sz w:val="20"/>
          <w:szCs w:val="20"/>
        </w:rPr>
        <w:t>Level 3 incidents are characterised by a degree of complexity that requires strong strategic leadership and coordination, and may be supported by national and international resources and capability.</w:t>
      </w:r>
      <w:r>
        <w:t xml:space="preserve"> </w:t>
      </w:r>
      <w:hyperlink r:id="rId2" w:history="1">
        <w:r w:rsidRPr="00327F2E">
          <w:rPr>
            <w:rStyle w:val="Hyperlink"/>
            <w:sz w:val="20"/>
            <w:szCs w:val="20"/>
          </w:rPr>
          <w:t>https://www.amsa.gov.au/marine-environment/national-plan-maritime-environmental-emergencies/national-plan-maritime</w:t>
        </w:r>
      </w:hyperlink>
      <w:r w:rsidRPr="00327F2E">
        <w:rPr>
          <w:rStyle w:val="Hyperlink"/>
          <w:sz w:val="20"/>
          <w:szCs w:val="20"/>
        </w:rPr>
        <w:t>.</w:t>
      </w:r>
      <w:r>
        <w:t xml:space="preserve"> </w:t>
      </w:r>
    </w:p>
    <w:p w14:paraId="2D9D1E34" w14:textId="2FFC6237" w:rsidR="00327F2E" w:rsidRDefault="00327F2E">
      <w:pPr>
        <w:pStyle w:val="FootnoteText"/>
      </w:pPr>
    </w:p>
  </w:footnote>
  <w:footnote w:id="4">
    <w:p w14:paraId="3C260FA8" w14:textId="77777777" w:rsidR="00F142CC" w:rsidRDefault="00F142CC" w:rsidP="00F142CC">
      <w:pPr>
        <w:pStyle w:val="FootnoteText"/>
      </w:pPr>
      <w:r>
        <w:rPr>
          <w:rStyle w:val="FootnoteReference"/>
        </w:rPr>
        <w:footnoteRef/>
      </w:r>
      <w:r>
        <w:t xml:space="preserve"> Commonwealth waters extend seaward of 3 nautical miles from the territorial sea baseline (also referred to as the low tide mark) to 200 nautical miles (the limit of Australia’s Exclusive Economic Zone).</w:t>
      </w:r>
    </w:p>
  </w:footnote>
  <w:footnote w:id="5">
    <w:p w14:paraId="3C9FC738" w14:textId="365947AF" w:rsidR="000E2F1C" w:rsidRDefault="000E2F1C">
      <w:pPr>
        <w:pStyle w:val="FootnoteText"/>
      </w:pPr>
      <w:r>
        <w:rPr>
          <w:rStyle w:val="FootnoteReference"/>
        </w:rPr>
        <w:footnoteRef/>
      </w:r>
      <w:r>
        <w:t xml:space="preserve"> National P</w:t>
      </w:r>
      <w:r w:rsidRPr="000E2F1C">
        <w:t>l</w:t>
      </w:r>
      <w:r>
        <w:t>an Maritime Environmental E</w:t>
      </w:r>
      <w:r w:rsidRPr="000E2F1C">
        <w:t>mergencies</w:t>
      </w:r>
      <w:r>
        <w:t xml:space="preserve">, URL: </w:t>
      </w:r>
      <w:hyperlink r:id="rId3" w:history="1">
        <w:r w:rsidRPr="006F3229">
          <w:rPr>
            <w:rStyle w:val="Hyperlink"/>
          </w:rPr>
          <w:t>https://www.amsa.gov.au/marine-environment/national-plan-maritime-environmental-emergencies</w:t>
        </w:r>
      </w:hyperlink>
      <w:r>
        <w:t xml:space="preserve"> </w:t>
      </w:r>
    </w:p>
  </w:footnote>
  <w:footnote w:id="6">
    <w:p w14:paraId="1B336258" w14:textId="77777777" w:rsidR="00F142CC" w:rsidRDefault="00F142CC" w:rsidP="00F142CC">
      <w:pPr>
        <w:pStyle w:val="FootnoteText"/>
      </w:pPr>
      <w:r>
        <w:rPr>
          <w:rStyle w:val="FootnoteReference"/>
        </w:rPr>
        <w:footnoteRef/>
      </w:r>
      <w:r>
        <w:t xml:space="preserve"> Exercise </w:t>
      </w:r>
      <w:proofErr w:type="spellStart"/>
      <w:r>
        <w:t>Westwind</w:t>
      </w:r>
      <w:proofErr w:type="spellEnd"/>
      <w:r>
        <w:t xml:space="preserve"> 2015 Evaluation Report, URL: </w:t>
      </w:r>
      <w:hyperlink r:id="rId4" w:history="1">
        <w:r w:rsidRPr="00CF5A93">
          <w:rPr>
            <w:rStyle w:val="Hyperlink"/>
          </w:rPr>
          <w:t>https://www.amsa.gov.au/marine-environment/national-plan-maritime-environmental-emergencies/exercise-westwind-2015</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58C51" w14:textId="77777777" w:rsidR="004B6664" w:rsidRDefault="004B66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46636" w14:textId="27962B92" w:rsidR="004931FF" w:rsidRDefault="004931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F872A" w14:textId="77777777" w:rsidR="004B6664" w:rsidRDefault="004B66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229A"/>
    <w:multiLevelType w:val="hybridMultilevel"/>
    <w:tmpl w:val="61E2A8E0"/>
    <w:lvl w:ilvl="0" w:tplc="8D86BD4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3054A8"/>
    <w:multiLevelType w:val="hybridMultilevel"/>
    <w:tmpl w:val="FC145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72DE0"/>
    <w:multiLevelType w:val="hybridMultilevel"/>
    <w:tmpl w:val="61E2A8E0"/>
    <w:lvl w:ilvl="0" w:tplc="8D86BD4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C51D17"/>
    <w:multiLevelType w:val="hybridMultilevel"/>
    <w:tmpl w:val="534CF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A5479D"/>
    <w:multiLevelType w:val="hybridMultilevel"/>
    <w:tmpl w:val="077A4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B6258C"/>
    <w:multiLevelType w:val="hybridMultilevel"/>
    <w:tmpl w:val="740C68B0"/>
    <w:lvl w:ilvl="0" w:tplc="8D86BD4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3807C6"/>
    <w:multiLevelType w:val="hybridMultilevel"/>
    <w:tmpl w:val="F37A37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F93D67"/>
    <w:multiLevelType w:val="hybridMultilevel"/>
    <w:tmpl w:val="A65809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E88627E"/>
    <w:multiLevelType w:val="hybridMultilevel"/>
    <w:tmpl w:val="A3128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7A7181"/>
    <w:multiLevelType w:val="hybridMultilevel"/>
    <w:tmpl w:val="23860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DB5952"/>
    <w:multiLevelType w:val="hybridMultilevel"/>
    <w:tmpl w:val="BAC84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A068B4"/>
    <w:multiLevelType w:val="hybridMultilevel"/>
    <w:tmpl w:val="6340E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5D7DD4"/>
    <w:multiLevelType w:val="hybridMultilevel"/>
    <w:tmpl w:val="E2660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BD180D"/>
    <w:multiLevelType w:val="hybridMultilevel"/>
    <w:tmpl w:val="DB70E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3E6D43"/>
    <w:multiLevelType w:val="hybridMultilevel"/>
    <w:tmpl w:val="740C68B0"/>
    <w:lvl w:ilvl="0" w:tplc="8D86BD4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D3E7531"/>
    <w:multiLevelType w:val="hybridMultilevel"/>
    <w:tmpl w:val="B770E58A"/>
    <w:lvl w:ilvl="0" w:tplc="FC4C8F0E">
      <w:start w:val="1"/>
      <w:numFmt w:val="decimal"/>
      <w:lvlText w:val="%1."/>
      <w:lvlJc w:val="left"/>
      <w:pPr>
        <w:ind w:left="720" w:hanging="360"/>
      </w:pPr>
      <w:rPr>
        <w:rFonts w:ascii="ArialMT" w:hAnsi="ArialMT" w:cs="ArialMT" w:hint="default"/>
        <w:b/>
        <w:color w:val="1A1A1A"/>
        <w:sz w:val="24"/>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D8E1094"/>
    <w:multiLevelType w:val="hybridMultilevel"/>
    <w:tmpl w:val="87649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8"/>
  </w:num>
  <w:num w:numId="4">
    <w:abstractNumId w:val="15"/>
  </w:num>
  <w:num w:numId="5">
    <w:abstractNumId w:val="14"/>
  </w:num>
  <w:num w:numId="6">
    <w:abstractNumId w:val="0"/>
  </w:num>
  <w:num w:numId="7">
    <w:abstractNumId w:val="2"/>
  </w:num>
  <w:num w:numId="8">
    <w:abstractNumId w:val="4"/>
  </w:num>
  <w:num w:numId="9">
    <w:abstractNumId w:val="5"/>
  </w:num>
  <w:num w:numId="10">
    <w:abstractNumId w:val="12"/>
  </w:num>
  <w:num w:numId="11">
    <w:abstractNumId w:val="10"/>
  </w:num>
  <w:num w:numId="12">
    <w:abstractNumId w:val="3"/>
  </w:num>
  <w:num w:numId="13">
    <w:abstractNumId w:val="13"/>
  </w:num>
  <w:num w:numId="14">
    <w:abstractNumId w:val="6"/>
  </w:num>
  <w:num w:numId="15">
    <w:abstractNumId w:val="9"/>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BFE"/>
    <w:rsid w:val="00003253"/>
    <w:rsid w:val="00003978"/>
    <w:rsid w:val="00010481"/>
    <w:rsid w:val="00016074"/>
    <w:rsid w:val="00016C79"/>
    <w:rsid w:val="0002217E"/>
    <w:rsid w:val="000223B2"/>
    <w:rsid w:val="00025F12"/>
    <w:rsid w:val="00054218"/>
    <w:rsid w:val="00054B45"/>
    <w:rsid w:val="0006103B"/>
    <w:rsid w:val="0006170F"/>
    <w:rsid w:val="000623E4"/>
    <w:rsid w:val="00065A4A"/>
    <w:rsid w:val="00066154"/>
    <w:rsid w:val="00070C40"/>
    <w:rsid w:val="00076EAD"/>
    <w:rsid w:val="0008013E"/>
    <w:rsid w:val="00080631"/>
    <w:rsid w:val="00082C2A"/>
    <w:rsid w:val="00084461"/>
    <w:rsid w:val="00090E9A"/>
    <w:rsid w:val="0009514F"/>
    <w:rsid w:val="00095FB6"/>
    <w:rsid w:val="00096035"/>
    <w:rsid w:val="000979D6"/>
    <w:rsid w:val="000A0087"/>
    <w:rsid w:val="000A3952"/>
    <w:rsid w:val="000A3D47"/>
    <w:rsid w:val="000A4824"/>
    <w:rsid w:val="000B2B25"/>
    <w:rsid w:val="000B7820"/>
    <w:rsid w:val="000C0DAD"/>
    <w:rsid w:val="000C6D14"/>
    <w:rsid w:val="000C7EF8"/>
    <w:rsid w:val="000D03CF"/>
    <w:rsid w:val="000D5CC1"/>
    <w:rsid w:val="000D6A3A"/>
    <w:rsid w:val="000E1EB6"/>
    <w:rsid w:val="000E2F1C"/>
    <w:rsid w:val="000E4043"/>
    <w:rsid w:val="000E58FF"/>
    <w:rsid w:val="000E6619"/>
    <w:rsid w:val="000E721A"/>
    <w:rsid w:val="000F0E5B"/>
    <w:rsid w:val="000F1886"/>
    <w:rsid w:val="000F73E4"/>
    <w:rsid w:val="00101426"/>
    <w:rsid w:val="0010208A"/>
    <w:rsid w:val="00102AAE"/>
    <w:rsid w:val="00107182"/>
    <w:rsid w:val="00110D6F"/>
    <w:rsid w:val="00112301"/>
    <w:rsid w:val="001124A4"/>
    <w:rsid w:val="00121CC5"/>
    <w:rsid w:val="00125E45"/>
    <w:rsid w:val="00126186"/>
    <w:rsid w:val="001272F4"/>
    <w:rsid w:val="0014271D"/>
    <w:rsid w:val="00143586"/>
    <w:rsid w:val="00145FE7"/>
    <w:rsid w:val="00146E1B"/>
    <w:rsid w:val="001474E5"/>
    <w:rsid w:val="00147938"/>
    <w:rsid w:val="00154EF2"/>
    <w:rsid w:val="00160DB8"/>
    <w:rsid w:val="0016136D"/>
    <w:rsid w:val="00162F83"/>
    <w:rsid w:val="00163551"/>
    <w:rsid w:val="00164ADC"/>
    <w:rsid w:val="00174E3A"/>
    <w:rsid w:val="00175D7F"/>
    <w:rsid w:val="00177768"/>
    <w:rsid w:val="001909C6"/>
    <w:rsid w:val="00192F06"/>
    <w:rsid w:val="00193E79"/>
    <w:rsid w:val="00195E11"/>
    <w:rsid w:val="001A097C"/>
    <w:rsid w:val="001B130B"/>
    <w:rsid w:val="001B19D4"/>
    <w:rsid w:val="001B19F6"/>
    <w:rsid w:val="001C44D3"/>
    <w:rsid w:val="001C4540"/>
    <w:rsid w:val="001C78AE"/>
    <w:rsid w:val="001D149B"/>
    <w:rsid w:val="001D5C85"/>
    <w:rsid w:val="001D6433"/>
    <w:rsid w:val="001D67A5"/>
    <w:rsid w:val="001D6ABD"/>
    <w:rsid w:val="001D6BDB"/>
    <w:rsid w:val="001E7926"/>
    <w:rsid w:val="001F008A"/>
    <w:rsid w:val="001F1AFD"/>
    <w:rsid w:val="001F1D7C"/>
    <w:rsid w:val="001F5334"/>
    <w:rsid w:val="001F7F3B"/>
    <w:rsid w:val="002000DA"/>
    <w:rsid w:val="00205AA1"/>
    <w:rsid w:val="00207455"/>
    <w:rsid w:val="002107A7"/>
    <w:rsid w:val="0022621F"/>
    <w:rsid w:val="00236C26"/>
    <w:rsid w:val="002376B4"/>
    <w:rsid w:val="00244AF1"/>
    <w:rsid w:val="00247E98"/>
    <w:rsid w:val="00247F06"/>
    <w:rsid w:val="00252D07"/>
    <w:rsid w:val="00256AD1"/>
    <w:rsid w:val="0026108A"/>
    <w:rsid w:val="002643C0"/>
    <w:rsid w:val="0027154B"/>
    <w:rsid w:val="0027699F"/>
    <w:rsid w:val="00277795"/>
    <w:rsid w:val="00281FF3"/>
    <w:rsid w:val="002830FF"/>
    <w:rsid w:val="002832F4"/>
    <w:rsid w:val="0028330D"/>
    <w:rsid w:val="00283F50"/>
    <w:rsid w:val="002841D5"/>
    <w:rsid w:val="00285549"/>
    <w:rsid w:val="0028757A"/>
    <w:rsid w:val="0029404F"/>
    <w:rsid w:val="002A156D"/>
    <w:rsid w:val="002A356C"/>
    <w:rsid w:val="002A5565"/>
    <w:rsid w:val="002A6222"/>
    <w:rsid w:val="002B0B36"/>
    <w:rsid w:val="002B132E"/>
    <w:rsid w:val="002B2C42"/>
    <w:rsid w:val="002B510F"/>
    <w:rsid w:val="002B5951"/>
    <w:rsid w:val="002B667B"/>
    <w:rsid w:val="002C013B"/>
    <w:rsid w:val="002C11A4"/>
    <w:rsid w:val="002C2CD1"/>
    <w:rsid w:val="002D0381"/>
    <w:rsid w:val="002D1B96"/>
    <w:rsid w:val="002D1EBA"/>
    <w:rsid w:val="002D22BE"/>
    <w:rsid w:val="002D2CE9"/>
    <w:rsid w:val="002D3F28"/>
    <w:rsid w:val="002D434A"/>
    <w:rsid w:val="002D65A6"/>
    <w:rsid w:val="002E09B9"/>
    <w:rsid w:val="002F1DC9"/>
    <w:rsid w:val="002F261E"/>
    <w:rsid w:val="002F7A01"/>
    <w:rsid w:val="00310E02"/>
    <w:rsid w:val="00312FFF"/>
    <w:rsid w:val="0032052B"/>
    <w:rsid w:val="003216B9"/>
    <w:rsid w:val="00323FD7"/>
    <w:rsid w:val="00324903"/>
    <w:rsid w:val="003278BD"/>
    <w:rsid w:val="00327BC0"/>
    <w:rsid w:val="00327F2E"/>
    <w:rsid w:val="00330756"/>
    <w:rsid w:val="00333581"/>
    <w:rsid w:val="0033542B"/>
    <w:rsid w:val="00337FF5"/>
    <w:rsid w:val="00342881"/>
    <w:rsid w:val="00352BF1"/>
    <w:rsid w:val="003541FC"/>
    <w:rsid w:val="0035651F"/>
    <w:rsid w:val="00357110"/>
    <w:rsid w:val="003630BE"/>
    <w:rsid w:val="0036396C"/>
    <w:rsid w:val="00365A74"/>
    <w:rsid w:val="00367CF2"/>
    <w:rsid w:val="00370349"/>
    <w:rsid w:val="003736FF"/>
    <w:rsid w:val="00375431"/>
    <w:rsid w:val="003765A8"/>
    <w:rsid w:val="003801FA"/>
    <w:rsid w:val="003817F6"/>
    <w:rsid w:val="00381A9C"/>
    <w:rsid w:val="00383AFF"/>
    <w:rsid w:val="0039205B"/>
    <w:rsid w:val="00392143"/>
    <w:rsid w:val="00394CDB"/>
    <w:rsid w:val="00395C86"/>
    <w:rsid w:val="00396FEF"/>
    <w:rsid w:val="0039710C"/>
    <w:rsid w:val="00397BF9"/>
    <w:rsid w:val="003A11BE"/>
    <w:rsid w:val="003A7CD3"/>
    <w:rsid w:val="003B3921"/>
    <w:rsid w:val="003B540C"/>
    <w:rsid w:val="003C0BE0"/>
    <w:rsid w:val="003C40B9"/>
    <w:rsid w:val="003C7BC1"/>
    <w:rsid w:val="003C7FD2"/>
    <w:rsid w:val="003D0482"/>
    <w:rsid w:val="003D1E07"/>
    <w:rsid w:val="003D39AC"/>
    <w:rsid w:val="003D60BA"/>
    <w:rsid w:val="003D7A6B"/>
    <w:rsid w:val="003D7AEF"/>
    <w:rsid w:val="003E4526"/>
    <w:rsid w:val="003E7874"/>
    <w:rsid w:val="003E7C4B"/>
    <w:rsid w:val="003F1B44"/>
    <w:rsid w:val="003F37F4"/>
    <w:rsid w:val="003F3B32"/>
    <w:rsid w:val="003F69AE"/>
    <w:rsid w:val="003F6BEB"/>
    <w:rsid w:val="003F797F"/>
    <w:rsid w:val="0040061C"/>
    <w:rsid w:val="00410DB8"/>
    <w:rsid w:val="004131F7"/>
    <w:rsid w:val="0041418E"/>
    <w:rsid w:val="004142BC"/>
    <w:rsid w:val="004166A7"/>
    <w:rsid w:val="00417014"/>
    <w:rsid w:val="00433075"/>
    <w:rsid w:val="00433FCE"/>
    <w:rsid w:val="00434A1A"/>
    <w:rsid w:val="00440BE9"/>
    <w:rsid w:val="00450629"/>
    <w:rsid w:val="00453B9E"/>
    <w:rsid w:val="00460692"/>
    <w:rsid w:val="0046588E"/>
    <w:rsid w:val="00465D52"/>
    <w:rsid w:val="00472194"/>
    <w:rsid w:val="00476DA2"/>
    <w:rsid w:val="00476E10"/>
    <w:rsid w:val="00477379"/>
    <w:rsid w:val="00477474"/>
    <w:rsid w:val="00481C1A"/>
    <w:rsid w:val="00483037"/>
    <w:rsid w:val="0048537B"/>
    <w:rsid w:val="004920E6"/>
    <w:rsid w:val="004931FF"/>
    <w:rsid w:val="004A01E4"/>
    <w:rsid w:val="004A3D26"/>
    <w:rsid w:val="004A4E61"/>
    <w:rsid w:val="004A5986"/>
    <w:rsid w:val="004B03E6"/>
    <w:rsid w:val="004B1346"/>
    <w:rsid w:val="004B1C76"/>
    <w:rsid w:val="004B6664"/>
    <w:rsid w:val="004C0FCC"/>
    <w:rsid w:val="004C1450"/>
    <w:rsid w:val="004C165E"/>
    <w:rsid w:val="004C5D89"/>
    <w:rsid w:val="004C6167"/>
    <w:rsid w:val="004C7CA6"/>
    <w:rsid w:val="004D0BD8"/>
    <w:rsid w:val="004D1499"/>
    <w:rsid w:val="004D5B5E"/>
    <w:rsid w:val="004E15DF"/>
    <w:rsid w:val="004E1D47"/>
    <w:rsid w:val="004E2068"/>
    <w:rsid w:val="004E2FBD"/>
    <w:rsid w:val="004F20B2"/>
    <w:rsid w:val="004F2173"/>
    <w:rsid w:val="004F3FAC"/>
    <w:rsid w:val="004F495D"/>
    <w:rsid w:val="004F676E"/>
    <w:rsid w:val="0050068D"/>
    <w:rsid w:val="00503FC4"/>
    <w:rsid w:val="00504E0D"/>
    <w:rsid w:val="00506722"/>
    <w:rsid w:val="0050756A"/>
    <w:rsid w:val="00517702"/>
    <w:rsid w:val="005250E6"/>
    <w:rsid w:val="005253D3"/>
    <w:rsid w:val="005313DD"/>
    <w:rsid w:val="00531400"/>
    <w:rsid w:val="00534BE0"/>
    <w:rsid w:val="00535723"/>
    <w:rsid w:val="0055233D"/>
    <w:rsid w:val="00560E20"/>
    <w:rsid w:val="005618BA"/>
    <w:rsid w:val="00561B36"/>
    <w:rsid w:val="005674E6"/>
    <w:rsid w:val="00574B6A"/>
    <w:rsid w:val="00582C9D"/>
    <w:rsid w:val="00586463"/>
    <w:rsid w:val="0059714F"/>
    <w:rsid w:val="005A298B"/>
    <w:rsid w:val="005B35E4"/>
    <w:rsid w:val="005B5339"/>
    <w:rsid w:val="005B55A0"/>
    <w:rsid w:val="005B732A"/>
    <w:rsid w:val="005B745E"/>
    <w:rsid w:val="005C1892"/>
    <w:rsid w:val="005C31B5"/>
    <w:rsid w:val="005C34E0"/>
    <w:rsid w:val="005C59B7"/>
    <w:rsid w:val="005D1B92"/>
    <w:rsid w:val="005D69C1"/>
    <w:rsid w:val="005E2164"/>
    <w:rsid w:val="005F4779"/>
    <w:rsid w:val="00600879"/>
    <w:rsid w:val="00602CE2"/>
    <w:rsid w:val="0060663F"/>
    <w:rsid w:val="00606ED7"/>
    <w:rsid w:val="00611CE9"/>
    <w:rsid w:val="00627F02"/>
    <w:rsid w:val="00630714"/>
    <w:rsid w:val="0063613E"/>
    <w:rsid w:val="00637014"/>
    <w:rsid w:val="0064086B"/>
    <w:rsid w:val="006437F5"/>
    <w:rsid w:val="0064530A"/>
    <w:rsid w:val="0064635D"/>
    <w:rsid w:val="006503DC"/>
    <w:rsid w:val="0065492C"/>
    <w:rsid w:val="00655932"/>
    <w:rsid w:val="00657D65"/>
    <w:rsid w:val="0066098D"/>
    <w:rsid w:val="00660FA4"/>
    <w:rsid w:val="00665619"/>
    <w:rsid w:val="00672045"/>
    <w:rsid w:val="006727E4"/>
    <w:rsid w:val="006728AB"/>
    <w:rsid w:val="00674D51"/>
    <w:rsid w:val="006815D3"/>
    <w:rsid w:val="00682E84"/>
    <w:rsid w:val="00683FBD"/>
    <w:rsid w:val="006846BB"/>
    <w:rsid w:val="00684782"/>
    <w:rsid w:val="0069501C"/>
    <w:rsid w:val="006A1033"/>
    <w:rsid w:val="006A1C32"/>
    <w:rsid w:val="006A23B3"/>
    <w:rsid w:val="006A31A7"/>
    <w:rsid w:val="006A65F1"/>
    <w:rsid w:val="006A704C"/>
    <w:rsid w:val="006B0A75"/>
    <w:rsid w:val="006B1883"/>
    <w:rsid w:val="006B2C6A"/>
    <w:rsid w:val="006B45F8"/>
    <w:rsid w:val="006C704F"/>
    <w:rsid w:val="006D383B"/>
    <w:rsid w:val="006D6AE1"/>
    <w:rsid w:val="006D7C66"/>
    <w:rsid w:val="006E09D5"/>
    <w:rsid w:val="006E4ED1"/>
    <w:rsid w:val="006E5691"/>
    <w:rsid w:val="006E6D03"/>
    <w:rsid w:val="006E7143"/>
    <w:rsid w:val="006F5EF0"/>
    <w:rsid w:val="00711414"/>
    <w:rsid w:val="00714DC0"/>
    <w:rsid w:val="00720351"/>
    <w:rsid w:val="00720B91"/>
    <w:rsid w:val="00721CE8"/>
    <w:rsid w:val="00724244"/>
    <w:rsid w:val="0072657A"/>
    <w:rsid w:val="00731718"/>
    <w:rsid w:val="00731A54"/>
    <w:rsid w:val="007326DE"/>
    <w:rsid w:val="00735454"/>
    <w:rsid w:val="00735F36"/>
    <w:rsid w:val="00742411"/>
    <w:rsid w:val="00742A14"/>
    <w:rsid w:val="00747DCC"/>
    <w:rsid w:val="00750A01"/>
    <w:rsid w:val="00753A96"/>
    <w:rsid w:val="00755A94"/>
    <w:rsid w:val="007566F1"/>
    <w:rsid w:val="00757758"/>
    <w:rsid w:val="00760EBA"/>
    <w:rsid w:val="007627B3"/>
    <w:rsid w:val="00763193"/>
    <w:rsid w:val="00766C8B"/>
    <w:rsid w:val="00775FA1"/>
    <w:rsid w:val="00777558"/>
    <w:rsid w:val="00782C5C"/>
    <w:rsid w:val="00782DC6"/>
    <w:rsid w:val="007854A8"/>
    <w:rsid w:val="007904D9"/>
    <w:rsid w:val="00793008"/>
    <w:rsid w:val="00793F96"/>
    <w:rsid w:val="00797EB3"/>
    <w:rsid w:val="007A130E"/>
    <w:rsid w:val="007A22B5"/>
    <w:rsid w:val="007A383E"/>
    <w:rsid w:val="007B1BF8"/>
    <w:rsid w:val="007B2A66"/>
    <w:rsid w:val="007B58E1"/>
    <w:rsid w:val="007B75A9"/>
    <w:rsid w:val="007C7470"/>
    <w:rsid w:val="007D57C6"/>
    <w:rsid w:val="007D7809"/>
    <w:rsid w:val="007D785E"/>
    <w:rsid w:val="007E2EDC"/>
    <w:rsid w:val="007E7466"/>
    <w:rsid w:val="007F3027"/>
    <w:rsid w:val="007F340F"/>
    <w:rsid w:val="007F38B5"/>
    <w:rsid w:val="007F3EFE"/>
    <w:rsid w:val="007F73B1"/>
    <w:rsid w:val="00800165"/>
    <w:rsid w:val="00803DFD"/>
    <w:rsid w:val="00804FE2"/>
    <w:rsid w:val="00811179"/>
    <w:rsid w:val="008237CB"/>
    <w:rsid w:val="00826D61"/>
    <w:rsid w:val="00830761"/>
    <w:rsid w:val="00833A15"/>
    <w:rsid w:val="00833D49"/>
    <w:rsid w:val="00836FCD"/>
    <w:rsid w:val="00843146"/>
    <w:rsid w:val="00845509"/>
    <w:rsid w:val="00850DF3"/>
    <w:rsid w:val="00853AEE"/>
    <w:rsid w:val="0085669B"/>
    <w:rsid w:val="00856770"/>
    <w:rsid w:val="0086043B"/>
    <w:rsid w:val="00863210"/>
    <w:rsid w:val="00865669"/>
    <w:rsid w:val="00866018"/>
    <w:rsid w:val="00871398"/>
    <w:rsid w:val="00871D3F"/>
    <w:rsid w:val="0087312D"/>
    <w:rsid w:val="00880A9A"/>
    <w:rsid w:val="008844FD"/>
    <w:rsid w:val="00884BD0"/>
    <w:rsid w:val="00886713"/>
    <w:rsid w:val="00887D7A"/>
    <w:rsid w:val="00890D59"/>
    <w:rsid w:val="00893C86"/>
    <w:rsid w:val="00897C42"/>
    <w:rsid w:val="008A3D1C"/>
    <w:rsid w:val="008A62D1"/>
    <w:rsid w:val="008B06E7"/>
    <w:rsid w:val="008B7323"/>
    <w:rsid w:val="008C39E1"/>
    <w:rsid w:val="008C41A4"/>
    <w:rsid w:val="008C557B"/>
    <w:rsid w:val="008C66F0"/>
    <w:rsid w:val="008C7B05"/>
    <w:rsid w:val="008D17CB"/>
    <w:rsid w:val="008D6F2D"/>
    <w:rsid w:val="008E303E"/>
    <w:rsid w:val="008E55AF"/>
    <w:rsid w:val="008E686E"/>
    <w:rsid w:val="008E6EDC"/>
    <w:rsid w:val="008E7665"/>
    <w:rsid w:val="008E7D0F"/>
    <w:rsid w:val="008E7ECB"/>
    <w:rsid w:val="008F1F40"/>
    <w:rsid w:val="008F2B42"/>
    <w:rsid w:val="008F3555"/>
    <w:rsid w:val="008F5AA9"/>
    <w:rsid w:val="00914031"/>
    <w:rsid w:val="00921525"/>
    <w:rsid w:val="00925C1E"/>
    <w:rsid w:val="00930FD6"/>
    <w:rsid w:val="00931780"/>
    <w:rsid w:val="00940F52"/>
    <w:rsid w:val="009424E2"/>
    <w:rsid w:val="00944018"/>
    <w:rsid w:val="00945FC3"/>
    <w:rsid w:val="00950598"/>
    <w:rsid w:val="00952159"/>
    <w:rsid w:val="00952C89"/>
    <w:rsid w:val="00953367"/>
    <w:rsid w:val="00953F1D"/>
    <w:rsid w:val="00954461"/>
    <w:rsid w:val="00955940"/>
    <w:rsid w:val="00957A56"/>
    <w:rsid w:val="00957DB2"/>
    <w:rsid w:val="00960ADC"/>
    <w:rsid w:val="00964069"/>
    <w:rsid w:val="00966E25"/>
    <w:rsid w:val="009670CA"/>
    <w:rsid w:val="00970B43"/>
    <w:rsid w:val="00971148"/>
    <w:rsid w:val="00971668"/>
    <w:rsid w:val="00976C02"/>
    <w:rsid w:val="009805A6"/>
    <w:rsid w:val="009829E9"/>
    <w:rsid w:val="00987DC4"/>
    <w:rsid w:val="00990642"/>
    <w:rsid w:val="009912A3"/>
    <w:rsid w:val="00992C41"/>
    <w:rsid w:val="00993DFD"/>
    <w:rsid w:val="009972BB"/>
    <w:rsid w:val="0099734E"/>
    <w:rsid w:val="009A097D"/>
    <w:rsid w:val="009A283F"/>
    <w:rsid w:val="009A5DAF"/>
    <w:rsid w:val="009A71A8"/>
    <w:rsid w:val="009A71E5"/>
    <w:rsid w:val="009B128E"/>
    <w:rsid w:val="009B74CC"/>
    <w:rsid w:val="009B7BBB"/>
    <w:rsid w:val="009C07A9"/>
    <w:rsid w:val="009C2555"/>
    <w:rsid w:val="009C2B61"/>
    <w:rsid w:val="009C5DA4"/>
    <w:rsid w:val="009D1197"/>
    <w:rsid w:val="009D3CBD"/>
    <w:rsid w:val="009E08DD"/>
    <w:rsid w:val="009E3DBA"/>
    <w:rsid w:val="009F7B6F"/>
    <w:rsid w:val="00A03CEF"/>
    <w:rsid w:val="00A054CC"/>
    <w:rsid w:val="00A054F9"/>
    <w:rsid w:val="00A107F5"/>
    <w:rsid w:val="00A111FC"/>
    <w:rsid w:val="00A137D4"/>
    <w:rsid w:val="00A13E3E"/>
    <w:rsid w:val="00A1664E"/>
    <w:rsid w:val="00A168F6"/>
    <w:rsid w:val="00A24F59"/>
    <w:rsid w:val="00A25A91"/>
    <w:rsid w:val="00A335AB"/>
    <w:rsid w:val="00A37A21"/>
    <w:rsid w:val="00A53996"/>
    <w:rsid w:val="00A54A81"/>
    <w:rsid w:val="00A565A5"/>
    <w:rsid w:val="00A565FC"/>
    <w:rsid w:val="00A63F17"/>
    <w:rsid w:val="00A67AF0"/>
    <w:rsid w:val="00A731F4"/>
    <w:rsid w:val="00A74734"/>
    <w:rsid w:val="00A768BA"/>
    <w:rsid w:val="00A76E59"/>
    <w:rsid w:val="00A80743"/>
    <w:rsid w:val="00A83278"/>
    <w:rsid w:val="00A96255"/>
    <w:rsid w:val="00AA3405"/>
    <w:rsid w:val="00AB2D76"/>
    <w:rsid w:val="00AB3540"/>
    <w:rsid w:val="00AB478E"/>
    <w:rsid w:val="00AB5EDE"/>
    <w:rsid w:val="00AC0F8A"/>
    <w:rsid w:val="00AC7ADF"/>
    <w:rsid w:val="00AD738A"/>
    <w:rsid w:val="00AE06EE"/>
    <w:rsid w:val="00AE1CBD"/>
    <w:rsid w:val="00AE2BF0"/>
    <w:rsid w:val="00AE2E34"/>
    <w:rsid w:val="00AE456B"/>
    <w:rsid w:val="00AE6811"/>
    <w:rsid w:val="00AE77A7"/>
    <w:rsid w:val="00AF23E2"/>
    <w:rsid w:val="00AF3D9B"/>
    <w:rsid w:val="00AF7BC7"/>
    <w:rsid w:val="00B00B20"/>
    <w:rsid w:val="00B11638"/>
    <w:rsid w:val="00B15BD9"/>
    <w:rsid w:val="00B219C7"/>
    <w:rsid w:val="00B2217C"/>
    <w:rsid w:val="00B26358"/>
    <w:rsid w:val="00B316A5"/>
    <w:rsid w:val="00B31B15"/>
    <w:rsid w:val="00B33BDF"/>
    <w:rsid w:val="00B42B36"/>
    <w:rsid w:val="00B43731"/>
    <w:rsid w:val="00B4564E"/>
    <w:rsid w:val="00B45878"/>
    <w:rsid w:val="00B5070B"/>
    <w:rsid w:val="00B54579"/>
    <w:rsid w:val="00B55262"/>
    <w:rsid w:val="00B55FF2"/>
    <w:rsid w:val="00B569F9"/>
    <w:rsid w:val="00B608FD"/>
    <w:rsid w:val="00B64A90"/>
    <w:rsid w:val="00B66C0D"/>
    <w:rsid w:val="00B70027"/>
    <w:rsid w:val="00B7114E"/>
    <w:rsid w:val="00B747B4"/>
    <w:rsid w:val="00B83F0E"/>
    <w:rsid w:val="00B87417"/>
    <w:rsid w:val="00B90414"/>
    <w:rsid w:val="00B9077A"/>
    <w:rsid w:val="00B91EF0"/>
    <w:rsid w:val="00B9688A"/>
    <w:rsid w:val="00BA416E"/>
    <w:rsid w:val="00BA6BE6"/>
    <w:rsid w:val="00BA739B"/>
    <w:rsid w:val="00BB05DB"/>
    <w:rsid w:val="00BB1776"/>
    <w:rsid w:val="00BB2377"/>
    <w:rsid w:val="00BB3B33"/>
    <w:rsid w:val="00BB4ECA"/>
    <w:rsid w:val="00BC0B95"/>
    <w:rsid w:val="00BC6316"/>
    <w:rsid w:val="00BD3DBB"/>
    <w:rsid w:val="00BD5409"/>
    <w:rsid w:val="00BD5ABD"/>
    <w:rsid w:val="00BE020C"/>
    <w:rsid w:val="00BE030D"/>
    <w:rsid w:val="00BE0E03"/>
    <w:rsid w:val="00BE2DBB"/>
    <w:rsid w:val="00BE2EB7"/>
    <w:rsid w:val="00BE3E75"/>
    <w:rsid w:val="00BF19FA"/>
    <w:rsid w:val="00BF390F"/>
    <w:rsid w:val="00BF7C69"/>
    <w:rsid w:val="00C00B3B"/>
    <w:rsid w:val="00C04EBA"/>
    <w:rsid w:val="00C07A07"/>
    <w:rsid w:val="00C136DF"/>
    <w:rsid w:val="00C15C2E"/>
    <w:rsid w:val="00C204E1"/>
    <w:rsid w:val="00C20F06"/>
    <w:rsid w:val="00C21385"/>
    <w:rsid w:val="00C24601"/>
    <w:rsid w:val="00C2492C"/>
    <w:rsid w:val="00C26D53"/>
    <w:rsid w:val="00C26DCC"/>
    <w:rsid w:val="00C302A7"/>
    <w:rsid w:val="00C308A1"/>
    <w:rsid w:val="00C34702"/>
    <w:rsid w:val="00C35516"/>
    <w:rsid w:val="00C4262C"/>
    <w:rsid w:val="00C42E0E"/>
    <w:rsid w:val="00C470E3"/>
    <w:rsid w:val="00C47C4E"/>
    <w:rsid w:val="00C52958"/>
    <w:rsid w:val="00C53AB5"/>
    <w:rsid w:val="00C579B2"/>
    <w:rsid w:val="00C65900"/>
    <w:rsid w:val="00C7039F"/>
    <w:rsid w:val="00C74861"/>
    <w:rsid w:val="00C77CD2"/>
    <w:rsid w:val="00C82D52"/>
    <w:rsid w:val="00C8397B"/>
    <w:rsid w:val="00C84652"/>
    <w:rsid w:val="00C86E62"/>
    <w:rsid w:val="00C907BF"/>
    <w:rsid w:val="00C932D4"/>
    <w:rsid w:val="00C97656"/>
    <w:rsid w:val="00CA50C0"/>
    <w:rsid w:val="00CA6BFE"/>
    <w:rsid w:val="00CA6F22"/>
    <w:rsid w:val="00CB0F62"/>
    <w:rsid w:val="00CB2B65"/>
    <w:rsid w:val="00CB3B01"/>
    <w:rsid w:val="00CB468F"/>
    <w:rsid w:val="00CB5D01"/>
    <w:rsid w:val="00CB62B5"/>
    <w:rsid w:val="00CB6789"/>
    <w:rsid w:val="00CC31EC"/>
    <w:rsid w:val="00CC6AEF"/>
    <w:rsid w:val="00CC7C35"/>
    <w:rsid w:val="00CD0BE0"/>
    <w:rsid w:val="00CD533E"/>
    <w:rsid w:val="00CD54A2"/>
    <w:rsid w:val="00CD676D"/>
    <w:rsid w:val="00CE78B8"/>
    <w:rsid w:val="00CE7DE8"/>
    <w:rsid w:val="00CF45CA"/>
    <w:rsid w:val="00CF5128"/>
    <w:rsid w:val="00CF7049"/>
    <w:rsid w:val="00D01118"/>
    <w:rsid w:val="00D05456"/>
    <w:rsid w:val="00D07223"/>
    <w:rsid w:val="00D14ED0"/>
    <w:rsid w:val="00D1772B"/>
    <w:rsid w:val="00D17CD0"/>
    <w:rsid w:val="00D259A7"/>
    <w:rsid w:val="00D33D04"/>
    <w:rsid w:val="00D51562"/>
    <w:rsid w:val="00D55675"/>
    <w:rsid w:val="00D5757D"/>
    <w:rsid w:val="00D61441"/>
    <w:rsid w:val="00D6388B"/>
    <w:rsid w:val="00D652B8"/>
    <w:rsid w:val="00D65CF3"/>
    <w:rsid w:val="00D65EF8"/>
    <w:rsid w:val="00D671DB"/>
    <w:rsid w:val="00D70CB0"/>
    <w:rsid w:val="00D72E25"/>
    <w:rsid w:val="00D77497"/>
    <w:rsid w:val="00D80984"/>
    <w:rsid w:val="00D8453E"/>
    <w:rsid w:val="00D87552"/>
    <w:rsid w:val="00D90A08"/>
    <w:rsid w:val="00D9244B"/>
    <w:rsid w:val="00D92F79"/>
    <w:rsid w:val="00DA0BA9"/>
    <w:rsid w:val="00DA0CD9"/>
    <w:rsid w:val="00DA21F9"/>
    <w:rsid w:val="00DA3B9A"/>
    <w:rsid w:val="00DB2BD2"/>
    <w:rsid w:val="00DB4D02"/>
    <w:rsid w:val="00DB798E"/>
    <w:rsid w:val="00DC2D7B"/>
    <w:rsid w:val="00DC5703"/>
    <w:rsid w:val="00DD1144"/>
    <w:rsid w:val="00DE26CA"/>
    <w:rsid w:val="00DE4AC6"/>
    <w:rsid w:val="00DE4E76"/>
    <w:rsid w:val="00DF04B4"/>
    <w:rsid w:val="00DF15A5"/>
    <w:rsid w:val="00DF3C3E"/>
    <w:rsid w:val="00E013CE"/>
    <w:rsid w:val="00E01E55"/>
    <w:rsid w:val="00E020DC"/>
    <w:rsid w:val="00E052E6"/>
    <w:rsid w:val="00E1070D"/>
    <w:rsid w:val="00E11A93"/>
    <w:rsid w:val="00E14DCC"/>
    <w:rsid w:val="00E2035E"/>
    <w:rsid w:val="00E2316C"/>
    <w:rsid w:val="00E24FD0"/>
    <w:rsid w:val="00E26DC2"/>
    <w:rsid w:val="00E35083"/>
    <w:rsid w:val="00E351E7"/>
    <w:rsid w:val="00E40EBE"/>
    <w:rsid w:val="00E47589"/>
    <w:rsid w:val="00E4799A"/>
    <w:rsid w:val="00E47A99"/>
    <w:rsid w:val="00E47D79"/>
    <w:rsid w:val="00E65105"/>
    <w:rsid w:val="00E66843"/>
    <w:rsid w:val="00E70474"/>
    <w:rsid w:val="00E73458"/>
    <w:rsid w:val="00E74720"/>
    <w:rsid w:val="00E76A39"/>
    <w:rsid w:val="00E83C2C"/>
    <w:rsid w:val="00E90370"/>
    <w:rsid w:val="00E95FB9"/>
    <w:rsid w:val="00EA0AF5"/>
    <w:rsid w:val="00EA41B2"/>
    <w:rsid w:val="00EA4674"/>
    <w:rsid w:val="00EA7611"/>
    <w:rsid w:val="00EB075C"/>
    <w:rsid w:val="00EB46D9"/>
    <w:rsid w:val="00EB5AE6"/>
    <w:rsid w:val="00EB74E0"/>
    <w:rsid w:val="00EB7EAF"/>
    <w:rsid w:val="00EC0D7B"/>
    <w:rsid w:val="00EC1907"/>
    <w:rsid w:val="00EC3427"/>
    <w:rsid w:val="00EE3D72"/>
    <w:rsid w:val="00EE473D"/>
    <w:rsid w:val="00EE6D52"/>
    <w:rsid w:val="00EE7F1A"/>
    <w:rsid w:val="00EF512B"/>
    <w:rsid w:val="00F0293A"/>
    <w:rsid w:val="00F03F09"/>
    <w:rsid w:val="00F04FB5"/>
    <w:rsid w:val="00F142CC"/>
    <w:rsid w:val="00F210EC"/>
    <w:rsid w:val="00F22297"/>
    <w:rsid w:val="00F3314F"/>
    <w:rsid w:val="00F36567"/>
    <w:rsid w:val="00F41E7C"/>
    <w:rsid w:val="00F45DA8"/>
    <w:rsid w:val="00F472B8"/>
    <w:rsid w:val="00F47B02"/>
    <w:rsid w:val="00F5414D"/>
    <w:rsid w:val="00F64A96"/>
    <w:rsid w:val="00F65078"/>
    <w:rsid w:val="00F71CCB"/>
    <w:rsid w:val="00F806AB"/>
    <w:rsid w:val="00F83566"/>
    <w:rsid w:val="00F86484"/>
    <w:rsid w:val="00F97489"/>
    <w:rsid w:val="00FA2772"/>
    <w:rsid w:val="00FA39CB"/>
    <w:rsid w:val="00FA4E44"/>
    <w:rsid w:val="00FB0E31"/>
    <w:rsid w:val="00FB1F2D"/>
    <w:rsid w:val="00FB2354"/>
    <w:rsid w:val="00FB357A"/>
    <w:rsid w:val="00FB4AE7"/>
    <w:rsid w:val="00FC15B8"/>
    <w:rsid w:val="00FC2ED0"/>
    <w:rsid w:val="00FC2F2E"/>
    <w:rsid w:val="00FC3018"/>
    <w:rsid w:val="00FD0E46"/>
    <w:rsid w:val="00FD2811"/>
    <w:rsid w:val="00FD3760"/>
    <w:rsid w:val="00FE10B4"/>
    <w:rsid w:val="00FF50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825D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A56"/>
    <w:rPr>
      <w:rFonts w:ascii="Segoe UI" w:hAnsi="Segoe UI"/>
    </w:rPr>
  </w:style>
  <w:style w:type="paragraph" w:styleId="Heading1">
    <w:name w:val="heading 1"/>
    <w:basedOn w:val="Normal"/>
    <w:next w:val="Normal"/>
    <w:link w:val="Heading1Char"/>
    <w:uiPriority w:val="9"/>
    <w:qFormat/>
    <w:rsid w:val="00957A56"/>
    <w:pPr>
      <w:keepNext/>
      <w:keepLines/>
      <w:spacing w:after="120"/>
      <w:outlineLvl w:val="0"/>
    </w:pPr>
    <w:rPr>
      <w:rFonts w:ascii="Segoe UI Semibold" w:eastAsiaTheme="majorEastAsia" w:hAnsi="Segoe UI Semibold"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957A56"/>
    <w:pPr>
      <w:keepNext/>
      <w:keepLines/>
      <w:spacing w:before="40" w:after="12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20351"/>
    <w:pPr>
      <w:spacing w:after="120" w:line="240" w:lineRule="auto"/>
      <w:outlineLvl w:val="2"/>
    </w:pPr>
    <w:rPr>
      <w:rFonts w:ascii="Segoe UI Semibold" w:hAnsi="Segoe UI Semibold" w:cs="Arial"/>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6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3F17"/>
    <w:pPr>
      <w:ind w:left="720"/>
      <w:contextualSpacing/>
    </w:pPr>
  </w:style>
  <w:style w:type="character" w:styleId="CommentReference">
    <w:name w:val="annotation reference"/>
    <w:basedOn w:val="DefaultParagraphFont"/>
    <w:uiPriority w:val="99"/>
    <w:semiHidden/>
    <w:unhideWhenUsed/>
    <w:rsid w:val="00945FC3"/>
    <w:rPr>
      <w:sz w:val="16"/>
      <w:szCs w:val="16"/>
    </w:rPr>
  </w:style>
  <w:style w:type="paragraph" w:styleId="CommentText">
    <w:name w:val="annotation text"/>
    <w:basedOn w:val="Normal"/>
    <w:link w:val="CommentTextChar"/>
    <w:uiPriority w:val="99"/>
    <w:semiHidden/>
    <w:unhideWhenUsed/>
    <w:rsid w:val="00945FC3"/>
    <w:pPr>
      <w:spacing w:line="240" w:lineRule="auto"/>
    </w:pPr>
    <w:rPr>
      <w:sz w:val="20"/>
      <w:szCs w:val="20"/>
    </w:rPr>
  </w:style>
  <w:style w:type="character" w:customStyle="1" w:styleId="CommentTextChar">
    <w:name w:val="Comment Text Char"/>
    <w:basedOn w:val="DefaultParagraphFont"/>
    <w:link w:val="CommentText"/>
    <w:uiPriority w:val="99"/>
    <w:semiHidden/>
    <w:rsid w:val="00945FC3"/>
    <w:rPr>
      <w:sz w:val="20"/>
      <w:szCs w:val="20"/>
    </w:rPr>
  </w:style>
  <w:style w:type="paragraph" w:styleId="CommentSubject">
    <w:name w:val="annotation subject"/>
    <w:basedOn w:val="CommentText"/>
    <w:next w:val="CommentText"/>
    <w:link w:val="CommentSubjectChar"/>
    <w:uiPriority w:val="99"/>
    <w:semiHidden/>
    <w:unhideWhenUsed/>
    <w:rsid w:val="00945FC3"/>
    <w:rPr>
      <w:b/>
      <w:bCs/>
    </w:rPr>
  </w:style>
  <w:style w:type="character" w:customStyle="1" w:styleId="CommentSubjectChar">
    <w:name w:val="Comment Subject Char"/>
    <w:basedOn w:val="CommentTextChar"/>
    <w:link w:val="CommentSubject"/>
    <w:uiPriority w:val="99"/>
    <w:semiHidden/>
    <w:rsid w:val="00945FC3"/>
    <w:rPr>
      <w:b/>
      <w:bCs/>
      <w:sz w:val="20"/>
      <w:szCs w:val="20"/>
    </w:rPr>
  </w:style>
  <w:style w:type="paragraph" w:styleId="BalloonText">
    <w:name w:val="Balloon Text"/>
    <w:basedOn w:val="Normal"/>
    <w:link w:val="BalloonTextChar"/>
    <w:uiPriority w:val="99"/>
    <w:semiHidden/>
    <w:unhideWhenUsed/>
    <w:rsid w:val="00945FC3"/>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945FC3"/>
    <w:rPr>
      <w:rFonts w:ascii="Segoe UI" w:hAnsi="Segoe UI" w:cs="Segoe UI"/>
      <w:sz w:val="18"/>
      <w:szCs w:val="18"/>
    </w:rPr>
  </w:style>
  <w:style w:type="character" w:customStyle="1" w:styleId="Heading1Char">
    <w:name w:val="Heading 1 Char"/>
    <w:basedOn w:val="DefaultParagraphFont"/>
    <w:link w:val="Heading1"/>
    <w:uiPriority w:val="9"/>
    <w:rsid w:val="00957A56"/>
    <w:rPr>
      <w:rFonts w:ascii="Segoe UI Semibold" w:eastAsiaTheme="majorEastAsia" w:hAnsi="Segoe UI Semibold" w:cstheme="majorBidi"/>
      <w:color w:val="1F4E79" w:themeColor="accent1" w:themeShade="80"/>
      <w:sz w:val="32"/>
      <w:szCs w:val="32"/>
    </w:rPr>
  </w:style>
  <w:style w:type="paragraph" w:styleId="FootnoteText">
    <w:name w:val="footnote text"/>
    <w:basedOn w:val="Normal"/>
    <w:link w:val="FootnoteTextChar"/>
    <w:uiPriority w:val="99"/>
    <w:semiHidden/>
    <w:unhideWhenUsed/>
    <w:rsid w:val="004C7C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7CA6"/>
    <w:rPr>
      <w:sz w:val="20"/>
      <w:szCs w:val="20"/>
    </w:rPr>
  </w:style>
  <w:style w:type="character" w:styleId="FootnoteReference">
    <w:name w:val="footnote reference"/>
    <w:basedOn w:val="DefaultParagraphFont"/>
    <w:uiPriority w:val="99"/>
    <w:semiHidden/>
    <w:unhideWhenUsed/>
    <w:rsid w:val="004C7CA6"/>
    <w:rPr>
      <w:vertAlign w:val="superscript"/>
    </w:rPr>
  </w:style>
  <w:style w:type="paragraph" w:styleId="Header">
    <w:name w:val="header"/>
    <w:basedOn w:val="Normal"/>
    <w:link w:val="HeaderChar"/>
    <w:uiPriority w:val="99"/>
    <w:unhideWhenUsed/>
    <w:rsid w:val="00B91E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EF0"/>
  </w:style>
  <w:style w:type="paragraph" w:styleId="Footer">
    <w:name w:val="footer"/>
    <w:basedOn w:val="Normal"/>
    <w:link w:val="FooterChar"/>
    <w:uiPriority w:val="99"/>
    <w:unhideWhenUsed/>
    <w:rsid w:val="00B91E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EF0"/>
  </w:style>
  <w:style w:type="character" w:styleId="Hyperlink">
    <w:name w:val="Hyperlink"/>
    <w:basedOn w:val="DefaultParagraphFont"/>
    <w:uiPriority w:val="99"/>
    <w:unhideWhenUsed/>
    <w:rsid w:val="007C7470"/>
    <w:rPr>
      <w:color w:val="0563C1" w:themeColor="hyperlink"/>
      <w:u w:val="single"/>
    </w:rPr>
  </w:style>
  <w:style w:type="character" w:customStyle="1" w:styleId="Heading2Char">
    <w:name w:val="Heading 2 Char"/>
    <w:basedOn w:val="DefaultParagraphFont"/>
    <w:link w:val="Heading2"/>
    <w:uiPriority w:val="9"/>
    <w:rsid w:val="00957A56"/>
    <w:rPr>
      <w:rFonts w:ascii="Segoe UI" w:eastAsiaTheme="majorEastAsia" w:hAnsi="Segoe UI" w:cstheme="majorBidi"/>
      <w:color w:val="2E74B5" w:themeColor="accent1" w:themeShade="BF"/>
      <w:sz w:val="26"/>
      <w:szCs w:val="26"/>
    </w:rPr>
  </w:style>
  <w:style w:type="character" w:customStyle="1" w:styleId="Heading3Char">
    <w:name w:val="Heading 3 Char"/>
    <w:basedOn w:val="DefaultParagraphFont"/>
    <w:link w:val="Heading3"/>
    <w:uiPriority w:val="9"/>
    <w:rsid w:val="00720351"/>
    <w:rPr>
      <w:rFonts w:ascii="Segoe UI Semibold" w:hAnsi="Segoe UI Semibold" w:cs="Arial"/>
      <w:color w:val="1F4E79" w:themeColor="accent1" w:themeShade="80"/>
    </w:rPr>
  </w:style>
  <w:style w:type="paragraph" w:styleId="TOCHeading">
    <w:name w:val="TOC Heading"/>
    <w:basedOn w:val="Heading1"/>
    <w:next w:val="Normal"/>
    <w:uiPriority w:val="39"/>
    <w:unhideWhenUsed/>
    <w:qFormat/>
    <w:rsid w:val="00655932"/>
    <w:pPr>
      <w:spacing w:before="240" w:after="0"/>
      <w:outlineLvl w:val="9"/>
    </w:pPr>
    <w:rPr>
      <w:rFonts w:asciiTheme="majorHAnsi" w:hAnsiTheme="majorHAnsi"/>
      <w:color w:val="2E74B5" w:themeColor="accent1" w:themeShade="BF"/>
      <w:lang w:val="en-US"/>
    </w:rPr>
  </w:style>
  <w:style w:type="paragraph" w:styleId="TOC1">
    <w:name w:val="toc 1"/>
    <w:basedOn w:val="Normal"/>
    <w:next w:val="Normal"/>
    <w:autoRedefine/>
    <w:uiPriority w:val="39"/>
    <w:unhideWhenUsed/>
    <w:rsid w:val="00655932"/>
    <w:pPr>
      <w:spacing w:after="100"/>
    </w:pPr>
  </w:style>
  <w:style w:type="paragraph" w:styleId="TOC2">
    <w:name w:val="toc 2"/>
    <w:basedOn w:val="Normal"/>
    <w:next w:val="Normal"/>
    <w:autoRedefine/>
    <w:uiPriority w:val="39"/>
    <w:unhideWhenUsed/>
    <w:rsid w:val="00655932"/>
    <w:pPr>
      <w:spacing w:after="100"/>
      <w:ind w:left="220"/>
    </w:pPr>
  </w:style>
  <w:style w:type="paragraph" w:styleId="TOC3">
    <w:name w:val="toc 3"/>
    <w:basedOn w:val="Normal"/>
    <w:next w:val="Normal"/>
    <w:autoRedefine/>
    <w:uiPriority w:val="39"/>
    <w:unhideWhenUsed/>
    <w:rsid w:val="00655932"/>
    <w:pPr>
      <w:spacing w:after="100"/>
      <w:ind w:left="440"/>
    </w:pPr>
  </w:style>
  <w:style w:type="paragraph" w:styleId="Caption">
    <w:name w:val="caption"/>
    <w:basedOn w:val="Normal"/>
    <w:next w:val="Normal"/>
    <w:uiPriority w:val="35"/>
    <w:unhideWhenUsed/>
    <w:qFormat/>
    <w:rsid w:val="003278BD"/>
    <w:pPr>
      <w:keepNext/>
      <w:spacing w:after="200" w:line="240" w:lineRule="auto"/>
    </w:pPr>
    <w:rPr>
      <w:i/>
      <w:iCs/>
      <w:color w:val="44546A" w:themeColor="text2"/>
      <w:szCs w:val="21"/>
    </w:rPr>
  </w:style>
  <w:style w:type="paragraph" w:styleId="Subtitle">
    <w:name w:val="Subtitle"/>
    <w:basedOn w:val="Normal"/>
    <w:next w:val="Normal"/>
    <w:link w:val="SubtitleChar"/>
    <w:uiPriority w:val="11"/>
    <w:qFormat/>
    <w:rsid w:val="00F36567"/>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F36567"/>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E47A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msa.gov.au/marine-environment/national-plan-maritime-environmental-emergenci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msa.gov.au/marine-environment/national-plan-maritime-environmental-emergencies" TargetMode="External"/><Relationship Id="rId2" Type="http://schemas.openxmlformats.org/officeDocument/2006/relationships/hyperlink" Target="https://www.amsa.gov.au/marine-environment/national-plan-maritime-environmental-emergencies/national-plan-maritime" TargetMode="External"/><Relationship Id="rId1" Type="http://schemas.openxmlformats.org/officeDocument/2006/relationships/hyperlink" Target="https://www.fema.gov/media-library/assets/documents/32326" TargetMode="External"/><Relationship Id="rId4" Type="http://schemas.openxmlformats.org/officeDocument/2006/relationships/hyperlink" Target="https://www.amsa.gov.au/marine-environment/national-plan-maritime-environmental-emergencies/exercise-westwind-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4277</Words>
  <Characters>24379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2018-11-30T03:07:00Z</dcterms:created>
  <dcterms:modified xsi:type="dcterms:W3CDTF">2018-11-30T03:07:00Z</dcterms:modified>
</cp:coreProperties>
</file>