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94980" w14:textId="77777777" w:rsidR="00404095" w:rsidRDefault="0090637B" w:rsidP="00404095">
      <w:r w:rsidRPr="00180BF8">
        <w:rPr>
          <w:noProof/>
          <w:lang w:eastAsia="en-AU"/>
        </w:rPr>
        <w:drawing>
          <wp:inline distT="0" distB="0" distL="0" distR="0" wp14:anchorId="2DF86B6F" wp14:editId="19FD7147">
            <wp:extent cx="2448560" cy="727710"/>
            <wp:effectExtent l="0" t="0" r="8890" b="0"/>
            <wp:docPr id="20" name="Picture 20"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48560" cy="7277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CCD0E7E" w14:textId="41C57FB4" w:rsidR="00AE5BA7" w:rsidRPr="007F33E9" w:rsidRDefault="00AE5BA7" w:rsidP="00404095">
      <w:pPr>
        <w:pStyle w:val="Heading1"/>
      </w:pPr>
      <w:bookmarkStart w:id="0" w:name="_GoBack"/>
      <w:bookmarkEnd w:id="0"/>
      <w:r w:rsidRPr="007F33E9">
        <w:t xml:space="preserve">University Precincts – </w:t>
      </w:r>
      <w:r w:rsidR="0022654D" w:rsidRPr="007F33E9">
        <w:t xml:space="preserve">Issues </w:t>
      </w:r>
      <w:r w:rsidRPr="007F33E9">
        <w:t>Paper</w:t>
      </w:r>
    </w:p>
    <w:p w14:paraId="610A4AA6" w14:textId="5E2F5EDE" w:rsidR="00AE5BA7" w:rsidRPr="00AE5BA7" w:rsidRDefault="00D87A64" w:rsidP="00404095">
      <w:pPr>
        <w:spacing w:before="600" w:after="600"/>
        <w:rPr>
          <w:color w:val="7F7F7F" w:themeColor="text1" w:themeTint="80"/>
          <w:sz w:val="40"/>
        </w:rPr>
      </w:pPr>
      <w:r>
        <w:rPr>
          <w:color w:val="7F7F7F" w:themeColor="text1" w:themeTint="80"/>
          <w:sz w:val="40"/>
        </w:rPr>
        <w:t>May</w:t>
      </w:r>
      <w:r w:rsidR="00E3184B" w:rsidRPr="00AE5BA7">
        <w:rPr>
          <w:color w:val="7F7F7F" w:themeColor="text1" w:themeTint="80"/>
          <w:sz w:val="40"/>
        </w:rPr>
        <w:t xml:space="preserve"> </w:t>
      </w:r>
      <w:r w:rsidR="00AE5BA7" w:rsidRPr="00AE5BA7">
        <w:rPr>
          <w:color w:val="7F7F7F" w:themeColor="text1" w:themeTint="80"/>
          <w:sz w:val="40"/>
        </w:rPr>
        <w:t>2017</w:t>
      </w:r>
    </w:p>
    <w:p w14:paraId="4D412B93" w14:textId="0C39A1B6" w:rsidR="00B513F7" w:rsidRPr="00404095" w:rsidRDefault="00AE5BA7" w:rsidP="00404095">
      <w:pPr>
        <w:rPr>
          <w:color w:val="7F7F7F" w:themeColor="text1" w:themeTint="80"/>
          <w:sz w:val="40"/>
        </w:rPr>
      </w:pPr>
      <w:r w:rsidRPr="00AE5BA7">
        <w:rPr>
          <w:color w:val="7F7F7F" w:themeColor="text1" w:themeTint="80"/>
          <w:sz w:val="40"/>
        </w:rPr>
        <w:t xml:space="preserve">Prepared by the </w:t>
      </w:r>
      <w:r w:rsidR="001833FA">
        <w:rPr>
          <w:color w:val="7F7F7F" w:themeColor="text1" w:themeTint="80"/>
          <w:sz w:val="40"/>
        </w:rPr>
        <w:t>Department of Industry, Innovation and Science for</w:t>
      </w:r>
      <w:r w:rsidRPr="00AE5BA7">
        <w:rPr>
          <w:color w:val="7F7F7F" w:themeColor="text1" w:themeTint="80"/>
          <w:sz w:val="40"/>
        </w:rPr>
        <w:t xml:space="preserve"> the University Precincts Advisory Committee</w:t>
      </w:r>
    </w:p>
    <w:p w14:paraId="054DA5F0" w14:textId="77777777" w:rsidR="00EA0E54" w:rsidRDefault="00B513F7">
      <w:pPr>
        <w:spacing w:before="0" w:after="160" w:line="259" w:lineRule="auto"/>
        <w:rPr>
          <w:rFonts w:eastAsia="Times New Roman"/>
        </w:rPr>
        <w:sectPr w:rsidR="00EA0E54" w:rsidSect="0090637B">
          <w:head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r>
        <w:rPr>
          <w:rFonts w:eastAsia="Times New Roman"/>
        </w:rPr>
        <w:br w:type="page"/>
      </w:r>
    </w:p>
    <w:bookmarkStart w:id="1" w:name="_Toc478985672" w:displacedByCustomXml="next"/>
    <w:bookmarkStart w:id="2" w:name="_Toc478133302" w:displacedByCustomXml="next"/>
    <w:sdt>
      <w:sdtPr>
        <w:rPr>
          <w:rFonts w:eastAsiaTheme="minorHAnsi" w:cstheme="minorBidi"/>
          <w:color w:val="auto"/>
          <w:sz w:val="22"/>
          <w:szCs w:val="22"/>
        </w:rPr>
        <w:id w:val="840736199"/>
        <w:docPartObj>
          <w:docPartGallery w:val="Table of Contents"/>
          <w:docPartUnique/>
        </w:docPartObj>
      </w:sdtPr>
      <w:sdtEndPr>
        <w:rPr>
          <w:b/>
          <w:bCs/>
          <w:noProof/>
        </w:rPr>
      </w:sdtEndPr>
      <w:sdtContent>
        <w:p w14:paraId="2E00B3C0" w14:textId="45DF0D4D" w:rsidR="00402309" w:rsidRDefault="00402309" w:rsidP="007F33E9">
          <w:pPr>
            <w:pStyle w:val="Heading2"/>
          </w:pPr>
          <w:r>
            <w:t>Contents</w:t>
          </w:r>
        </w:p>
        <w:p w14:paraId="53D12D8D" w14:textId="658B5E4C" w:rsidR="000E029D" w:rsidRDefault="00402309">
          <w:pPr>
            <w:pStyle w:val="TOC2"/>
            <w:tabs>
              <w:tab w:val="right" w:leader="dot" w:pos="9016"/>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481660963" w:history="1">
            <w:r w:rsidR="000E029D" w:rsidRPr="00FE545D">
              <w:rPr>
                <w:rStyle w:val="Hyperlink"/>
                <w:rFonts w:eastAsia="Times New Roman"/>
                <w:noProof/>
              </w:rPr>
              <w:t>Consultation on the need for a National University Precincts Strategy</w:t>
            </w:r>
            <w:r w:rsidR="000E029D">
              <w:rPr>
                <w:noProof/>
                <w:webHidden/>
              </w:rPr>
              <w:tab/>
            </w:r>
            <w:r w:rsidR="000E029D">
              <w:rPr>
                <w:noProof/>
                <w:webHidden/>
              </w:rPr>
              <w:fldChar w:fldCharType="begin"/>
            </w:r>
            <w:r w:rsidR="000E029D">
              <w:rPr>
                <w:noProof/>
                <w:webHidden/>
              </w:rPr>
              <w:instrText xml:space="preserve"> PAGEREF _Toc481660963 \h </w:instrText>
            </w:r>
            <w:r w:rsidR="000E029D">
              <w:rPr>
                <w:noProof/>
                <w:webHidden/>
              </w:rPr>
            </w:r>
            <w:r w:rsidR="000E029D">
              <w:rPr>
                <w:noProof/>
                <w:webHidden/>
              </w:rPr>
              <w:fldChar w:fldCharType="separate"/>
            </w:r>
            <w:r w:rsidR="00170C88">
              <w:rPr>
                <w:noProof/>
                <w:webHidden/>
              </w:rPr>
              <w:t>1</w:t>
            </w:r>
            <w:r w:rsidR="000E029D">
              <w:rPr>
                <w:noProof/>
                <w:webHidden/>
              </w:rPr>
              <w:fldChar w:fldCharType="end"/>
            </w:r>
          </w:hyperlink>
        </w:p>
        <w:p w14:paraId="1ACD55F0" w14:textId="2EAD64B9" w:rsidR="000E029D" w:rsidRDefault="00404095">
          <w:pPr>
            <w:pStyle w:val="TOC2"/>
            <w:tabs>
              <w:tab w:val="right" w:leader="dot" w:pos="9016"/>
            </w:tabs>
            <w:rPr>
              <w:rFonts w:asciiTheme="minorHAnsi" w:eastAsiaTheme="minorEastAsia" w:hAnsiTheme="minorHAnsi"/>
              <w:noProof/>
              <w:lang w:eastAsia="en-AU"/>
            </w:rPr>
          </w:pPr>
          <w:hyperlink w:anchor="_Toc481660964" w:history="1">
            <w:r w:rsidR="000E029D" w:rsidRPr="00FE545D">
              <w:rPr>
                <w:rStyle w:val="Hyperlink"/>
                <w:noProof/>
              </w:rPr>
              <w:t>Greater collaboration supports economic growth</w:t>
            </w:r>
            <w:r w:rsidR="000E029D">
              <w:rPr>
                <w:noProof/>
                <w:webHidden/>
              </w:rPr>
              <w:tab/>
            </w:r>
            <w:r w:rsidR="000E029D">
              <w:rPr>
                <w:noProof/>
                <w:webHidden/>
              </w:rPr>
              <w:fldChar w:fldCharType="begin"/>
            </w:r>
            <w:r w:rsidR="000E029D">
              <w:rPr>
                <w:noProof/>
                <w:webHidden/>
              </w:rPr>
              <w:instrText xml:space="preserve"> PAGEREF _Toc481660964 \h </w:instrText>
            </w:r>
            <w:r w:rsidR="000E029D">
              <w:rPr>
                <w:noProof/>
                <w:webHidden/>
              </w:rPr>
            </w:r>
            <w:r w:rsidR="000E029D">
              <w:rPr>
                <w:noProof/>
                <w:webHidden/>
              </w:rPr>
              <w:fldChar w:fldCharType="separate"/>
            </w:r>
            <w:r w:rsidR="00170C88">
              <w:rPr>
                <w:noProof/>
                <w:webHidden/>
              </w:rPr>
              <w:t>1</w:t>
            </w:r>
            <w:r w:rsidR="000E029D">
              <w:rPr>
                <w:noProof/>
                <w:webHidden/>
              </w:rPr>
              <w:fldChar w:fldCharType="end"/>
            </w:r>
          </w:hyperlink>
        </w:p>
        <w:p w14:paraId="52669840" w14:textId="4CFDE240" w:rsidR="000E029D" w:rsidRDefault="00404095">
          <w:pPr>
            <w:pStyle w:val="TOC2"/>
            <w:tabs>
              <w:tab w:val="right" w:leader="dot" w:pos="9016"/>
            </w:tabs>
            <w:rPr>
              <w:rFonts w:asciiTheme="minorHAnsi" w:eastAsiaTheme="minorEastAsia" w:hAnsiTheme="minorHAnsi"/>
              <w:noProof/>
              <w:lang w:eastAsia="en-AU"/>
            </w:rPr>
          </w:pPr>
          <w:hyperlink w:anchor="_Toc481660965" w:history="1">
            <w:r w:rsidR="000E029D" w:rsidRPr="00FE545D">
              <w:rPr>
                <w:rStyle w:val="Hyperlink"/>
                <w:noProof/>
              </w:rPr>
              <w:t>Stronger industry-university engagement will increase collaboration</w:t>
            </w:r>
            <w:r w:rsidR="000E029D">
              <w:rPr>
                <w:noProof/>
                <w:webHidden/>
              </w:rPr>
              <w:tab/>
            </w:r>
            <w:r w:rsidR="000E029D">
              <w:rPr>
                <w:noProof/>
                <w:webHidden/>
              </w:rPr>
              <w:fldChar w:fldCharType="begin"/>
            </w:r>
            <w:r w:rsidR="000E029D">
              <w:rPr>
                <w:noProof/>
                <w:webHidden/>
              </w:rPr>
              <w:instrText xml:space="preserve"> PAGEREF _Toc481660965 \h </w:instrText>
            </w:r>
            <w:r w:rsidR="000E029D">
              <w:rPr>
                <w:noProof/>
                <w:webHidden/>
              </w:rPr>
            </w:r>
            <w:r w:rsidR="000E029D">
              <w:rPr>
                <w:noProof/>
                <w:webHidden/>
              </w:rPr>
              <w:fldChar w:fldCharType="separate"/>
            </w:r>
            <w:r w:rsidR="00170C88">
              <w:rPr>
                <w:noProof/>
                <w:webHidden/>
              </w:rPr>
              <w:t>1</w:t>
            </w:r>
            <w:r w:rsidR="000E029D">
              <w:rPr>
                <w:noProof/>
                <w:webHidden/>
              </w:rPr>
              <w:fldChar w:fldCharType="end"/>
            </w:r>
          </w:hyperlink>
        </w:p>
        <w:p w14:paraId="44EBB4B4" w14:textId="42DD914F" w:rsidR="000E029D" w:rsidRDefault="00404095">
          <w:pPr>
            <w:pStyle w:val="TOC2"/>
            <w:tabs>
              <w:tab w:val="right" w:leader="dot" w:pos="9016"/>
            </w:tabs>
            <w:rPr>
              <w:rFonts w:asciiTheme="minorHAnsi" w:eastAsiaTheme="minorEastAsia" w:hAnsiTheme="minorHAnsi"/>
              <w:noProof/>
              <w:lang w:eastAsia="en-AU"/>
            </w:rPr>
          </w:pPr>
          <w:hyperlink w:anchor="_Toc481660966" w:history="1">
            <w:r w:rsidR="000E029D" w:rsidRPr="00FE545D">
              <w:rPr>
                <w:rStyle w:val="Hyperlink"/>
                <w:rFonts w:eastAsia="Times New Roman"/>
                <w:noProof/>
              </w:rPr>
              <w:t>Precincts, Districts and Technology Parks facilitate collaboration</w:t>
            </w:r>
            <w:r w:rsidR="000E029D">
              <w:rPr>
                <w:noProof/>
                <w:webHidden/>
              </w:rPr>
              <w:tab/>
            </w:r>
            <w:r w:rsidR="000E029D">
              <w:rPr>
                <w:noProof/>
                <w:webHidden/>
              </w:rPr>
              <w:fldChar w:fldCharType="begin"/>
            </w:r>
            <w:r w:rsidR="000E029D">
              <w:rPr>
                <w:noProof/>
                <w:webHidden/>
              </w:rPr>
              <w:instrText xml:space="preserve"> PAGEREF _Toc481660966 \h </w:instrText>
            </w:r>
            <w:r w:rsidR="000E029D">
              <w:rPr>
                <w:noProof/>
                <w:webHidden/>
              </w:rPr>
            </w:r>
            <w:r w:rsidR="000E029D">
              <w:rPr>
                <w:noProof/>
                <w:webHidden/>
              </w:rPr>
              <w:fldChar w:fldCharType="separate"/>
            </w:r>
            <w:r w:rsidR="00170C88">
              <w:rPr>
                <w:noProof/>
                <w:webHidden/>
              </w:rPr>
              <w:t>2</w:t>
            </w:r>
            <w:r w:rsidR="000E029D">
              <w:rPr>
                <w:noProof/>
                <w:webHidden/>
              </w:rPr>
              <w:fldChar w:fldCharType="end"/>
            </w:r>
          </w:hyperlink>
        </w:p>
        <w:p w14:paraId="218034FC" w14:textId="491C584B" w:rsidR="000E029D" w:rsidRDefault="00404095">
          <w:pPr>
            <w:pStyle w:val="TOC3"/>
            <w:tabs>
              <w:tab w:val="right" w:leader="dot" w:pos="9016"/>
            </w:tabs>
            <w:rPr>
              <w:rFonts w:asciiTheme="minorHAnsi" w:eastAsiaTheme="minorEastAsia" w:hAnsiTheme="minorHAnsi"/>
              <w:noProof/>
              <w:lang w:eastAsia="en-AU"/>
            </w:rPr>
          </w:pPr>
          <w:hyperlink w:anchor="_Toc481660967" w:history="1">
            <w:r w:rsidR="000E029D" w:rsidRPr="00FE545D">
              <w:rPr>
                <w:rStyle w:val="Hyperlink"/>
                <w:rFonts w:eastAsia="Times New Roman"/>
                <w:noProof/>
              </w:rPr>
              <w:t>Universities benefit by engaging with industry</w:t>
            </w:r>
            <w:r w:rsidR="000E029D">
              <w:rPr>
                <w:noProof/>
                <w:webHidden/>
              </w:rPr>
              <w:tab/>
            </w:r>
            <w:r w:rsidR="000E029D">
              <w:rPr>
                <w:noProof/>
                <w:webHidden/>
              </w:rPr>
              <w:fldChar w:fldCharType="begin"/>
            </w:r>
            <w:r w:rsidR="000E029D">
              <w:rPr>
                <w:noProof/>
                <w:webHidden/>
              </w:rPr>
              <w:instrText xml:space="preserve"> PAGEREF _Toc481660967 \h </w:instrText>
            </w:r>
            <w:r w:rsidR="000E029D">
              <w:rPr>
                <w:noProof/>
                <w:webHidden/>
              </w:rPr>
            </w:r>
            <w:r w:rsidR="000E029D">
              <w:rPr>
                <w:noProof/>
                <w:webHidden/>
              </w:rPr>
              <w:fldChar w:fldCharType="separate"/>
            </w:r>
            <w:r w:rsidR="00170C88">
              <w:rPr>
                <w:noProof/>
                <w:webHidden/>
              </w:rPr>
              <w:t>3</w:t>
            </w:r>
            <w:r w:rsidR="000E029D">
              <w:rPr>
                <w:noProof/>
                <w:webHidden/>
              </w:rPr>
              <w:fldChar w:fldCharType="end"/>
            </w:r>
          </w:hyperlink>
        </w:p>
        <w:p w14:paraId="4E7D67FC" w14:textId="5F7411DB" w:rsidR="000E029D" w:rsidRDefault="00404095">
          <w:pPr>
            <w:pStyle w:val="TOC3"/>
            <w:tabs>
              <w:tab w:val="right" w:leader="dot" w:pos="9016"/>
            </w:tabs>
            <w:rPr>
              <w:rFonts w:asciiTheme="minorHAnsi" w:eastAsiaTheme="minorEastAsia" w:hAnsiTheme="minorHAnsi"/>
              <w:noProof/>
              <w:lang w:eastAsia="en-AU"/>
            </w:rPr>
          </w:pPr>
          <w:hyperlink w:anchor="_Toc481660968" w:history="1">
            <w:r w:rsidR="000E029D" w:rsidRPr="00FE545D">
              <w:rPr>
                <w:rStyle w:val="Hyperlink"/>
                <w:noProof/>
              </w:rPr>
              <w:t>Universities offer key capabilities for business</w:t>
            </w:r>
            <w:r w:rsidR="000E029D">
              <w:rPr>
                <w:noProof/>
                <w:webHidden/>
              </w:rPr>
              <w:tab/>
            </w:r>
            <w:r w:rsidR="000E029D">
              <w:rPr>
                <w:noProof/>
                <w:webHidden/>
              </w:rPr>
              <w:fldChar w:fldCharType="begin"/>
            </w:r>
            <w:r w:rsidR="000E029D">
              <w:rPr>
                <w:noProof/>
                <w:webHidden/>
              </w:rPr>
              <w:instrText xml:space="preserve"> PAGEREF _Toc481660968 \h </w:instrText>
            </w:r>
            <w:r w:rsidR="000E029D">
              <w:rPr>
                <w:noProof/>
                <w:webHidden/>
              </w:rPr>
            </w:r>
            <w:r w:rsidR="000E029D">
              <w:rPr>
                <w:noProof/>
                <w:webHidden/>
              </w:rPr>
              <w:fldChar w:fldCharType="separate"/>
            </w:r>
            <w:r w:rsidR="00170C88">
              <w:rPr>
                <w:noProof/>
                <w:webHidden/>
              </w:rPr>
              <w:t>3</w:t>
            </w:r>
            <w:r w:rsidR="000E029D">
              <w:rPr>
                <w:noProof/>
                <w:webHidden/>
              </w:rPr>
              <w:fldChar w:fldCharType="end"/>
            </w:r>
          </w:hyperlink>
        </w:p>
        <w:p w14:paraId="3C0B107B" w14:textId="02DDEBE2" w:rsidR="000E029D" w:rsidRDefault="00404095">
          <w:pPr>
            <w:pStyle w:val="TOC3"/>
            <w:tabs>
              <w:tab w:val="right" w:leader="dot" w:pos="9016"/>
            </w:tabs>
            <w:rPr>
              <w:rFonts w:asciiTheme="minorHAnsi" w:eastAsiaTheme="minorEastAsia" w:hAnsiTheme="minorHAnsi"/>
              <w:noProof/>
              <w:lang w:eastAsia="en-AU"/>
            </w:rPr>
          </w:pPr>
          <w:hyperlink w:anchor="_Toc481660969" w:history="1">
            <w:r w:rsidR="000E029D" w:rsidRPr="00FE545D">
              <w:rPr>
                <w:rStyle w:val="Hyperlink"/>
                <w:rFonts w:eastAsia="Times New Roman"/>
                <w:noProof/>
              </w:rPr>
              <w:t>Precincts can help businesses and researchers connect</w:t>
            </w:r>
            <w:r w:rsidR="000E029D">
              <w:rPr>
                <w:noProof/>
                <w:webHidden/>
              </w:rPr>
              <w:tab/>
            </w:r>
            <w:r w:rsidR="000E029D">
              <w:rPr>
                <w:noProof/>
                <w:webHidden/>
              </w:rPr>
              <w:fldChar w:fldCharType="begin"/>
            </w:r>
            <w:r w:rsidR="000E029D">
              <w:rPr>
                <w:noProof/>
                <w:webHidden/>
              </w:rPr>
              <w:instrText xml:space="preserve"> PAGEREF _Toc481660969 \h </w:instrText>
            </w:r>
            <w:r w:rsidR="000E029D">
              <w:rPr>
                <w:noProof/>
                <w:webHidden/>
              </w:rPr>
            </w:r>
            <w:r w:rsidR="000E029D">
              <w:rPr>
                <w:noProof/>
                <w:webHidden/>
              </w:rPr>
              <w:fldChar w:fldCharType="separate"/>
            </w:r>
            <w:r w:rsidR="00170C88">
              <w:rPr>
                <w:noProof/>
                <w:webHidden/>
              </w:rPr>
              <w:t>3</w:t>
            </w:r>
            <w:r w:rsidR="000E029D">
              <w:rPr>
                <w:noProof/>
                <w:webHidden/>
              </w:rPr>
              <w:fldChar w:fldCharType="end"/>
            </w:r>
          </w:hyperlink>
        </w:p>
        <w:p w14:paraId="0F8401AC" w14:textId="16AEF11B" w:rsidR="000E029D" w:rsidRDefault="00404095">
          <w:pPr>
            <w:pStyle w:val="TOC2"/>
            <w:tabs>
              <w:tab w:val="right" w:leader="dot" w:pos="9016"/>
            </w:tabs>
            <w:rPr>
              <w:rFonts w:asciiTheme="minorHAnsi" w:eastAsiaTheme="minorEastAsia" w:hAnsiTheme="minorHAnsi"/>
              <w:noProof/>
              <w:lang w:eastAsia="en-AU"/>
            </w:rPr>
          </w:pPr>
          <w:hyperlink w:anchor="_Toc481660970" w:history="1">
            <w:r w:rsidR="000E029D" w:rsidRPr="00FE545D">
              <w:rPr>
                <w:rStyle w:val="Hyperlink"/>
                <w:noProof/>
              </w:rPr>
              <w:t>States, territories and local governments all have a role to play</w:t>
            </w:r>
            <w:r w:rsidR="000E029D">
              <w:rPr>
                <w:noProof/>
                <w:webHidden/>
              </w:rPr>
              <w:tab/>
            </w:r>
            <w:r w:rsidR="000E029D">
              <w:rPr>
                <w:noProof/>
                <w:webHidden/>
              </w:rPr>
              <w:fldChar w:fldCharType="begin"/>
            </w:r>
            <w:r w:rsidR="000E029D">
              <w:rPr>
                <w:noProof/>
                <w:webHidden/>
              </w:rPr>
              <w:instrText xml:space="preserve"> PAGEREF _Toc481660970 \h </w:instrText>
            </w:r>
            <w:r w:rsidR="000E029D">
              <w:rPr>
                <w:noProof/>
                <w:webHidden/>
              </w:rPr>
            </w:r>
            <w:r w:rsidR="000E029D">
              <w:rPr>
                <w:noProof/>
                <w:webHidden/>
              </w:rPr>
              <w:fldChar w:fldCharType="separate"/>
            </w:r>
            <w:r w:rsidR="00170C88">
              <w:rPr>
                <w:noProof/>
                <w:webHidden/>
              </w:rPr>
              <w:t>4</w:t>
            </w:r>
            <w:r w:rsidR="000E029D">
              <w:rPr>
                <w:noProof/>
                <w:webHidden/>
              </w:rPr>
              <w:fldChar w:fldCharType="end"/>
            </w:r>
          </w:hyperlink>
        </w:p>
        <w:p w14:paraId="5640E5CB" w14:textId="4E41F1D0" w:rsidR="000E029D" w:rsidRDefault="00404095">
          <w:pPr>
            <w:pStyle w:val="TOC3"/>
            <w:tabs>
              <w:tab w:val="right" w:leader="dot" w:pos="9016"/>
            </w:tabs>
            <w:rPr>
              <w:rFonts w:asciiTheme="minorHAnsi" w:eastAsiaTheme="minorEastAsia" w:hAnsiTheme="minorHAnsi"/>
              <w:noProof/>
              <w:lang w:eastAsia="en-AU"/>
            </w:rPr>
          </w:pPr>
          <w:hyperlink w:anchor="_Toc481660971" w:history="1">
            <w:r w:rsidR="000E029D" w:rsidRPr="00FE545D">
              <w:rPr>
                <w:rStyle w:val="Hyperlink"/>
                <w:noProof/>
              </w:rPr>
              <w:t>Commonwealth Government is making many foundational investments</w:t>
            </w:r>
            <w:r w:rsidR="000E029D">
              <w:rPr>
                <w:noProof/>
                <w:webHidden/>
              </w:rPr>
              <w:tab/>
            </w:r>
            <w:r w:rsidR="000E029D">
              <w:rPr>
                <w:noProof/>
                <w:webHidden/>
              </w:rPr>
              <w:fldChar w:fldCharType="begin"/>
            </w:r>
            <w:r w:rsidR="000E029D">
              <w:rPr>
                <w:noProof/>
                <w:webHidden/>
              </w:rPr>
              <w:instrText xml:space="preserve"> PAGEREF _Toc481660971 \h </w:instrText>
            </w:r>
            <w:r w:rsidR="000E029D">
              <w:rPr>
                <w:noProof/>
                <w:webHidden/>
              </w:rPr>
            </w:r>
            <w:r w:rsidR="000E029D">
              <w:rPr>
                <w:noProof/>
                <w:webHidden/>
              </w:rPr>
              <w:fldChar w:fldCharType="separate"/>
            </w:r>
            <w:r w:rsidR="00170C88">
              <w:rPr>
                <w:noProof/>
                <w:webHidden/>
              </w:rPr>
              <w:t>5</w:t>
            </w:r>
            <w:r w:rsidR="000E029D">
              <w:rPr>
                <w:noProof/>
                <w:webHidden/>
              </w:rPr>
              <w:fldChar w:fldCharType="end"/>
            </w:r>
          </w:hyperlink>
        </w:p>
        <w:p w14:paraId="12BC9370" w14:textId="3325B151" w:rsidR="000E029D" w:rsidRDefault="00404095">
          <w:pPr>
            <w:pStyle w:val="TOC3"/>
            <w:tabs>
              <w:tab w:val="right" w:leader="dot" w:pos="9016"/>
            </w:tabs>
            <w:rPr>
              <w:rFonts w:asciiTheme="minorHAnsi" w:eastAsiaTheme="minorEastAsia" w:hAnsiTheme="minorHAnsi"/>
              <w:noProof/>
              <w:lang w:eastAsia="en-AU"/>
            </w:rPr>
          </w:pPr>
          <w:hyperlink w:anchor="_Toc481660972" w:history="1">
            <w:r w:rsidR="000E029D" w:rsidRPr="00FE545D">
              <w:rPr>
                <w:rStyle w:val="Hyperlink"/>
                <w:noProof/>
              </w:rPr>
              <w:t>State and Territory Governments are creating the enabling environment</w:t>
            </w:r>
            <w:r w:rsidR="000E029D">
              <w:rPr>
                <w:noProof/>
                <w:webHidden/>
              </w:rPr>
              <w:tab/>
            </w:r>
            <w:r w:rsidR="000E029D">
              <w:rPr>
                <w:noProof/>
                <w:webHidden/>
              </w:rPr>
              <w:fldChar w:fldCharType="begin"/>
            </w:r>
            <w:r w:rsidR="000E029D">
              <w:rPr>
                <w:noProof/>
                <w:webHidden/>
              </w:rPr>
              <w:instrText xml:space="preserve"> PAGEREF _Toc481660972 \h </w:instrText>
            </w:r>
            <w:r w:rsidR="000E029D">
              <w:rPr>
                <w:noProof/>
                <w:webHidden/>
              </w:rPr>
            </w:r>
            <w:r w:rsidR="000E029D">
              <w:rPr>
                <w:noProof/>
                <w:webHidden/>
              </w:rPr>
              <w:fldChar w:fldCharType="separate"/>
            </w:r>
            <w:r w:rsidR="00170C88">
              <w:rPr>
                <w:noProof/>
                <w:webHidden/>
              </w:rPr>
              <w:t>5</w:t>
            </w:r>
            <w:r w:rsidR="000E029D">
              <w:rPr>
                <w:noProof/>
                <w:webHidden/>
              </w:rPr>
              <w:fldChar w:fldCharType="end"/>
            </w:r>
          </w:hyperlink>
        </w:p>
        <w:p w14:paraId="6770D85F" w14:textId="48103835" w:rsidR="000E029D" w:rsidRDefault="00404095">
          <w:pPr>
            <w:pStyle w:val="TOC3"/>
            <w:tabs>
              <w:tab w:val="right" w:leader="dot" w:pos="9016"/>
            </w:tabs>
            <w:rPr>
              <w:rFonts w:asciiTheme="minorHAnsi" w:eastAsiaTheme="minorEastAsia" w:hAnsiTheme="minorHAnsi"/>
              <w:noProof/>
              <w:lang w:eastAsia="en-AU"/>
            </w:rPr>
          </w:pPr>
          <w:hyperlink w:anchor="_Toc481660973" w:history="1">
            <w:r w:rsidR="000E029D" w:rsidRPr="00FE545D">
              <w:rPr>
                <w:rStyle w:val="Hyperlink"/>
                <w:noProof/>
              </w:rPr>
              <w:t>Local Governments are providing a valuable leadership role</w:t>
            </w:r>
            <w:r w:rsidR="000E029D">
              <w:rPr>
                <w:noProof/>
                <w:webHidden/>
              </w:rPr>
              <w:tab/>
            </w:r>
            <w:r w:rsidR="000E029D">
              <w:rPr>
                <w:noProof/>
                <w:webHidden/>
              </w:rPr>
              <w:fldChar w:fldCharType="begin"/>
            </w:r>
            <w:r w:rsidR="000E029D">
              <w:rPr>
                <w:noProof/>
                <w:webHidden/>
              </w:rPr>
              <w:instrText xml:space="preserve"> PAGEREF _Toc481660973 \h </w:instrText>
            </w:r>
            <w:r w:rsidR="000E029D">
              <w:rPr>
                <w:noProof/>
                <w:webHidden/>
              </w:rPr>
            </w:r>
            <w:r w:rsidR="000E029D">
              <w:rPr>
                <w:noProof/>
                <w:webHidden/>
              </w:rPr>
              <w:fldChar w:fldCharType="separate"/>
            </w:r>
            <w:r w:rsidR="00170C88">
              <w:rPr>
                <w:noProof/>
                <w:webHidden/>
              </w:rPr>
              <w:t>5</w:t>
            </w:r>
            <w:r w:rsidR="000E029D">
              <w:rPr>
                <w:noProof/>
                <w:webHidden/>
              </w:rPr>
              <w:fldChar w:fldCharType="end"/>
            </w:r>
          </w:hyperlink>
        </w:p>
        <w:p w14:paraId="6F29A68D" w14:textId="52E6A116" w:rsidR="000E029D" w:rsidRDefault="00404095">
          <w:pPr>
            <w:pStyle w:val="TOC2"/>
            <w:tabs>
              <w:tab w:val="right" w:leader="dot" w:pos="9016"/>
            </w:tabs>
            <w:rPr>
              <w:rFonts w:asciiTheme="minorHAnsi" w:eastAsiaTheme="minorEastAsia" w:hAnsiTheme="minorHAnsi"/>
              <w:noProof/>
              <w:lang w:eastAsia="en-AU"/>
            </w:rPr>
          </w:pPr>
          <w:hyperlink w:anchor="_Toc481660974" w:history="1">
            <w:r w:rsidR="000E029D" w:rsidRPr="00FE545D">
              <w:rPr>
                <w:rStyle w:val="Hyperlink"/>
                <w:rFonts w:eastAsia="Times New Roman"/>
                <w:noProof/>
              </w:rPr>
              <w:t>Does Australia need a national strategy?</w:t>
            </w:r>
            <w:r w:rsidR="000E029D">
              <w:rPr>
                <w:noProof/>
                <w:webHidden/>
              </w:rPr>
              <w:tab/>
            </w:r>
            <w:r w:rsidR="000E029D">
              <w:rPr>
                <w:noProof/>
                <w:webHidden/>
              </w:rPr>
              <w:fldChar w:fldCharType="begin"/>
            </w:r>
            <w:r w:rsidR="000E029D">
              <w:rPr>
                <w:noProof/>
                <w:webHidden/>
              </w:rPr>
              <w:instrText xml:space="preserve"> PAGEREF _Toc481660974 \h </w:instrText>
            </w:r>
            <w:r w:rsidR="000E029D">
              <w:rPr>
                <w:noProof/>
                <w:webHidden/>
              </w:rPr>
            </w:r>
            <w:r w:rsidR="000E029D">
              <w:rPr>
                <w:noProof/>
                <w:webHidden/>
              </w:rPr>
              <w:fldChar w:fldCharType="separate"/>
            </w:r>
            <w:r w:rsidR="00170C88">
              <w:rPr>
                <w:noProof/>
                <w:webHidden/>
              </w:rPr>
              <w:t>6</w:t>
            </w:r>
            <w:r w:rsidR="000E029D">
              <w:rPr>
                <w:noProof/>
                <w:webHidden/>
              </w:rPr>
              <w:fldChar w:fldCharType="end"/>
            </w:r>
          </w:hyperlink>
        </w:p>
        <w:p w14:paraId="2BE75A99" w14:textId="5853D23B" w:rsidR="000E029D" w:rsidRDefault="00404095">
          <w:pPr>
            <w:pStyle w:val="TOC2"/>
            <w:tabs>
              <w:tab w:val="right" w:leader="dot" w:pos="9016"/>
            </w:tabs>
            <w:rPr>
              <w:rFonts w:asciiTheme="minorHAnsi" w:eastAsiaTheme="minorEastAsia" w:hAnsiTheme="minorHAnsi"/>
              <w:noProof/>
              <w:lang w:eastAsia="en-AU"/>
            </w:rPr>
          </w:pPr>
          <w:hyperlink w:anchor="_Toc481660975" w:history="1">
            <w:r w:rsidR="000E029D" w:rsidRPr="00FE545D">
              <w:rPr>
                <w:rStyle w:val="Hyperlink"/>
                <w:noProof/>
              </w:rPr>
              <w:t>Seeking your views on the need for a strategy</w:t>
            </w:r>
            <w:r w:rsidR="000E029D">
              <w:rPr>
                <w:noProof/>
                <w:webHidden/>
              </w:rPr>
              <w:tab/>
            </w:r>
            <w:r w:rsidR="000E029D">
              <w:rPr>
                <w:noProof/>
                <w:webHidden/>
              </w:rPr>
              <w:fldChar w:fldCharType="begin"/>
            </w:r>
            <w:r w:rsidR="000E029D">
              <w:rPr>
                <w:noProof/>
                <w:webHidden/>
              </w:rPr>
              <w:instrText xml:space="preserve"> PAGEREF _Toc481660975 \h </w:instrText>
            </w:r>
            <w:r w:rsidR="000E029D">
              <w:rPr>
                <w:noProof/>
                <w:webHidden/>
              </w:rPr>
            </w:r>
            <w:r w:rsidR="000E029D">
              <w:rPr>
                <w:noProof/>
                <w:webHidden/>
              </w:rPr>
              <w:fldChar w:fldCharType="separate"/>
            </w:r>
            <w:r w:rsidR="00170C88">
              <w:rPr>
                <w:noProof/>
                <w:webHidden/>
              </w:rPr>
              <w:t>7</w:t>
            </w:r>
            <w:r w:rsidR="000E029D">
              <w:rPr>
                <w:noProof/>
                <w:webHidden/>
              </w:rPr>
              <w:fldChar w:fldCharType="end"/>
            </w:r>
          </w:hyperlink>
        </w:p>
        <w:p w14:paraId="5439A0AF" w14:textId="57E205D0" w:rsidR="00402309" w:rsidRDefault="00402309" w:rsidP="00BF78CF">
          <w:r>
            <w:rPr>
              <w:b/>
              <w:bCs/>
              <w:noProof/>
            </w:rPr>
            <w:fldChar w:fldCharType="end"/>
          </w:r>
        </w:p>
      </w:sdtContent>
    </w:sdt>
    <w:p w14:paraId="593C8154" w14:textId="77777777" w:rsidR="00EA0E54" w:rsidRDefault="00B513F7">
      <w:pPr>
        <w:spacing w:before="0" w:after="160" w:line="259" w:lineRule="auto"/>
        <w:rPr>
          <w:rFonts w:eastAsia="Times New Roman"/>
        </w:rPr>
        <w:sectPr w:rsidR="00EA0E54" w:rsidSect="0016221A">
          <w:footerReference w:type="first" r:id="rId16"/>
          <w:type w:val="continuous"/>
          <w:pgSz w:w="11906" w:h="16838"/>
          <w:pgMar w:top="1440" w:right="1440" w:bottom="1440" w:left="1440" w:header="708" w:footer="708" w:gutter="0"/>
          <w:pgNumType w:start="0"/>
          <w:cols w:space="708"/>
          <w:docGrid w:linePitch="360"/>
        </w:sectPr>
      </w:pPr>
      <w:bookmarkStart w:id="3" w:name="_Toc478985673"/>
      <w:bookmarkStart w:id="4" w:name="_Toc478985775"/>
      <w:bookmarkStart w:id="5" w:name="_Toc478985674"/>
      <w:bookmarkStart w:id="6" w:name="_Toc478985776"/>
      <w:bookmarkStart w:id="7" w:name="_Toc478985675"/>
      <w:bookmarkStart w:id="8" w:name="_Toc478985777"/>
      <w:bookmarkStart w:id="9" w:name="_Toc478985676"/>
      <w:bookmarkStart w:id="10" w:name="_Toc478985778"/>
      <w:bookmarkStart w:id="11" w:name="_Toc478985677"/>
      <w:bookmarkStart w:id="12" w:name="_Toc478985779"/>
      <w:bookmarkStart w:id="13" w:name="_Toc478985678"/>
      <w:bookmarkStart w:id="14" w:name="_Toc478985780"/>
      <w:bookmarkStart w:id="15" w:name="_Toc478985679"/>
      <w:bookmarkStart w:id="16" w:name="_Toc478985781"/>
      <w:bookmarkStart w:id="17" w:name="_Toc478985680"/>
      <w:bookmarkStart w:id="18" w:name="_Toc478985782"/>
      <w:bookmarkStart w:id="19" w:name="_Toc47907460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
      <w:bookmarkEnd w:id="1"/>
      <w:r>
        <w:rPr>
          <w:rFonts w:eastAsia="Times New Roman"/>
        </w:rPr>
        <w:br w:type="page"/>
      </w:r>
    </w:p>
    <w:p w14:paraId="36CBDF97" w14:textId="1AC8E07C" w:rsidR="00917358" w:rsidRDefault="009251FD" w:rsidP="009427FE">
      <w:pPr>
        <w:pStyle w:val="Heading2"/>
        <w:rPr>
          <w:rFonts w:eastAsia="Times New Roman"/>
        </w:rPr>
      </w:pPr>
      <w:bookmarkStart w:id="20" w:name="_Toc481660830"/>
      <w:bookmarkStart w:id="21" w:name="_Toc481660963"/>
      <w:r>
        <w:rPr>
          <w:rFonts w:eastAsia="Times New Roman"/>
        </w:rPr>
        <w:lastRenderedPageBreak/>
        <w:t>Consultation on the need for a National University Precincts Strategy</w:t>
      </w:r>
      <w:bookmarkEnd w:id="19"/>
      <w:bookmarkEnd w:id="20"/>
      <w:bookmarkEnd w:id="21"/>
    </w:p>
    <w:p w14:paraId="5F14DAAA" w14:textId="21AFC414" w:rsidR="009439BE" w:rsidRDefault="009439BE" w:rsidP="00EB5811">
      <w:pPr>
        <w:rPr>
          <w:lang w:val="en-US"/>
        </w:rPr>
      </w:pPr>
      <w:r w:rsidRPr="004C62C5">
        <w:rPr>
          <w:lang w:val="en-US"/>
        </w:rPr>
        <w:t>The purpose of this paper is to guide discussion and seek views on whether there is a need for a national</w:t>
      </w:r>
      <w:r w:rsidR="006D6033">
        <w:rPr>
          <w:lang w:val="en-US"/>
        </w:rPr>
        <w:t xml:space="preserve"> university precincts strategy.</w:t>
      </w:r>
      <w:r w:rsidR="00BC384B">
        <w:rPr>
          <w:lang w:val="en-US"/>
        </w:rPr>
        <w:t xml:space="preserve"> If there is a need for a </w:t>
      </w:r>
      <w:r w:rsidR="00D02735">
        <w:rPr>
          <w:lang w:val="en-US"/>
        </w:rPr>
        <w:t xml:space="preserve">national </w:t>
      </w:r>
      <w:r w:rsidR="00BC384B">
        <w:rPr>
          <w:lang w:val="en-US"/>
        </w:rPr>
        <w:t>strategy, we are seeking views on what a strategy would include and how would it operate</w:t>
      </w:r>
      <w:r w:rsidR="00D02735">
        <w:rPr>
          <w:lang w:val="en-US"/>
        </w:rPr>
        <w:t xml:space="preserve">. The aim would be to drive </w:t>
      </w:r>
      <w:r w:rsidR="00D02735">
        <w:t>higher levels of innovation, collaboration between businesses and research communities, business growth, and economic growth</w:t>
      </w:r>
      <w:r w:rsidR="00BC384B">
        <w:rPr>
          <w:lang w:val="en-US"/>
        </w:rPr>
        <w:t xml:space="preserve">. </w:t>
      </w:r>
    </w:p>
    <w:p w14:paraId="3F97128F" w14:textId="68A2D307" w:rsidR="00D02735" w:rsidRPr="00EB5811" w:rsidRDefault="00D02735" w:rsidP="00EB5811">
      <w:r>
        <w:rPr>
          <w:lang w:val="en-US"/>
        </w:rPr>
        <w:t xml:space="preserve">This consultation forms a targeted element of </w:t>
      </w:r>
      <w:hyperlink r:id="rId17" w:history="1">
        <w:r w:rsidRPr="00D02735">
          <w:rPr>
            <w:rStyle w:val="Hyperlink"/>
            <w:lang w:val="en-US"/>
          </w:rPr>
          <w:t>Innovation</w:t>
        </w:r>
        <w:r w:rsidR="00460F44">
          <w:rPr>
            <w:rStyle w:val="Hyperlink"/>
            <w:lang w:val="en-US"/>
          </w:rPr>
          <w:t xml:space="preserve"> and</w:t>
        </w:r>
        <w:r w:rsidRPr="00D02735">
          <w:rPr>
            <w:rStyle w:val="Hyperlink"/>
            <w:lang w:val="en-US"/>
          </w:rPr>
          <w:t xml:space="preserve"> Science Australia’s</w:t>
        </w:r>
      </w:hyperlink>
      <w:r>
        <w:rPr>
          <w:lang w:val="en-US"/>
        </w:rPr>
        <w:t xml:space="preserve"> work in developing a</w:t>
      </w:r>
      <w:r w:rsidRPr="00D02735">
        <w:rPr>
          <w:lang w:val="en-US"/>
        </w:rPr>
        <w:t xml:space="preserve"> 2030 </w:t>
      </w:r>
      <w:r>
        <w:rPr>
          <w:lang w:val="en-US"/>
        </w:rPr>
        <w:t>strategic p</w:t>
      </w:r>
      <w:r w:rsidRPr="00D02735">
        <w:rPr>
          <w:lang w:val="en-US"/>
        </w:rPr>
        <w:t>lan</w:t>
      </w:r>
      <w:r>
        <w:rPr>
          <w:lang w:val="en-US"/>
        </w:rPr>
        <w:t xml:space="preserve"> for Australia’s</w:t>
      </w:r>
      <w:r w:rsidRPr="00D02735">
        <w:rPr>
          <w:lang w:val="en-US"/>
        </w:rPr>
        <w:t xml:space="preserve"> innovation, science and research system</w:t>
      </w:r>
      <w:r>
        <w:rPr>
          <w:lang w:val="en-US"/>
        </w:rPr>
        <w:t xml:space="preserve">. </w:t>
      </w:r>
    </w:p>
    <w:p w14:paraId="1562E9FA" w14:textId="147EE6D6" w:rsidR="00097F69" w:rsidRDefault="001771B2" w:rsidP="007E35D6">
      <w:pPr>
        <w:pStyle w:val="Heading2"/>
      </w:pPr>
      <w:bookmarkStart w:id="22" w:name="_Toc479074605"/>
      <w:bookmarkStart w:id="23" w:name="_Toc481660831"/>
      <w:bookmarkStart w:id="24" w:name="_Toc481660964"/>
      <w:r>
        <w:t>Greater collaboration supports economic growth</w:t>
      </w:r>
      <w:bookmarkEnd w:id="22"/>
      <w:bookmarkEnd w:id="23"/>
      <w:bookmarkEnd w:id="24"/>
    </w:p>
    <w:p w14:paraId="5EAF7335" w14:textId="74241BB1" w:rsidR="00C95AE9" w:rsidRDefault="00E76A18" w:rsidP="008747DC">
      <w:r>
        <w:t>T</w:t>
      </w:r>
      <w:r w:rsidR="008F2E4F">
        <w:t xml:space="preserve">he OECD estimates that as much as 50 per cent of economic growth in </w:t>
      </w:r>
      <w:r w:rsidR="00DF650A">
        <w:t xml:space="preserve">developed </w:t>
      </w:r>
      <w:r w:rsidR="008F2E4F">
        <w:t>countries can be accounted for by innovation activity, and that this contribution will grow.</w:t>
      </w:r>
      <w:r w:rsidR="008F2E4F">
        <w:rPr>
          <w:rStyle w:val="FootnoteReference"/>
        </w:rPr>
        <w:footnoteReference w:id="2"/>
      </w:r>
      <w:r w:rsidR="008F2E4F">
        <w:rPr>
          <w:vertAlign w:val="superscript"/>
        </w:rPr>
        <w:t xml:space="preserve"> </w:t>
      </w:r>
    </w:p>
    <w:p w14:paraId="1AB3E196" w14:textId="18B43BD2" w:rsidR="00956A67" w:rsidRDefault="00C95AE9" w:rsidP="008747DC">
      <w:r>
        <w:t xml:space="preserve">Australia has </w:t>
      </w:r>
      <w:r w:rsidR="000D50F7">
        <w:t xml:space="preserve">internationally competitive industries and </w:t>
      </w:r>
      <w:r>
        <w:t xml:space="preserve">strong scientific capability. Our universities and research institutions generate world leading research and knowledge and are underpinned by significant public investment. </w:t>
      </w:r>
      <w:r w:rsidR="00956A67">
        <w:t>Given the</w:t>
      </w:r>
      <w:r w:rsidR="000D50F7">
        <w:t>se</w:t>
      </w:r>
      <w:r w:rsidR="00956A67">
        <w:t xml:space="preserve"> strength</w:t>
      </w:r>
      <w:r w:rsidR="000D50F7">
        <w:t>s</w:t>
      </w:r>
      <w:r w:rsidR="00BC384B">
        <w:t xml:space="preserve"> and noting the findings of the ‘</w:t>
      </w:r>
      <w:hyperlink r:id="rId18" w:history="1">
        <w:r w:rsidR="00BC384B" w:rsidRPr="00BC384B">
          <w:rPr>
            <w:rStyle w:val="Hyperlink"/>
          </w:rPr>
          <w:t>Performance Review of the Australian Innovation, Science and Research System 2016</w:t>
        </w:r>
      </w:hyperlink>
      <w:r w:rsidR="00BC384B">
        <w:t>’</w:t>
      </w:r>
      <w:r w:rsidR="00956A67">
        <w:t xml:space="preserve">, there are significant opportunities for Australia to </w:t>
      </w:r>
      <w:r w:rsidR="000D50F7">
        <w:t xml:space="preserve">better </w:t>
      </w:r>
      <w:r w:rsidR="009439BE">
        <w:t xml:space="preserve">link industry </w:t>
      </w:r>
      <w:r w:rsidR="00460F44">
        <w:t>with</w:t>
      </w:r>
      <w:r w:rsidR="00F15D03">
        <w:t xml:space="preserve"> </w:t>
      </w:r>
      <w:r w:rsidR="009439BE">
        <w:t>research</w:t>
      </w:r>
      <w:r w:rsidR="00956A67">
        <w:t xml:space="preserve"> </w:t>
      </w:r>
      <w:r w:rsidR="00460F44">
        <w:t xml:space="preserve">and </w:t>
      </w:r>
      <w:r w:rsidR="00956A67">
        <w:t>translat</w:t>
      </w:r>
      <w:r w:rsidR="000D50F7">
        <w:t>e</w:t>
      </w:r>
      <w:r w:rsidR="00956A67">
        <w:t xml:space="preserve"> research and knowledge production to commercial outcomes</w:t>
      </w:r>
      <w:r w:rsidR="00E3184B">
        <w:t xml:space="preserve"> and increase the levels of innovation</w:t>
      </w:r>
      <w:r w:rsidR="00956A67">
        <w:t>. There are many areas where this is already being done successfully</w:t>
      </w:r>
      <w:r w:rsidR="00BC384B">
        <w:t xml:space="preserve"> and these collaborative endeavours can be built upon. </w:t>
      </w:r>
    </w:p>
    <w:p w14:paraId="50D233FF" w14:textId="47800DB3" w:rsidR="00097F69" w:rsidRDefault="001771B2" w:rsidP="00DF170B">
      <w:pPr>
        <w:pStyle w:val="Heading2"/>
      </w:pPr>
      <w:bookmarkStart w:id="25" w:name="_Toc479074606"/>
      <w:bookmarkStart w:id="26" w:name="_Toc481660832"/>
      <w:bookmarkStart w:id="27" w:name="_Toc481660965"/>
      <w:r>
        <w:t xml:space="preserve">Stronger industry-university engagement </w:t>
      </w:r>
      <w:r w:rsidR="009251FD">
        <w:t>will</w:t>
      </w:r>
      <w:r>
        <w:t xml:space="preserve"> increase collaboration</w:t>
      </w:r>
      <w:bookmarkEnd w:id="25"/>
      <w:bookmarkEnd w:id="26"/>
      <w:bookmarkEnd w:id="27"/>
    </w:p>
    <w:p w14:paraId="17D70348" w14:textId="7739E2C0" w:rsidR="00402239" w:rsidRDefault="00402239" w:rsidP="00402239">
      <w:pPr>
        <w:rPr>
          <w:rFonts w:asciiTheme="minorHAnsi" w:hAnsiTheme="minorHAnsi"/>
        </w:rPr>
      </w:pPr>
      <w:r>
        <w:t>Evidence on university precincts both domestically and internationally shows that they</w:t>
      </w:r>
      <w:r w:rsidR="004935EF">
        <w:t xml:space="preserve"> can</w:t>
      </w:r>
      <w:r>
        <w:t xml:space="preserve"> create higher levels of innovation, collaboration between businesses and research communities, business growth, and economic growth.</w:t>
      </w:r>
      <w:r w:rsidR="00CE1883">
        <w:t xml:space="preserve"> </w:t>
      </w:r>
    </w:p>
    <w:p w14:paraId="04FBB41B" w14:textId="01BB0723" w:rsidR="003A561D" w:rsidRDefault="00E32002" w:rsidP="00402239">
      <w:r w:rsidRPr="00103445">
        <w:t xml:space="preserve">There </w:t>
      </w:r>
      <w:r>
        <w:t>is</w:t>
      </w:r>
      <w:r w:rsidRPr="00103445">
        <w:t xml:space="preserve"> significant activity underway to facilitate collaboration </w:t>
      </w:r>
      <w:r>
        <w:t>at the Commonwealth and state/territory level. At the Commonwealth level this includes</w:t>
      </w:r>
      <w:r w:rsidRPr="00103445">
        <w:t xml:space="preserve"> the </w:t>
      </w:r>
      <w:hyperlink r:id="rId19" w:history="1">
        <w:r w:rsidRPr="00BD2802">
          <w:rPr>
            <w:rStyle w:val="Hyperlink"/>
          </w:rPr>
          <w:t>Industry Growth Centres Initiative</w:t>
        </w:r>
      </w:hyperlink>
      <w:r w:rsidRPr="00E32002">
        <w:t xml:space="preserve">, </w:t>
      </w:r>
      <w:hyperlink r:id="rId20" w:history="1">
        <w:r w:rsidR="009E282A">
          <w:rPr>
            <w:rStyle w:val="Hyperlink"/>
          </w:rPr>
          <w:t>Entrepreneurs Programme</w:t>
        </w:r>
      </w:hyperlink>
      <w:r w:rsidR="007E6BB0">
        <w:rPr>
          <w:rStyle w:val="Hyperlink"/>
        </w:rPr>
        <w:t xml:space="preserve">, </w:t>
      </w:r>
      <w:r w:rsidR="00FE7CB5" w:rsidRPr="00103445">
        <w:t xml:space="preserve">the </w:t>
      </w:r>
      <w:hyperlink r:id="rId21" w:history="1">
        <w:r w:rsidR="007E6BB0" w:rsidRPr="00FE7CB5">
          <w:rPr>
            <w:rStyle w:val="Hyperlink"/>
          </w:rPr>
          <w:t>Australian Research Council (ARC) Industrial Transformation Research Program (ITRP</w:t>
        </w:r>
      </w:hyperlink>
      <w:r w:rsidR="007E6BB0" w:rsidRPr="007E6BB0">
        <w:rPr>
          <w:rStyle w:val="Hyperlink"/>
        </w:rPr>
        <w:t>)</w:t>
      </w:r>
      <w:r w:rsidR="007E6BB0">
        <w:rPr>
          <w:rStyle w:val="Hyperlink"/>
        </w:rPr>
        <w:t>,</w:t>
      </w:r>
      <w:r w:rsidRPr="00E32002">
        <w:t xml:space="preserve"> and the </w:t>
      </w:r>
      <w:hyperlink r:id="rId22" w:history="1">
        <w:r w:rsidRPr="00C3543E">
          <w:rPr>
            <w:rStyle w:val="Hyperlink"/>
          </w:rPr>
          <w:t>Cooperative Research Centres Program</w:t>
        </w:r>
      </w:hyperlink>
      <w:r>
        <w:t>.</w:t>
      </w:r>
      <w:r w:rsidR="009439BE">
        <w:t xml:space="preserve"> </w:t>
      </w:r>
    </w:p>
    <w:p w14:paraId="215ADB7E" w14:textId="1F1D1125" w:rsidR="00402239" w:rsidRDefault="00013E69" w:rsidP="00402239">
      <w:r>
        <w:t>U</w:t>
      </w:r>
      <w:r w:rsidR="003A561D">
        <w:t>niversit</w:t>
      </w:r>
      <w:r>
        <w:t xml:space="preserve">ies have indicated that they are undertaking significant </w:t>
      </w:r>
      <w:r w:rsidR="00121E0D">
        <w:t>activity</w:t>
      </w:r>
      <w:r w:rsidR="003A561D">
        <w:t xml:space="preserve"> </w:t>
      </w:r>
      <w:r w:rsidR="00402239">
        <w:t>to increase interaction with business</w:t>
      </w:r>
      <w:r w:rsidR="009439BE">
        <w:t>.</w:t>
      </w:r>
    </w:p>
    <w:p w14:paraId="35A32932" w14:textId="772A3FAE" w:rsidR="00402239" w:rsidRDefault="00402239" w:rsidP="00402239">
      <w:r>
        <w:t xml:space="preserve">The Government has established an advisory committee to provide advice on whether a national </w:t>
      </w:r>
      <w:r w:rsidR="00097F69">
        <w:t xml:space="preserve">university precincts </w:t>
      </w:r>
      <w:r>
        <w:t>strategy is needed and if so, what, if any, Government involvement might be</w:t>
      </w:r>
      <w:r w:rsidR="004935EF">
        <w:t xml:space="preserve"> required</w:t>
      </w:r>
      <w:r>
        <w:t>.</w:t>
      </w:r>
      <w:r w:rsidR="00EC0DD1">
        <w:t xml:space="preserve"> </w:t>
      </w:r>
      <w:r w:rsidR="005F1A27">
        <w:t>A</w:t>
      </w:r>
      <w:r w:rsidR="00EC0DD1">
        <w:t xml:space="preserve"> strategy could</w:t>
      </w:r>
      <w:r w:rsidR="005F1A27">
        <w:t xml:space="preserve"> potentially </w:t>
      </w:r>
      <w:r w:rsidR="00EC0DD1">
        <w:t xml:space="preserve">assist with bringing </w:t>
      </w:r>
      <w:r w:rsidR="00516994">
        <w:t xml:space="preserve">people </w:t>
      </w:r>
      <w:r w:rsidR="00D96965">
        <w:t xml:space="preserve">together </w:t>
      </w:r>
      <w:r w:rsidR="00516994">
        <w:t>to discuss good practice in precinct development and to build</w:t>
      </w:r>
      <w:r w:rsidR="00EC0DD1">
        <w:t xml:space="preserve"> stronger </w:t>
      </w:r>
      <w:r w:rsidR="005F1A27">
        <w:t xml:space="preserve">industry and university </w:t>
      </w:r>
      <w:r w:rsidR="00EC0DD1">
        <w:t>networks</w:t>
      </w:r>
      <w:r w:rsidR="0087018C">
        <w:t>,</w:t>
      </w:r>
      <w:r w:rsidR="00FC37CF">
        <w:t xml:space="preserve"> locally, nationally and internationally</w:t>
      </w:r>
      <w:r w:rsidR="005F1A27">
        <w:t xml:space="preserve">. Existing Growth Centres could, in their role as a national network for collaboration, take a key role in linking precincts and </w:t>
      </w:r>
      <w:r w:rsidR="005F1A27" w:rsidRPr="00EC44AE">
        <w:t>connecting industry to research and technical expertise to solve challenges.</w:t>
      </w:r>
    </w:p>
    <w:p w14:paraId="4F703463" w14:textId="41C66F6B" w:rsidR="00402239" w:rsidRDefault="00402239" w:rsidP="00402239">
      <w:r>
        <w:lastRenderedPageBreak/>
        <w:t>The</w:t>
      </w:r>
      <w:r w:rsidR="00E76A18">
        <w:t xml:space="preserve"> </w:t>
      </w:r>
      <w:r w:rsidR="00E76A18" w:rsidRPr="009E282A">
        <w:t>University Precincts</w:t>
      </w:r>
      <w:r w:rsidRPr="009E282A">
        <w:t xml:space="preserve"> Advisory Committee</w:t>
      </w:r>
      <w:r>
        <w:t xml:space="preserve"> is chaired by Dr Charles Day (CEO, </w:t>
      </w:r>
      <w:hyperlink r:id="rId23" w:history="1">
        <w:r w:rsidRPr="001E62A2">
          <w:rPr>
            <w:rStyle w:val="Hyperlink"/>
          </w:rPr>
          <w:t>Office of Innovation and Science Australia</w:t>
        </w:r>
      </w:hyperlink>
      <w:r>
        <w:t xml:space="preserve">) and </w:t>
      </w:r>
      <w:r w:rsidR="00FF454B">
        <w:t>includes</w:t>
      </w:r>
      <w:r>
        <w:t xml:space="preserve"> representatives from universities and industry</w:t>
      </w:r>
      <w:r w:rsidR="00E76A18">
        <w:t xml:space="preserve">. </w:t>
      </w:r>
      <w:r>
        <w:t>The Advisory Committee is expected to advi</w:t>
      </w:r>
      <w:r w:rsidR="003A561D">
        <w:t>s</w:t>
      </w:r>
      <w:r>
        <w:t xml:space="preserve">e </w:t>
      </w:r>
      <w:r w:rsidR="003A561D">
        <w:t xml:space="preserve">the </w:t>
      </w:r>
      <w:r>
        <w:t>Government late in 2017.</w:t>
      </w:r>
    </w:p>
    <w:p w14:paraId="1E968FE9" w14:textId="77777777" w:rsidR="00402239" w:rsidRDefault="00402239" w:rsidP="00402239">
      <w:r>
        <w:t xml:space="preserve">Throughout the year, the Committee’s advice will be informed by: </w:t>
      </w:r>
    </w:p>
    <w:p w14:paraId="111B9E3C" w14:textId="77777777" w:rsidR="00402239" w:rsidRPr="006D6033" w:rsidRDefault="00402239" w:rsidP="006D6033">
      <w:pPr>
        <w:pStyle w:val="ListParagraph"/>
      </w:pPr>
      <w:r w:rsidRPr="006D6033">
        <w:t>A stocktake of existing and planned precinct activities;</w:t>
      </w:r>
    </w:p>
    <w:p w14:paraId="6B922D4D" w14:textId="77777777" w:rsidR="00402239" w:rsidRPr="006D6033" w:rsidRDefault="00402239" w:rsidP="006D6033">
      <w:pPr>
        <w:pStyle w:val="ListParagraph"/>
      </w:pPr>
      <w:r w:rsidRPr="006D6033">
        <w:t xml:space="preserve">Understanding the role of existing Commonwealth state, and local government measures in supporting precinct formation and growth; </w:t>
      </w:r>
    </w:p>
    <w:p w14:paraId="61E0C414" w14:textId="07268938" w:rsidR="00402239" w:rsidRPr="006D6033" w:rsidRDefault="00402239" w:rsidP="006D6033">
      <w:pPr>
        <w:pStyle w:val="ListParagraph"/>
      </w:pPr>
      <w:r w:rsidRPr="006D6033">
        <w:t>International and domestic case studies</w:t>
      </w:r>
      <w:r w:rsidR="007204E1">
        <w:t xml:space="preserve"> of</w:t>
      </w:r>
      <w:r w:rsidRPr="006D6033">
        <w:t xml:space="preserve"> exemplar clusters.</w:t>
      </w:r>
    </w:p>
    <w:p w14:paraId="7BC253E7" w14:textId="50706CF8" w:rsidR="00E32002" w:rsidRDefault="001771B2" w:rsidP="001771B2">
      <w:pPr>
        <w:pStyle w:val="Heading2"/>
        <w:rPr>
          <w:rFonts w:eastAsia="Times New Roman"/>
        </w:rPr>
      </w:pPr>
      <w:bookmarkStart w:id="28" w:name="_Toc479074607"/>
      <w:bookmarkStart w:id="29" w:name="_Toc481660833"/>
      <w:bookmarkStart w:id="30" w:name="_Toc481660966"/>
      <w:r>
        <w:rPr>
          <w:rFonts w:eastAsia="Times New Roman"/>
        </w:rPr>
        <w:t xml:space="preserve">Precincts, Districts and Technology Parks </w:t>
      </w:r>
      <w:r w:rsidR="009251FD">
        <w:rPr>
          <w:rFonts w:eastAsia="Times New Roman"/>
        </w:rPr>
        <w:t>facilitate collaboration</w:t>
      </w:r>
      <w:bookmarkEnd w:id="28"/>
      <w:bookmarkEnd w:id="29"/>
      <w:bookmarkEnd w:id="30"/>
    </w:p>
    <w:p w14:paraId="49F5FB1A" w14:textId="1ED7514A" w:rsidR="00121E0D" w:rsidRDefault="00E74353" w:rsidP="006D6033">
      <w:r>
        <w:t>The terms “Innovation Precincts”, “Innovation Districts”, and “Technology Parks” are used in various contexts to describe forms of geographic clustering of knowledge-based activity. Whilst it is almost impossible to define a single typology, common features typically</w:t>
      </w:r>
      <w:r w:rsidR="00121E0D">
        <w:t xml:space="preserve"> fall under three sets of criteria:</w:t>
      </w:r>
      <w:r>
        <w:t xml:space="preserve"> </w:t>
      </w:r>
    </w:p>
    <w:p w14:paraId="29A136D3" w14:textId="42D2FC90" w:rsidR="00121E0D" w:rsidRDefault="007204E1" w:rsidP="00C41719">
      <w:pPr>
        <w:pStyle w:val="ListParagraph"/>
        <w:numPr>
          <w:ilvl w:val="0"/>
          <w:numId w:val="69"/>
        </w:numPr>
      </w:pPr>
      <w:r>
        <w:t>A</w:t>
      </w:r>
      <w:r w:rsidR="00E74353">
        <w:t xml:space="preserve"> widely understood geographic extent (even though boundaries are often fuzzy), </w:t>
      </w:r>
    </w:p>
    <w:p w14:paraId="0D306F02" w14:textId="69E2397F" w:rsidR="00121E0D" w:rsidRDefault="007204E1" w:rsidP="00C41719">
      <w:pPr>
        <w:pStyle w:val="ListParagraph"/>
        <w:numPr>
          <w:ilvl w:val="0"/>
          <w:numId w:val="69"/>
        </w:numPr>
      </w:pPr>
      <w:r>
        <w:t>A</w:t>
      </w:r>
      <w:r w:rsidR="00E74353">
        <w:t xml:space="preserve"> shared sense of identity amongst those involved, and </w:t>
      </w:r>
    </w:p>
    <w:p w14:paraId="4B79FB8B" w14:textId="58AE4C54" w:rsidR="00121E0D" w:rsidRDefault="007204E1" w:rsidP="00C41719">
      <w:pPr>
        <w:pStyle w:val="ListParagraph"/>
        <w:numPr>
          <w:ilvl w:val="0"/>
          <w:numId w:val="69"/>
        </w:numPr>
      </w:pPr>
      <w:r>
        <w:t>A</w:t>
      </w:r>
      <w:r w:rsidR="00E74353">
        <w:t xml:space="preserve"> strong set of formal and informal networks </w:t>
      </w:r>
      <w:r w:rsidR="002115CF">
        <w:t xml:space="preserve">and partnerships </w:t>
      </w:r>
      <w:r w:rsidR="00E74353">
        <w:t xml:space="preserve">between </w:t>
      </w:r>
      <w:r w:rsidR="002115CF">
        <w:t>people</w:t>
      </w:r>
      <w:r w:rsidR="00534BDB">
        <w:t xml:space="preserve"> and business, research, education and training and government</w:t>
      </w:r>
      <w:r w:rsidR="00E74353">
        <w:t>.</w:t>
      </w:r>
    </w:p>
    <w:p w14:paraId="64594953" w14:textId="1DF6CD93" w:rsidR="0001358E" w:rsidRDefault="00E74353" w:rsidP="007A71A1">
      <w:r>
        <w:t xml:space="preserve">For the purposes of this paper, </w:t>
      </w:r>
      <w:r w:rsidR="00CC3822">
        <w:t>we will use the single term “precincts” to encompass all</w:t>
      </w:r>
      <w:r w:rsidR="00121E0D">
        <w:t xml:space="preserve"> of</w:t>
      </w:r>
      <w:r w:rsidR="00CC3822">
        <w:t xml:space="preserve"> these variations. We further note </w:t>
      </w:r>
      <w:r w:rsidR="00121E0D">
        <w:t xml:space="preserve">that </w:t>
      </w:r>
      <w:r w:rsidR="00CC3822">
        <w:t xml:space="preserve">our interpretation </w:t>
      </w:r>
      <w:r w:rsidR="00121E0D">
        <w:t xml:space="preserve">of </w:t>
      </w:r>
      <w:r w:rsidR="00CC3822">
        <w:t xml:space="preserve">the term “University Precinct” implies a significant role for a </w:t>
      </w:r>
      <w:r w:rsidR="00086CEC">
        <w:t>u</w:t>
      </w:r>
      <w:r w:rsidR="00CC3822">
        <w:t xml:space="preserve">niversity in the </w:t>
      </w:r>
      <w:r w:rsidR="00DC5EF6">
        <w:t xml:space="preserve">economic activity of the local region and </w:t>
      </w:r>
      <w:r w:rsidR="00CC3822">
        <w:t xml:space="preserve">life of the precinct, rather than necessarily indicating that the precinct is geographically centred on a </w:t>
      </w:r>
      <w:r w:rsidR="00121E0D">
        <w:t>u</w:t>
      </w:r>
      <w:r w:rsidR="00CC3822">
        <w:t>niversity campus.</w:t>
      </w:r>
    </w:p>
    <w:p w14:paraId="3D435237" w14:textId="4DA6D937" w:rsidR="008448B2" w:rsidRPr="007204E1" w:rsidRDefault="00E74353" w:rsidP="006D6033">
      <w:r>
        <w:t xml:space="preserve">From an economic perspective, the key driver </w:t>
      </w:r>
      <w:r w:rsidR="00121E0D">
        <w:t>in the</w:t>
      </w:r>
      <w:r>
        <w:t xml:space="preserve"> formation of </w:t>
      </w:r>
      <w:r w:rsidR="00121E0D">
        <w:t xml:space="preserve">precincts </w:t>
      </w:r>
      <w:r>
        <w:t xml:space="preserve">is </w:t>
      </w:r>
      <w:r w:rsidR="00040F85">
        <w:t xml:space="preserve">that </w:t>
      </w:r>
      <w:r w:rsidR="00534BDB">
        <w:t xml:space="preserve">entrepreneurs, </w:t>
      </w:r>
      <w:r w:rsidR="00040F85">
        <w:t>firms and researchers benefit</w:t>
      </w:r>
      <w:r w:rsidR="00040F85" w:rsidRPr="00040F85">
        <w:t xml:space="preserve"> </w:t>
      </w:r>
      <w:r w:rsidR="00040F85">
        <w:t xml:space="preserve">from locating near each other (often </w:t>
      </w:r>
      <w:r w:rsidR="007204E1">
        <w:t>described by</w:t>
      </w:r>
      <w:r w:rsidR="00040F85">
        <w:t xml:space="preserve"> ‘agglomeration economics’ linked to</w:t>
      </w:r>
      <w:r w:rsidR="00040F85" w:rsidRPr="00040F85">
        <w:t xml:space="preserve"> the idea of economies of scale and network effects</w:t>
      </w:r>
      <w:r w:rsidR="00040F85">
        <w:t>)</w:t>
      </w:r>
      <w:r>
        <w:t xml:space="preserve">, which </w:t>
      </w:r>
      <w:r w:rsidR="00CC3822">
        <w:t>is an extensively-studied phenomenon</w:t>
      </w:r>
      <w:r>
        <w:t xml:space="preserve"> in the </w:t>
      </w:r>
      <w:r w:rsidR="007204E1">
        <w:t xml:space="preserve">economic development </w:t>
      </w:r>
      <w:r>
        <w:t xml:space="preserve">literature. </w:t>
      </w:r>
      <w:r w:rsidR="007204E1">
        <w:t>From this angle, p</w:t>
      </w:r>
      <w:r w:rsidR="008448B2">
        <w:t xml:space="preserve">recincts are </w:t>
      </w:r>
      <w:r w:rsidR="008448B2" w:rsidRPr="00400C02">
        <w:t xml:space="preserve">agglomerations of </w:t>
      </w:r>
      <w:r w:rsidR="00534BDB">
        <w:t xml:space="preserve">entrepreneurs, </w:t>
      </w:r>
      <w:r w:rsidR="008448B2" w:rsidRPr="00400C02">
        <w:t xml:space="preserve">jobs, capital and innovation that stimulate new and higher levels of connectivity, idea sharing, collaboration, and innovation, which </w:t>
      </w:r>
      <w:r w:rsidR="007204E1" w:rsidRPr="00C41719">
        <w:t>produces</w:t>
      </w:r>
      <w:r w:rsidR="008448B2" w:rsidRPr="00C41719">
        <w:t xml:space="preserve"> benefits for the broader economy. </w:t>
      </w:r>
    </w:p>
    <w:p w14:paraId="297B3B59" w14:textId="35E0A991" w:rsidR="00E74353" w:rsidRDefault="00CC3822" w:rsidP="006D6033">
      <w:r>
        <w:t>For the national innovation system, precincts offer a fertile environment for the emergence of high-growth firms, as well as a highly-networked environment in which</w:t>
      </w:r>
      <w:r w:rsidR="00430C24">
        <w:t xml:space="preserve"> </w:t>
      </w:r>
      <w:r w:rsidR="002115CF">
        <w:t>people can collaborate and build partnerships across</w:t>
      </w:r>
      <w:r w:rsidR="006E47D0">
        <w:t xml:space="preserve"> industry</w:t>
      </w:r>
      <w:r w:rsidR="002115CF">
        <w:t xml:space="preserve">, </w:t>
      </w:r>
      <w:r w:rsidR="006E47D0">
        <w:t>universities</w:t>
      </w:r>
      <w:r w:rsidR="002115CF">
        <w:t xml:space="preserve"> and the community</w:t>
      </w:r>
      <w:r>
        <w:t>. These are key priorities for the further development of Australia’s Innovation System, which is currently the subject of a strategy development process by Innovation and Science Australia.</w:t>
      </w:r>
    </w:p>
    <w:p w14:paraId="41CB19DE" w14:textId="14E7F79D" w:rsidR="00A360EE" w:rsidRDefault="00A360EE" w:rsidP="006D6033">
      <w:r w:rsidRPr="009153DE">
        <w:t>University and Innovation Precincts, Innovation Districts and Technology Parks</w:t>
      </w:r>
      <w:r>
        <w:t xml:space="preserve"> have</w:t>
      </w:r>
      <w:r w:rsidR="007F5517">
        <w:t xml:space="preserve"> already</w:t>
      </w:r>
      <w:r>
        <w:t xml:space="preserve"> formed across Australia. Of late, a greater emphasis has been </w:t>
      </w:r>
      <w:r w:rsidR="002115CF">
        <w:t xml:space="preserve">put on place and </w:t>
      </w:r>
      <w:r>
        <w:t xml:space="preserve">on the amenity of precincts for </w:t>
      </w:r>
      <w:r w:rsidR="00534BDB">
        <w:t xml:space="preserve">entrepreneurs, </w:t>
      </w:r>
      <w:r>
        <w:t>the workforce and residents, as well as how to best leverage regional strengths and assets to drive linkages between participants. Brookings describes this in its ‘Rise of Innovation Districts’.</w:t>
      </w:r>
      <w:r>
        <w:rPr>
          <w:rStyle w:val="FootnoteReference"/>
        </w:rPr>
        <w:footnoteReference w:id="3"/>
      </w:r>
      <w:r w:rsidR="00CC3822">
        <w:t xml:space="preserve"> In international terms, the emphasis on </w:t>
      </w:r>
      <w:r w:rsidR="00CC3822">
        <w:lastRenderedPageBreak/>
        <w:t>amenity should play to Australia’s strengths, given that many of its cities rank highly on international metrics of liveability.</w:t>
      </w:r>
    </w:p>
    <w:p w14:paraId="3624E10C" w14:textId="530D7980" w:rsidR="005D146D" w:rsidRPr="009153DE" w:rsidRDefault="001B1771" w:rsidP="006D6033">
      <w:r>
        <w:t xml:space="preserve">Precincts have formed in inner city, suburban and regional settings. </w:t>
      </w:r>
      <w:r w:rsidR="001420A6">
        <w:t>While e</w:t>
      </w:r>
      <w:r w:rsidR="002115CF">
        <w:t xml:space="preserve">ach precinct is </w:t>
      </w:r>
      <w:r w:rsidR="00DC5EF6">
        <w:t>unique</w:t>
      </w:r>
      <w:r w:rsidR="001420A6">
        <w:t>,</w:t>
      </w:r>
      <w:r w:rsidR="002115CF">
        <w:t xml:space="preserve"> t</w:t>
      </w:r>
      <w:r>
        <w:t>hey</w:t>
      </w:r>
      <w:r w:rsidR="005D146D" w:rsidRPr="009153DE">
        <w:t xml:space="preserve"> improve business access to talent, encourage entrepreneurship, and help link business to researchers to solve industry problems. </w:t>
      </w:r>
    </w:p>
    <w:p w14:paraId="34E5C0FD" w14:textId="0DDD7D8D" w:rsidR="001B1771" w:rsidRPr="009153DE" w:rsidRDefault="005D146D" w:rsidP="006D6033">
      <w:r w:rsidRPr="009153DE">
        <w:t>Local leadership is a key success factor to allow precincts to harness and build upon competitive strengths. Strengths can be a combination of local research and education institutions and firms, physical assets and infrastructure (including public transportation, shared work and lab spaces and community spaces), and community connectedness (</w:t>
      </w:r>
      <w:r w:rsidR="002115CF">
        <w:t xml:space="preserve">e.g. </w:t>
      </w:r>
      <w:r w:rsidRPr="009153DE">
        <w:t xml:space="preserve">established social capital and local communities of practice). </w:t>
      </w:r>
      <w:r w:rsidR="00676FF1">
        <w:t>Local leadership can also prioritise seeking support from available federal, state and local government programs</w:t>
      </w:r>
      <w:r w:rsidR="00B55FFA">
        <w:t xml:space="preserve"> (such as infrastructure projects, regional and urban development initiatives and industry and innovation policies)</w:t>
      </w:r>
      <w:r w:rsidR="00676FF1">
        <w:t>.</w:t>
      </w:r>
    </w:p>
    <w:p w14:paraId="00FD272F" w14:textId="636A0C45" w:rsidR="006A1548" w:rsidRDefault="009251FD" w:rsidP="009251FD">
      <w:pPr>
        <w:pStyle w:val="Heading3"/>
        <w:rPr>
          <w:rFonts w:eastAsia="Times New Roman"/>
        </w:rPr>
      </w:pPr>
      <w:bookmarkStart w:id="31" w:name="_Toc479074608"/>
      <w:bookmarkStart w:id="32" w:name="_Toc481660834"/>
      <w:bookmarkStart w:id="33" w:name="_Toc481660967"/>
      <w:r>
        <w:rPr>
          <w:rFonts w:eastAsia="Times New Roman"/>
        </w:rPr>
        <w:t>Universities benefit by engaging with industry</w:t>
      </w:r>
      <w:bookmarkEnd w:id="31"/>
      <w:bookmarkEnd w:id="32"/>
      <w:bookmarkEnd w:id="33"/>
    </w:p>
    <w:p w14:paraId="75AC063A" w14:textId="6F0259BD" w:rsidR="006A1548" w:rsidRDefault="006A1548" w:rsidP="006D6033">
      <w:r>
        <w:t>For the research sector, closer collaboration with industry</w:t>
      </w:r>
      <w:r w:rsidR="00571F06">
        <w:t xml:space="preserve"> through precincts</w:t>
      </w:r>
      <w:r>
        <w:t xml:space="preserve"> </w:t>
      </w:r>
      <w:r w:rsidR="007B4BD6">
        <w:t xml:space="preserve">can </w:t>
      </w:r>
      <w:r>
        <w:t>offer:</w:t>
      </w:r>
    </w:p>
    <w:p w14:paraId="6377E38B" w14:textId="3442EE4C" w:rsidR="006A1548" w:rsidRDefault="006A1548" w:rsidP="00EB5811">
      <w:pPr>
        <w:pStyle w:val="ListParagraph"/>
      </w:pPr>
      <w:r w:rsidRPr="009439BE">
        <w:t>Challenging problems to solve</w:t>
      </w:r>
      <w:r w:rsidR="00571F06">
        <w:t>, which can act as a stimulus for research programs</w:t>
      </w:r>
      <w:r w:rsidR="00676FF1">
        <w:t>.</w:t>
      </w:r>
    </w:p>
    <w:p w14:paraId="5D9D1904" w14:textId="19F467F6" w:rsidR="00571F06" w:rsidRPr="009439BE" w:rsidRDefault="00571F06" w:rsidP="001757B8">
      <w:pPr>
        <w:pStyle w:val="ListParagraph"/>
      </w:pPr>
      <w:r>
        <w:t>A high-trust environment in which personal connections between researchers</w:t>
      </w:r>
      <w:r w:rsidR="00534BDB">
        <w:t>, entrepreneurs,</w:t>
      </w:r>
      <w:r>
        <w:t xml:space="preserve"> and businesses</w:t>
      </w:r>
      <w:r w:rsidR="00C1041B">
        <w:t xml:space="preserve"> can be built</w:t>
      </w:r>
      <w:r>
        <w:t xml:space="preserve"> </w:t>
      </w:r>
      <w:r w:rsidR="001757B8">
        <w:t>into long-term strategic collaborative relationships (</w:t>
      </w:r>
      <w:r w:rsidR="00676FF1">
        <w:t xml:space="preserve">as opposed </w:t>
      </w:r>
      <w:r w:rsidR="001757B8">
        <w:t xml:space="preserve">to </w:t>
      </w:r>
      <w:r w:rsidR="001757B8" w:rsidRPr="001757B8">
        <w:t>one</w:t>
      </w:r>
      <w:r w:rsidR="007F5517">
        <w:t>-</w:t>
      </w:r>
      <w:r w:rsidR="001757B8" w:rsidRPr="001757B8">
        <w:t xml:space="preserve">off </w:t>
      </w:r>
      <w:r w:rsidR="001757B8">
        <w:t xml:space="preserve">narrowly defined </w:t>
      </w:r>
      <w:r w:rsidR="00676FF1">
        <w:t>engagements</w:t>
      </w:r>
      <w:r w:rsidR="001757B8">
        <w:t xml:space="preserve">). </w:t>
      </w:r>
      <w:r w:rsidR="001757B8" w:rsidRPr="001757B8">
        <w:t xml:space="preserve"> </w:t>
      </w:r>
    </w:p>
    <w:p w14:paraId="1637D408" w14:textId="60BEAB6B" w:rsidR="00571F06" w:rsidRPr="009439BE" w:rsidRDefault="00571F06" w:rsidP="00571F06">
      <w:pPr>
        <w:pStyle w:val="ListParagraph"/>
      </w:pPr>
      <w:r w:rsidRPr="009439BE">
        <w:t>Employment and work integrated learning opportunities for students</w:t>
      </w:r>
      <w:r>
        <w:t>, including PhD</w:t>
      </w:r>
      <w:r w:rsidR="0048349E">
        <w:t xml:space="preserve"> students</w:t>
      </w:r>
      <w:r>
        <w:t xml:space="preserve"> and </w:t>
      </w:r>
      <w:r w:rsidRPr="009439BE">
        <w:t>post</w:t>
      </w:r>
      <w:r w:rsidR="0048349E">
        <w:t>-doctoral researchers</w:t>
      </w:r>
      <w:r w:rsidRPr="009439BE">
        <w:t xml:space="preserve">. </w:t>
      </w:r>
    </w:p>
    <w:p w14:paraId="09612ABC" w14:textId="103DC8B0" w:rsidR="006A1548" w:rsidRPr="009439BE" w:rsidRDefault="00CC3822" w:rsidP="00EB5811">
      <w:pPr>
        <w:pStyle w:val="ListParagraph"/>
      </w:pPr>
      <w:r>
        <w:t xml:space="preserve">A receptive </w:t>
      </w:r>
      <w:r w:rsidR="000A07F1">
        <w:t xml:space="preserve">and entrepreneurial </w:t>
      </w:r>
      <w:r>
        <w:t>community for commercialisation</w:t>
      </w:r>
      <w:r w:rsidR="001757B8">
        <w:t xml:space="preserve"> that provides </w:t>
      </w:r>
      <w:r w:rsidR="00C1041B">
        <w:t xml:space="preserve">access to </w:t>
      </w:r>
      <w:r w:rsidR="006A1548" w:rsidRPr="009439BE">
        <w:t>development, engineering, manufacturing and marketing</w:t>
      </w:r>
      <w:r w:rsidR="00C1041B">
        <w:t xml:space="preserve"> expertise.</w:t>
      </w:r>
    </w:p>
    <w:p w14:paraId="7A62563B" w14:textId="67E81CD3" w:rsidR="00776543" w:rsidRPr="009439BE" w:rsidRDefault="006A1548" w:rsidP="00EB5811">
      <w:pPr>
        <w:pStyle w:val="ListParagraph"/>
      </w:pPr>
      <w:r w:rsidRPr="009439BE">
        <w:t xml:space="preserve">Funding to carry out research. </w:t>
      </w:r>
    </w:p>
    <w:p w14:paraId="01BC52DD" w14:textId="62F992D3" w:rsidR="006A1548" w:rsidRDefault="006A1548" w:rsidP="009251FD">
      <w:pPr>
        <w:pStyle w:val="Heading3"/>
      </w:pPr>
      <w:bookmarkStart w:id="34" w:name="_Toc479074609"/>
      <w:bookmarkStart w:id="35" w:name="_Toc481660835"/>
      <w:bookmarkStart w:id="36" w:name="_Toc481660968"/>
      <w:r>
        <w:t>Universities offer key capabilities</w:t>
      </w:r>
      <w:r w:rsidR="009251FD">
        <w:t xml:space="preserve"> for business</w:t>
      </w:r>
      <w:bookmarkEnd w:id="34"/>
      <w:bookmarkEnd w:id="35"/>
      <w:bookmarkEnd w:id="36"/>
    </w:p>
    <w:p w14:paraId="30C3917F" w14:textId="64BE8683" w:rsidR="006A1548" w:rsidRDefault="00CF2CC6" w:rsidP="006A1548">
      <w:r>
        <w:t>For industry, part</w:t>
      </w:r>
      <w:r w:rsidR="007B4BD6">
        <w:t>nering</w:t>
      </w:r>
      <w:r>
        <w:t xml:space="preserve"> with u</w:t>
      </w:r>
      <w:r w:rsidR="006A1548">
        <w:t xml:space="preserve">niversities </w:t>
      </w:r>
      <w:r w:rsidR="00571F06">
        <w:t xml:space="preserve">through precincts </w:t>
      </w:r>
      <w:r w:rsidR="007B4BD6">
        <w:t xml:space="preserve">can </w:t>
      </w:r>
      <w:r w:rsidR="006A1548">
        <w:t>offer:</w:t>
      </w:r>
    </w:p>
    <w:p w14:paraId="0B373BF7" w14:textId="0DC301A3" w:rsidR="006A1548" w:rsidRPr="00B536AF" w:rsidRDefault="007E6BB0">
      <w:pPr>
        <w:pStyle w:val="ListParagraph"/>
      </w:pPr>
      <w:r>
        <w:t>A</w:t>
      </w:r>
      <w:r w:rsidR="006A1548" w:rsidRPr="00B536AF">
        <w:t xml:space="preserve">ccess to </w:t>
      </w:r>
      <w:r w:rsidR="00571F06">
        <w:t xml:space="preserve">highly talented people with </w:t>
      </w:r>
      <w:r w:rsidR="006A1548" w:rsidRPr="00B536AF">
        <w:t>expert knowledge</w:t>
      </w:r>
      <w:r w:rsidR="00571F06">
        <w:t xml:space="preserve"> and</w:t>
      </w:r>
      <w:r w:rsidR="006A1548" w:rsidRPr="00B536AF">
        <w:t xml:space="preserve"> skills</w:t>
      </w:r>
      <w:r w:rsidR="00571F06">
        <w:t>,</w:t>
      </w:r>
      <w:r w:rsidR="00C1041B">
        <w:t xml:space="preserve"> </w:t>
      </w:r>
      <w:r w:rsidR="00571F06">
        <w:t>particularly</w:t>
      </w:r>
      <w:r w:rsidR="006A1548" w:rsidRPr="00B536AF">
        <w:t xml:space="preserve"> skilled graduates</w:t>
      </w:r>
      <w:r w:rsidR="00E3184B">
        <w:t xml:space="preserve"> and</w:t>
      </w:r>
      <w:r w:rsidR="006A1548" w:rsidRPr="00B536AF">
        <w:t xml:space="preserve"> PhD</w:t>
      </w:r>
      <w:r w:rsidR="0048349E">
        <w:t xml:space="preserve"> students</w:t>
      </w:r>
      <w:r w:rsidR="00571F06">
        <w:t>, both as collaborators and as potential recruits</w:t>
      </w:r>
    </w:p>
    <w:p w14:paraId="5169E589" w14:textId="1EBDB44D" w:rsidR="00571F06" w:rsidRPr="009439BE" w:rsidRDefault="00571F06" w:rsidP="007A71A1">
      <w:pPr>
        <w:pStyle w:val="ListParagraph"/>
      </w:pPr>
      <w:r>
        <w:t>A high-trust environment in which personal connections between researchers</w:t>
      </w:r>
      <w:r w:rsidR="000A07F1">
        <w:t>,</w:t>
      </w:r>
      <w:r w:rsidR="0087018C">
        <w:t xml:space="preserve"> start</w:t>
      </w:r>
      <w:r w:rsidR="0087018C">
        <w:noBreakHyphen/>
      </w:r>
      <w:r w:rsidR="000A07F1">
        <w:t>ups</w:t>
      </w:r>
      <w:r>
        <w:t xml:space="preserve"> and businesses can be built </w:t>
      </w:r>
      <w:r w:rsidR="001757B8">
        <w:t xml:space="preserve">into long-term strategic partnerships. </w:t>
      </w:r>
    </w:p>
    <w:p w14:paraId="0A474057" w14:textId="67E5D2DC" w:rsidR="00571F06" w:rsidRDefault="00571F06" w:rsidP="00571F06">
      <w:pPr>
        <w:pStyle w:val="ListParagraph"/>
      </w:pPr>
      <w:r>
        <w:t xml:space="preserve">Connections to </w:t>
      </w:r>
      <w:r w:rsidR="00FC37CF">
        <w:t xml:space="preserve">local, </w:t>
      </w:r>
      <w:r>
        <w:t>n</w:t>
      </w:r>
      <w:r w:rsidRPr="00B536AF">
        <w:t>ational and international networks of researchers</w:t>
      </w:r>
      <w:r>
        <w:t xml:space="preserve"> and other professionals.</w:t>
      </w:r>
    </w:p>
    <w:p w14:paraId="313D8AA4" w14:textId="3B1F9A12" w:rsidR="00571F06" w:rsidRDefault="00571F06" w:rsidP="00571F06">
      <w:pPr>
        <w:pStyle w:val="ListParagraph"/>
      </w:pPr>
      <w:r>
        <w:t>A</w:t>
      </w:r>
      <w:r w:rsidRPr="00B536AF">
        <w:t>ccess to</w:t>
      </w:r>
      <w:r>
        <w:t xml:space="preserve"> specialised</w:t>
      </w:r>
      <w:r w:rsidRPr="00B536AF">
        <w:t xml:space="preserve"> scientific equipment</w:t>
      </w:r>
      <w:r>
        <w:t xml:space="preserve">, </w:t>
      </w:r>
      <w:r w:rsidRPr="00B536AF">
        <w:t>infrastructure and research capability</w:t>
      </w:r>
      <w:r w:rsidR="001757B8">
        <w:t>.</w:t>
      </w:r>
    </w:p>
    <w:p w14:paraId="045FCFDC" w14:textId="6727B1FD" w:rsidR="00571F06" w:rsidRDefault="00571F06" w:rsidP="00571F06">
      <w:pPr>
        <w:pStyle w:val="ListParagraph"/>
      </w:pPr>
      <w:r>
        <w:t>Streamlined access to technology, patents, and emerging research findings</w:t>
      </w:r>
      <w:r w:rsidR="001757B8">
        <w:t>.</w:t>
      </w:r>
    </w:p>
    <w:p w14:paraId="49F658A6" w14:textId="401D1CDC" w:rsidR="00933BCB" w:rsidRDefault="007E6BB0" w:rsidP="00A30D77">
      <w:pPr>
        <w:pStyle w:val="Heading3"/>
      </w:pPr>
      <w:bookmarkStart w:id="37" w:name="_Toc479074610"/>
      <w:bookmarkStart w:id="38" w:name="_Toc481660836"/>
      <w:bookmarkStart w:id="39" w:name="_Toc481660969"/>
      <w:r>
        <w:rPr>
          <w:rFonts w:eastAsia="Times New Roman"/>
        </w:rPr>
        <w:t xml:space="preserve">Precincts can </w:t>
      </w:r>
      <w:r w:rsidR="001771B2">
        <w:rPr>
          <w:rFonts w:eastAsia="Times New Roman"/>
        </w:rPr>
        <w:t xml:space="preserve">help </w:t>
      </w:r>
      <w:r w:rsidR="000A07F1">
        <w:rPr>
          <w:rFonts w:eastAsia="Times New Roman"/>
        </w:rPr>
        <w:t xml:space="preserve">people, </w:t>
      </w:r>
      <w:r w:rsidR="001771B2">
        <w:rPr>
          <w:rFonts w:eastAsia="Times New Roman"/>
        </w:rPr>
        <w:t>businesses and researchers connect</w:t>
      </w:r>
      <w:bookmarkEnd w:id="37"/>
      <w:bookmarkEnd w:id="38"/>
      <w:bookmarkEnd w:id="39"/>
    </w:p>
    <w:p w14:paraId="50413A78" w14:textId="52EBC3E0" w:rsidR="008E04F1" w:rsidRDefault="008720CA" w:rsidP="006D6033">
      <w:bookmarkStart w:id="40" w:name="_Toc478133244"/>
      <w:bookmarkStart w:id="41" w:name="_Toc478133310"/>
      <w:bookmarkStart w:id="42" w:name="_Toc478133376"/>
      <w:bookmarkEnd w:id="40"/>
      <w:bookmarkEnd w:id="41"/>
      <w:r>
        <w:t>Firms and researchers expend significant energy seeking each other out</w:t>
      </w:r>
      <w:r w:rsidR="00571F06">
        <w:t xml:space="preserve">, </w:t>
      </w:r>
      <w:r w:rsidR="001757B8">
        <w:t>and the close proximity</w:t>
      </w:r>
      <w:r w:rsidR="007C69EA">
        <w:t xml:space="preserve"> of precincts </w:t>
      </w:r>
      <w:r w:rsidR="001757B8">
        <w:t>provide</w:t>
      </w:r>
      <w:r w:rsidR="00676FF1">
        <w:t xml:space="preserve"> greater</w:t>
      </w:r>
      <w:r w:rsidR="00B17865" w:rsidDel="001757B8">
        <w:t xml:space="preserve"> </w:t>
      </w:r>
      <w:r w:rsidR="00B17865">
        <w:t>opportunit</w:t>
      </w:r>
      <w:r w:rsidR="00676FF1">
        <w:t>ies</w:t>
      </w:r>
      <w:r w:rsidR="00B17865">
        <w:t xml:space="preserve"> </w:t>
      </w:r>
      <w:r w:rsidR="00B17865" w:rsidDel="007C69EA">
        <w:t xml:space="preserve">to </w:t>
      </w:r>
      <w:r w:rsidR="00B17865">
        <w:t>form deep and trusting relationships between</w:t>
      </w:r>
      <w:r w:rsidR="007C69EA" w:rsidRPr="007C69EA">
        <w:t xml:space="preserve"> </w:t>
      </w:r>
      <w:r w:rsidR="007C69EA">
        <w:t>businesses, researchers</w:t>
      </w:r>
      <w:r w:rsidR="000A07F1">
        <w:t>,</w:t>
      </w:r>
      <w:r w:rsidR="00485BAF">
        <w:t xml:space="preserve"> </w:t>
      </w:r>
      <w:r w:rsidR="007C69EA">
        <w:t>educators</w:t>
      </w:r>
      <w:r w:rsidR="000A07F1">
        <w:t xml:space="preserve"> and the community</w:t>
      </w:r>
      <w:r w:rsidR="00B17865">
        <w:t xml:space="preserve">. </w:t>
      </w:r>
      <w:r w:rsidR="009439BE">
        <w:t xml:space="preserve">University and innovation precincts </w:t>
      </w:r>
      <w:r w:rsidR="00A65D3C">
        <w:t xml:space="preserve">may provide both formal </w:t>
      </w:r>
      <w:r w:rsidR="008E04F1">
        <w:t xml:space="preserve">mechanisms (e.g. hackathons, events and network organisations) </w:t>
      </w:r>
      <w:r w:rsidR="00A65D3C">
        <w:t xml:space="preserve">and </w:t>
      </w:r>
      <w:r w:rsidR="00571F06">
        <w:t xml:space="preserve">informal </w:t>
      </w:r>
      <w:r w:rsidR="008E04F1">
        <w:t>opportunities for people to meet through chance</w:t>
      </w:r>
      <w:r w:rsidR="00A65D3C">
        <w:t xml:space="preserve"> </w:t>
      </w:r>
      <w:r w:rsidR="008E04F1">
        <w:t xml:space="preserve">interactions. These help </w:t>
      </w:r>
      <w:r w:rsidR="00A65D3C">
        <w:t>people meet; to share ideas, challenges and opportunit</w:t>
      </w:r>
      <w:r w:rsidR="0087018C">
        <w:t>ies</w:t>
      </w:r>
      <w:r w:rsidR="00A65D3C">
        <w:t>;</w:t>
      </w:r>
      <w:r w:rsidR="008E04F1">
        <w:t xml:space="preserve"> and</w:t>
      </w:r>
      <w:r w:rsidR="00A65D3C">
        <w:t xml:space="preserve"> to access talent, </w:t>
      </w:r>
      <w:r w:rsidR="00A65D3C">
        <w:lastRenderedPageBreak/>
        <w:t>knowledge and capability</w:t>
      </w:r>
      <w:r w:rsidR="008E04F1">
        <w:t>. Precincts may also drive policies to</w:t>
      </w:r>
      <w:r w:rsidR="00A65D3C">
        <w:t xml:space="preserve"> facilitate </w:t>
      </w:r>
      <w:r w:rsidR="008E04F1">
        <w:t>firm</w:t>
      </w:r>
      <w:r w:rsidR="00A65D3C">
        <w:t xml:space="preserve"> use of research infrastructure. </w:t>
      </w:r>
    </w:p>
    <w:p w14:paraId="429F78E9" w14:textId="331A9138" w:rsidR="0016221A" w:rsidRDefault="00A65D3C" w:rsidP="006D6033">
      <w:r>
        <w:t>Precincts</w:t>
      </w:r>
      <w:r w:rsidR="009439BE">
        <w:t xml:space="preserve"> can </w:t>
      </w:r>
      <w:r>
        <w:t xml:space="preserve">therefore </w:t>
      </w:r>
      <w:r w:rsidR="009439BE">
        <w:t>mak</w:t>
      </w:r>
      <w:r w:rsidR="007E6BB0">
        <w:t>e</w:t>
      </w:r>
      <w:r w:rsidR="009439BE">
        <w:t xml:space="preserve"> it easier for</w:t>
      </w:r>
      <w:r w:rsidR="000A07F1">
        <w:t xml:space="preserve"> people to connect,</w:t>
      </w:r>
      <w:r w:rsidR="009439BE">
        <w:t xml:space="preserve"> firms to find researchers</w:t>
      </w:r>
      <w:r w:rsidR="005D146D">
        <w:t xml:space="preserve"> and access knowledge, and researchers to find businesses, to collaborate and solve problems</w:t>
      </w:r>
      <w:r w:rsidR="00CE4C36">
        <w:t xml:space="preserve"> in a high-trust environment</w:t>
      </w:r>
      <w:r w:rsidR="005D146D">
        <w:t>.</w:t>
      </w:r>
      <w:bookmarkEnd w:id="42"/>
    </w:p>
    <w:p w14:paraId="6D8FEEE3" w14:textId="03C49EE1" w:rsidR="0016221A" w:rsidRDefault="00820A81" w:rsidP="00571F06">
      <w:r>
        <w:t>Precincts address local challenges and opportunities, and each precinct is different. A range of policies internationally have facilitated both collaboration and precinct development.</w:t>
      </w:r>
    </w:p>
    <w:p w14:paraId="425F25ED" w14:textId="77777777" w:rsidR="00D61F25" w:rsidRPr="007F33E9" w:rsidRDefault="00D61F25" w:rsidP="007F33E9">
      <w:pPr>
        <w:pStyle w:val="Heading4"/>
        <w:shd w:val="clear" w:color="auto" w:fill="EBF7F8" w:themeFill="accent5" w:themeFillTint="33"/>
      </w:pPr>
      <w:r w:rsidRPr="007F33E9">
        <w:t>International policy and programs</w:t>
      </w:r>
    </w:p>
    <w:p w14:paraId="573EC9FE" w14:textId="5DE04C7C" w:rsidR="00D61F25" w:rsidRPr="007F33E9" w:rsidRDefault="00D61F25" w:rsidP="007F33E9">
      <w:pPr>
        <w:pStyle w:val="dotpoints"/>
        <w:keepLines/>
        <w:numPr>
          <w:ilvl w:val="0"/>
          <w:numId w:val="0"/>
        </w:numPr>
        <w:shd w:val="clear" w:color="auto" w:fill="EBF7F8" w:themeFill="accent5" w:themeFillTint="33"/>
      </w:pPr>
      <w:r w:rsidRPr="007F33E9">
        <w:rPr>
          <w:rFonts w:ascii="Arial" w:hAnsi="Arial" w:cs="Arial"/>
        </w:rPr>
        <w:t xml:space="preserve">Many international jurisdictions facilitate research and industry collaborating through clusters and precincts. Some key principles demonstrated by international programs such as the </w:t>
      </w:r>
      <w:hyperlink r:id="rId24" w:history="1">
        <w:r w:rsidRPr="007F33E9">
          <w:rPr>
            <w:rStyle w:val="Hyperlink"/>
            <w:rFonts w:ascii="Arial" w:hAnsi="Arial" w:cs="Arial"/>
          </w:rPr>
          <w:t>Carnot Institutes Network (France)</w:t>
        </w:r>
      </w:hyperlink>
      <w:r w:rsidRPr="007F33E9">
        <w:rPr>
          <w:rStyle w:val="Hyperlink"/>
          <w:rFonts w:ascii="Arial" w:hAnsi="Arial" w:cs="Arial"/>
          <w:color w:val="auto"/>
          <w:u w:val="none"/>
        </w:rPr>
        <w:t xml:space="preserve">, </w:t>
      </w:r>
      <w:hyperlink r:id="rId25" w:history="1">
        <w:r w:rsidRPr="007F33E9">
          <w:rPr>
            <w:rStyle w:val="Hyperlink"/>
            <w:rFonts w:ascii="Arial" w:hAnsi="Arial" w:cs="Arial"/>
          </w:rPr>
          <w:t>Leading Edge Clusters (Germany)</w:t>
        </w:r>
      </w:hyperlink>
      <w:r w:rsidRPr="007F33E9">
        <w:rPr>
          <w:rFonts w:ascii="Arial" w:hAnsi="Arial" w:cs="Arial"/>
        </w:rPr>
        <w:t xml:space="preserve"> and </w:t>
      </w:r>
      <w:hyperlink r:id="rId26" w:history="1">
        <w:r w:rsidRPr="007F33E9">
          <w:rPr>
            <w:rStyle w:val="Hyperlink"/>
            <w:rFonts w:ascii="Arial" w:hAnsi="Arial" w:cs="Arial"/>
          </w:rPr>
          <w:t>Enterprise Zones (Great Britain)</w:t>
        </w:r>
      </w:hyperlink>
      <w:r w:rsidRPr="007F33E9">
        <w:rPr>
          <w:rFonts w:ascii="Arial" w:hAnsi="Arial" w:cs="Arial"/>
        </w:rPr>
        <w:t xml:space="preserve"> include:</w:t>
      </w:r>
    </w:p>
    <w:p w14:paraId="1ED7E766" w14:textId="77777777" w:rsidR="00D61F25" w:rsidRPr="007F33E9" w:rsidRDefault="00D61F25" w:rsidP="007F33E9">
      <w:pPr>
        <w:pStyle w:val="ListParagraph"/>
        <w:keepLines/>
        <w:numPr>
          <w:ilvl w:val="0"/>
          <w:numId w:val="32"/>
        </w:numPr>
        <w:shd w:val="clear" w:color="auto" w:fill="EBF7F8" w:themeFill="accent5" w:themeFillTint="33"/>
        <w:spacing w:after="0"/>
        <w:ind w:left="360"/>
      </w:pPr>
      <w:r w:rsidRPr="007F33E9">
        <w:t>Improved transparency and highlighting to industry the public and private research facilitates and capabilities available nationally. This may include marketing research institutes that demonstrate science excellence and a willingness to work with industry.</w:t>
      </w:r>
    </w:p>
    <w:p w14:paraId="5BD4EA87" w14:textId="77777777" w:rsidR="00D61F25" w:rsidRPr="007F33E9" w:rsidRDefault="00D61F25" w:rsidP="007F33E9">
      <w:pPr>
        <w:pStyle w:val="ListParagraph"/>
        <w:keepLines/>
        <w:numPr>
          <w:ilvl w:val="0"/>
          <w:numId w:val="32"/>
        </w:numPr>
        <w:shd w:val="clear" w:color="auto" w:fill="EBF7F8" w:themeFill="accent5" w:themeFillTint="33"/>
        <w:spacing w:after="0"/>
        <w:ind w:left="360"/>
      </w:pPr>
      <w:r w:rsidRPr="007F33E9">
        <w:t>Highlighting success to drive cultural change.</w:t>
      </w:r>
    </w:p>
    <w:p w14:paraId="123618E8" w14:textId="77777777" w:rsidR="00D61F25" w:rsidRPr="007F33E9" w:rsidRDefault="00D61F25" w:rsidP="007F33E9">
      <w:pPr>
        <w:pStyle w:val="ListParagraph"/>
        <w:keepLines/>
        <w:numPr>
          <w:ilvl w:val="0"/>
          <w:numId w:val="32"/>
        </w:numPr>
        <w:shd w:val="clear" w:color="auto" w:fill="EBF7F8" w:themeFill="accent5" w:themeFillTint="33"/>
        <w:spacing w:after="0"/>
        <w:ind w:left="360"/>
      </w:pPr>
      <w:r w:rsidRPr="007F33E9">
        <w:t>A flexible approach and partnerships between industry, research, skills and government to drive applied research, facilitate industry standards development and for developing education and training.</w:t>
      </w:r>
    </w:p>
    <w:p w14:paraId="40664A48" w14:textId="77777777" w:rsidR="00D61F25" w:rsidRPr="007F33E9" w:rsidRDefault="00D61F25" w:rsidP="007F33E9">
      <w:pPr>
        <w:pStyle w:val="ListParagraph"/>
        <w:keepLines/>
        <w:numPr>
          <w:ilvl w:val="0"/>
          <w:numId w:val="32"/>
        </w:numPr>
        <w:shd w:val="clear" w:color="auto" w:fill="EBF7F8" w:themeFill="accent5" w:themeFillTint="33"/>
        <w:spacing w:after="0"/>
        <w:ind w:left="360"/>
      </w:pPr>
      <w:r w:rsidRPr="007F33E9">
        <w:t>Cluster to cluster collaboration, and attracting greater foreign investment.</w:t>
      </w:r>
    </w:p>
    <w:p w14:paraId="73A95642" w14:textId="6CCB34FD" w:rsidR="00D61F25" w:rsidRDefault="00D61F25" w:rsidP="007F33E9">
      <w:pPr>
        <w:shd w:val="clear" w:color="auto" w:fill="EBF7F8" w:themeFill="accent5" w:themeFillTint="33"/>
      </w:pPr>
      <w:r w:rsidRPr="007F33E9">
        <w:t xml:space="preserve">In </w:t>
      </w:r>
      <w:hyperlink r:id="rId27" w:history="1">
        <w:r w:rsidRPr="007F33E9">
          <w:rPr>
            <w:rStyle w:val="Hyperlink"/>
          </w:rPr>
          <w:t>UK City Deals</w:t>
        </w:r>
      </w:hyperlink>
      <w:r w:rsidRPr="007F33E9">
        <w:t>, universities and research organisations can be recognised as anchor institutions. City Deals can provide funding for infrastructure (including incubators, accelerators and spaces to bring researchers and business together) when that investment is part of a broader vision for regional development. The UK government provides funding subject to leveraging significant private sector money and the region meeting required outcomes. One benefit of this approach is that when packaged in the context of regional development, innovation is seen as a positive.</w:t>
      </w:r>
    </w:p>
    <w:p w14:paraId="26F76193" w14:textId="405C6B48" w:rsidR="00AE5BA7" w:rsidRPr="001771B2" w:rsidRDefault="001771B2" w:rsidP="00A464E0">
      <w:pPr>
        <w:pStyle w:val="Heading2"/>
        <w:spacing w:before="200"/>
      </w:pPr>
      <w:bookmarkStart w:id="43" w:name="_Toc479074611"/>
      <w:bookmarkStart w:id="44" w:name="_Toc481660837"/>
      <w:bookmarkStart w:id="45" w:name="_Toc481660970"/>
      <w:r>
        <w:t>States, territories and local governments all have a role to play</w:t>
      </w:r>
      <w:bookmarkEnd w:id="43"/>
      <w:bookmarkEnd w:id="44"/>
      <w:bookmarkEnd w:id="45"/>
    </w:p>
    <w:p w14:paraId="6648384D" w14:textId="620823F3" w:rsidR="00CE4C36" w:rsidRDefault="00AE5BA7" w:rsidP="006D6033">
      <w:bookmarkStart w:id="46" w:name="_Toc477358872"/>
      <w:bookmarkStart w:id="47" w:name="_Toc477359150"/>
      <w:bookmarkStart w:id="48" w:name="_Toc477419228"/>
      <w:r w:rsidRPr="00507047">
        <w:t xml:space="preserve">All three levels of government in Australia (Commonwealth, state and local) have </w:t>
      </w:r>
      <w:r>
        <w:t>a role to play</w:t>
      </w:r>
      <w:r w:rsidR="007B4BD6">
        <w:t xml:space="preserve"> in supporting the formation and growth of </w:t>
      </w:r>
      <w:r w:rsidR="00C3543E">
        <w:t>university precincts</w:t>
      </w:r>
      <w:r w:rsidR="00CE4C36">
        <w:t>:</w:t>
      </w:r>
    </w:p>
    <w:p w14:paraId="3E1101CC" w14:textId="6D5816EA" w:rsidR="00CE4C36" w:rsidRDefault="00CE4C36" w:rsidP="004254E1">
      <w:pPr>
        <w:pStyle w:val="ListParagraph"/>
        <w:numPr>
          <w:ilvl w:val="0"/>
          <w:numId w:val="68"/>
        </w:numPr>
      </w:pPr>
      <w:r>
        <w:t xml:space="preserve">The </w:t>
      </w:r>
      <w:r w:rsidRPr="004254E1">
        <w:rPr>
          <w:b/>
        </w:rPr>
        <w:t>Commonwealth Government</w:t>
      </w:r>
      <w:r>
        <w:t xml:space="preserve"> has responsibilities for </w:t>
      </w:r>
      <w:r w:rsidR="00900C7E">
        <w:t>u</w:t>
      </w:r>
      <w:r>
        <w:t>niversity funding, for basic research funding, and for a range of innovation</w:t>
      </w:r>
      <w:r w:rsidR="00731891">
        <w:t xml:space="preserve"> </w:t>
      </w:r>
      <w:r w:rsidR="00731891" w:rsidDel="00CD3901">
        <w:t xml:space="preserve">and </w:t>
      </w:r>
      <w:r w:rsidR="00676FF1">
        <w:t xml:space="preserve">business capability </w:t>
      </w:r>
      <w:r>
        <w:t>programs. It also oversees major research agencies (e.g. CSIRO</w:t>
      </w:r>
      <w:r w:rsidR="00F80BFF">
        <w:t xml:space="preserve"> and the Australian Nuclear Science and Technology O</w:t>
      </w:r>
      <w:r w:rsidR="00F80BFF" w:rsidRPr="00F80BFF">
        <w:t>rganisation</w:t>
      </w:r>
      <w:r>
        <w:t xml:space="preserve">) </w:t>
      </w:r>
      <w:r w:rsidR="00CD3901">
        <w:t xml:space="preserve">and funds research infrastructure </w:t>
      </w:r>
      <w:r>
        <w:t xml:space="preserve">that can be key </w:t>
      </w:r>
      <w:r w:rsidR="00F80BFF">
        <w:t xml:space="preserve">players in precincts. The Commonwealth Government also </w:t>
      </w:r>
      <w:r w:rsidR="00CE7632">
        <w:t xml:space="preserve">attracts </w:t>
      </w:r>
      <w:proofErr w:type="gramStart"/>
      <w:r w:rsidR="00CE7632">
        <w:t>foreign</w:t>
      </w:r>
      <w:proofErr w:type="gramEnd"/>
      <w:r w:rsidR="00CE7632">
        <w:t xml:space="preserve"> </w:t>
      </w:r>
      <w:r w:rsidR="00F80BFF">
        <w:t xml:space="preserve">investment, which can contribute to precinct development. </w:t>
      </w:r>
    </w:p>
    <w:p w14:paraId="44EC50E9" w14:textId="44156EA6" w:rsidR="00281681" w:rsidRDefault="00CE4C36" w:rsidP="004254E1">
      <w:pPr>
        <w:pStyle w:val="ListParagraph"/>
        <w:numPr>
          <w:ilvl w:val="0"/>
          <w:numId w:val="68"/>
        </w:numPr>
      </w:pPr>
      <w:r w:rsidRPr="004254E1">
        <w:rPr>
          <w:b/>
        </w:rPr>
        <w:t>State &amp; Territory Governments</w:t>
      </w:r>
      <w:r>
        <w:t xml:space="preserve"> </w:t>
      </w:r>
      <w:r w:rsidR="00F80BFF">
        <w:t>have a</w:t>
      </w:r>
      <w:r w:rsidR="00281681">
        <w:t>n important role in precincts.</w:t>
      </w:r>
    </w:p>
    <w:p w14:paraId="26D20875" w14:textId="5D0E6657" w:rsidR="00281681" w:rsidRDefault="00281681" w:rsidP="00C41719">
      <w:pPr>
        <w:pStyle w:val="ListParagraph"/>
        <w:numPr>
          <w:ilvl w:val="1"/>
          <w:numId w:val="68"/>
        </w:numPr>
      </w:pPr>
      <w:r w:rsidRPr="004254E1">
        <w:t>State governments have</w:t>
      </w:r>
      <w:r w:rsidR="00F80BFF">
        <w:t xml:space="preserve"> </w:t>
      </w:r>
      <w:r>
        <w:t xml:space="preserve">a </w:t>
      </w:r>
      <w:r w:rsidR="00F80BFF">
        <w:t>range of industry, innovation and science policy and programs that are tailored to each states</w:t>
      </w:r>
      <w:r>
        <w:t>’</w:t>
      </w:r>
      <w:r w:rsidR="00F80BFF">
        <w:t xml:space="preserve"> strategic priorities. </w:t>
      </w:r>
    </w:p>
    <w:p w14:paraId="3B0E8894" w14:textId="1D8DB057" w:rsidR="00281681" w:rsidRDefault="00C3543E" w:rsidP="00C41719">
      <w:pPr>
        <w:pStyle w:val="ListParagraph"/>
        <w:numPr>
          <w:ilvl w:val="1"/>
          <w:numId w:val="68"/>
        </w:numPr>
      </w:pPr>
      <w:r>
        <w:t>Investment is key to precinct development and s</w:t>
      </w:r>
      <w:r w:rsidR="00F80BFF">
        <w:t xml:space="preserve">tate governments </w:t>
      </w:r>
      <w:r w:rsidR="00CE4C36">
        <w:t>are active in investment attraction</w:t>
      </w:r>
      <w:r w:rsidR="00DC1E51">
        <w:t xml:space="preserve"> (especially internationally)</w:t>
      </w:r>
      <w:r w:rsidR="00CE4C36">
        <w:t xml:space="preserve">, and can also play a role in the provision of direct (e.g. buildings) and supporting (e.g. </w:t>
      </w:r>
      <w:r w:rsidR="00B300D8">
        <w:t>t</w:t>
      </w:r>
      <w:r w:rsidR="00CE4C36">
        <w:t>ransit links) infrastructure.</w:t>
      </w:r>
      <w:r w:rsidR="00DC1E51">
        <w:t xml:space="preserve"> </w:t>
      </w:r>
      <w:r w:rsidR="00DC1E51">
        <w:lastRenderedPageBreak/>
        <w:t xml:space="preserve">For </w:t>
      </w:r>
      <w:r w:rsidR="00B300D8">
        <w:t>h</w:t>
      </w:r>
      <w:r w:rsidR="00DC1E51">
        <w:t xml:space="preserve">ealth precincts in particular, </w:t>
      </w:r>
      <w:r w:rsidR="00281681">
        <w:t xml:space="preserve">state government </w:t>
      </w:r>
      <w:r w:rsidR="00DC1E51">
        <w:t>roles in hospital funding and planning are also key considerations.</w:t>
      </w:r>
      <w:r w:rsidR="002134E6">
        <w:t xml:space="preserve"> </w:t>
      </w:r>
    </w:p>
    <w:p w14:paraId="16C52731" w14:textId="788B4EB0" w:rsidR="00CE4C36" w:rsidRDefault="00281681" w:rsidP="00C41719">
      <w:pPr>
        <w:pStyle w:val="ListParagraph"/>
        <w:numPr>
          <w:ilvl w:val="1"/>
          <w:numId w:val="68"/>
        </w:numPr>
      </w:pPr>
      <w:r>
        <w:t xml:space="preserve">Many universities are situated on Crown land. </w:t>
      </w:r>
      <w:r w:rsidR="002134E6">
        <w:t xml:space="preserve">State and territory governments have jurisdiction over Crown land </w:t>
      </w:r>
      <w:r>
        <w:t xml:space="preserve">and there are restrictions for universities on how this land can be developed and used. </w:t>
      </w:r>
    </w:p>
    <w:p w14:paraId="29A1B25C" w14:textId="64C1E8AA" w:rsidR="00CE4C36" w:rsidRDefault="00CE4C36" w:rsidP="00C41719">
      <w:pPr>
        <w:pStyle w:val="ListParagraph"/>
        <w:numPr>
          <w:ilvl w:val="0"/>
          <w:numId w:val="68"/>
        </w:numPr>
      </w:pPr>
      <w:r>
        <w:rPr>
          <w:b/>
        </w:rPr>
        <w:t xml:space="preserve">Local Governments </w:t>
      </w:r>
      <w:r>
        <w:t xml:space="preserve">are increasingly sophisticated in matching </w:t>
      </w:r>
      <w:r w:rsidR="00DC1E51">
        <w:t>urban planning decisions with the needs of emerging precincts</w:t>
      </w:r>
      <w:r w:rsidR="00676FF1">
        <w:t xml:space="preserve"> to increase amenity</w:t>
      </w:r>
      <w:r w:rsidR="00DC1E51">
        <w:t>, and can also contribute through</w:t>
      </w:r>
      <w:r w:rsidR="00CD3901">
        <w:t xml:space="preserve"> community and business engagement initiatives. </w:t>
      </w:r>
      <w:r w:rsidR="00DC1E51">
        <w:t xml:space="preserve"> </w:t>
      </w:r>
    </w:p>
    <w:p w14:paraId="44FAB564" w14:textId="4DAFB2E4" w:rsidR="00CE4C36" w:rsidRPr="00EA3F13" w:rsidRDefault="00CE4C36" w:rsidP="00CE4C36">
      <w:pPr>
        <w:pStyle w:val="Heading3"/>
      </w:pPr>
      <w:bookmarkStart w:id="49" w:name="_Toc481660838"/>
      <w:bookmarkStart w:id="50" w:name="_Toc481660971"/>
      <w:r>
        <w:t xml:space="preserve">Commonwealth Government </w:t>
      </w:r>
      <w:r w:rsidR="00DC1E51">
        <w:t>is making</w:t>
      </w:r>
      <w:r>
        <w:t xml:space="preserve"> many foundational investments</w:t>
      </w:r>
      <w:bookmarkEnd w:id="49"/>
      <w:bookmarkEnd w:id="50"/>
    </w:p>
    <w:p w14:paraId="7E7743A0" w14:textId="65C7C2A4" w:rsidR="00C66F3B" w:rsidRDefault="00C66F3B" w:rsidP="006D6033">
      <w:r w:rsidRPr="00350721">
        <w:t>The National Innovation and Science Agenda is delivering initiatives to support innovation and science, across the full spectrum of science education and engagement, research and research infrastructure, translation and commercialisation.</w:t>
      </w:r>
      <w:r w:rsidR="00340548">
        <w:t xml:space="preserve"> </w:t>
      </w:r>
      <w:r w:rsidR="00EF3422" w:rsidRPr="00EF3422">
        <w:t>2017 reforms to research block grant funding</w:t>
      </w:r>
      <w:r w:rsidR="004D4A9B">
        <w:t xml:space="preserve"> for universities</w:t>
      </w:r>
      <w:r w:rsidR="00EF3422" w:rsidRPr="00EF3422">
        <w:t xml:space="preserve"> provide</w:t>
      </w:r>
      <w:r w:rsidR="004D4A9B">
        <w:t>s</w:t>
      </w:r>
      <w:r w:rsidR="00EF3422" w:rsidRPr="00EF3422">
        <w:t xml:space="preserve"> increased incentives for industry and end-user engagement, and also provide universities with increased flexibility to support research.</w:t>
      </w:r>
      <w:r w:rsidR="00340548">
        <w:t xml:space="preserve"> </w:t>
      </w:r>
    </w:p>
    <w:p w14:paraId="0CC10BCD" w14:textId="659EEC02" w:rsidR="00C66F3B" w:rsidRDefault="00C66F3B" w:rsidP="006D6033">
      <w:pPr>
        <w:rPr>
          <w:rStyle w:val="Hyperlink"/>
        </w:rPr>
      </w:pPr>
      <w:r>
        <w:t xml:space="preserve">The Commonwealth Government works in partnership with state and territory governments through a range of mechanisms, including through </w:t>
      </w:r>
      <w:hyperlink r:id="rId28" w:history="1">
        <w:r w:rsidRPr="00B55FFA">
          <w:rPr>
            <w:rStyle w:val="Hyperlink"/>
          </w:rPr>
          <w:t>City Deals</w:t>
        </w:r>
      </w:hyperlink>
      <w:r w:rsidR="00B55FFA">
        <w:t>, regional development programs and structural adjustment initiatives</w:t>
      </w:r>
      <w:r w:rsidRPr="00B55FFA">
        <w:t>.</w:t>
      </w:r>
    </w:p>
    <w:p w14:paraId="57A0CEA5" w14:textId="5A733A8D" w:rsidR="00AE5BA7" w:rsidRPr="00EA3F13" w:rsidRDefault="00AE5BA7" w:rsidP="009251FD">
      <w:pPr>
        <w:pStyle w:val="Heading3"/>
      </w:pPr>
      <w:bookmarkStart w:id="51" w:name="_Toc477419230"/>
      <w:bookmarkStart w:id="52" w:name="_Toc477448537"/>
      <w:bookmarkStart w:id="53" w:name="_Toc479074612"/>
      <w:bookmarkStart w:id="54" w:name="_Toc481660839"/>
      <w:bookmarkStart w:id="55" w:name="_Toc481660972"/>
      <w:bookmarkEnd w:id="46"/>
      <w:bookmarkEnd w:id="47"/>
      <w:bookmarkEnd w:id="48"/>
      <w:r w:rsidRPr="00EA3F13">
        <w:t xml:space="preserve">State </w:t>
      </w:r>
      <w:r>
        <w:t xml:space="preserve">and Territory </w:t>
      </w:r>
      <w:r w:rsidRPr="00EA3F13">
        <w:t>Government</w:t>
      </w:r>
      <w:r>
        <w:t>s</w:t>
      </w:r>
      <w:bookmarkEnd w:id="51"/>
      <w:bookmarkEnd w:id="52"/>
      <w:r w:rsidR="001771B2">
        <w:t xml:space="preserve"> </w:t>
      </w:r>
      <w:r w:rsidR="00DC1E51">
        <w:t xml:space="preserve">are </w:t>
      </w:r>
      <w:r w:rsidR="004D4A9B">
        <w:t>creat</w:t>
      </w:r>
      <w:r w:rsidR="00DC1E51">
        <w:t>ing</w:t>
      </w:r>
      <w:r w:rsidR="004D4A9B">
        <w:t xml:space="preserve"> </w:t>
      </w:r>
      <w:r w:rsidR="001771B2">
        <w:t>the enabling environment</w:t>
      </w:r>
      <w:bookmarkEnd w:id="53"/>
      <w:bookmarkEnd w:id="54"/>
      <w:bookmarkEnd w:id="55"/>
    </w:p>
    <w:p w14:paraId="428234C3" w14:textId="14F1A342" w:rsidR="00AE5BA7" w:rsidRDefault="00AE5BA7" w:rsidP="00AE5BA7">
      <w:r w:rsidRPr="00F337EF">
        <w:t>The states support and facilitate collaboration between businesses and the research sector, and between businesses</w:t>
      </w:r>
      <w:r>
        <w:t>, through program</w:t>
      </w:r>
      <w:r w:rsidR="00C3543E">
        <w:t>s</w:t>
      </w:r>
      <w:r w:rsidR="004D4A9B">
        <w:t>,</w:t>
      </w:r>
      <w:r>
        <w:t xml:space="preserve"> such </w:t>
      </w:r>
      <w:r w:rsidRPr="00C41719">
        <w:rPr>
          <w:i/>
        </w:rPr>
        <w:t>as NSW Boosting Business and Innovation</w:t>
      </w:r>
      <w:r>
        <w:t xml:space="preserve"> and the Queensland Government’s </w:t>
      </w:r>
      <w:r w:rsidRPr="00C41719">
        <w:rPr>
          <w:i/>
        </w:rPr>
        <w:t>Advance Queensland</w:t>
      </w:r>
      <w:r>
        <w:t xml:space="preserve"> suite of initiatives</w:t>
      </w:r>
      <w:r w:rsidR="009D442E">
        <w:t xml:space="preserve">, </w:t>
      </w:r>
      <w:r w:rsidR="00E73AF9">
        <w:t>and through financial support</w:t>
      </w:r>
      <w:r w:rsidR="009D442E">
        <w:t xml:space="preserve"> such as the South Australian Government’s </w:t>
      </w:r>
      <w:r w:rsidR="00E73AF9">
        <w:t>purchase of the former Mitsubishi Motor’s site in Adelaide to develop</w:t>
      </w:r>
      <w:r w:rsidR="009D442E">
        <w:t xml:space="preserve"> the </w:t>
      </w:r>
      <w:proofErr w:type="spellStart"/>
      <w:r w:rsidR="009D442E">
        <w:t>Tonsley</w:t>
      </w:r>
      <w:proofErr w:type="spellEnd"/>
      <w:r w:rsidR="009D442E">
        <w:t xml:space="preserve"> </w:t>
      </w:r>
      <w:r w:rsidR="00C3543E">
        <w:t>precinct</w:t>
      </w:r>
      <w:r w:rsidR="009D442E">
        <w:t>.</w:t>
      </w:r>
    </w:p>
    <w:p w14:paraId="074A7DE8" w14:textId="423809AA" w:rsidR="00716678" w:rsidRDefault="00D61F25" w:rsidP="007F33E9">
      <w:pPr>
        <w:pStyle w:val="Heading4"/>
        <w:shd w:val="clear" w:color="auto" w:fill="EBF7F8" w:themeFill="accent5" w:themeFillTint="33"/>
      </w:pPr>
      <w:r w:rsidRPr="00C268AA">
        <w:t>L</w:t>
      </w:r>
      <w:r w:rsidR="00716678">
        <w:t>and Tenure in Western Australia</w:t>
      </w:r>
    </w:p>
    <w:p w14:paraId="3FA46070" w14:textId="4FCCE1CE" w:rsidR="00D61F25" w:rsidRDefault="00D61F25" w:rsidP="007F33E9">
      <w:pPr>
        <w:shd w:val="clear" w:color="auto" w:fill="EBF7F8" w:themeFill="accent5" w:themeFillTint="33"/>
      </w:pPr>
      <w:r w:rsidRPr="000B1CE5">
        <w:t>The Western Australian Government has released new land to enable the development of the Murdoch Health and Knowledge Prec</w:t>
      </w:r>
      <w:r>
        <w:t>inct adjacent to Fiona Stanley Hospital, St John of God H</w:t>
      </w:r>
      <w:r w:rsidRPr="000B1CE5">
        <w:t xml:space="preserve">ospital, Murdoch University and South Metropolitan TAFE. </w:t>
      </w:r>
    </w:p>
    <w:p w14:paraId="4ABCB097" w14:textId="20147E1C" w:rsidR="00D61F25" w:rsidRDefault="00D61F25" w:rsidP="007F33E9">
      <w:pPr>
        <w:shd w:val="clear" w:color="auto" w:fill="EBF7F8" w:themeFill="accent5" w:themeFillTint="33"/>
      </w:pPr>
      <w:r w:rsidRPr="000B1CE5">
        <w:t>In addition, the WA Government has approved changes to land tenure to enable Murdoch University to create a new mixed use campus development, the Eastern Precinct, on undeveloped university land. The Eastern Precinct, which will expand the University’s research activities and education programs, is being developed in consultation with local and state governments to complement the Murdoch Health and Knowledge Precinct.</w:t>
      </w:r>
    </w:p>
    <w:p w14:paraId="6620C4C0" w14:textId="18E2F07C" w:rsidR="008720CA" w:rsidRDefault="008720CA" w:rsidP="009251FD">
      <w:pPr>
        <w:pStyle w:val="Heading3"/>
      </w:pPr>
      <w:bookmarkStart w:id="56" w:name="_Toc479074613"/>
      <w:bookmarkStart w:id="57" w:name="_Toc481660840"/>
      <w:bookmarkStart w:id="58" w:name="_Toc481660973"/>
      <w:bookmarkStart w:id="59" w:name="_Toc477448538"/>
      <w:r>
        <w:t>Local Government</w:t>
      </w:r>
      <w:r w:rsidR="001771B2">
        <w:t xml:space="preserve">s </w:t>
      </w:r>
      <w:r w:rsidR="00DC1E51">
        <w:t xml:space="preserve">are </w:t>
      </w:r>
      <w:r w:rsidR="001771B2">
        <w:t>provid</w:t>
      </w:r>
      <w:r w:rsidR="00DC1E51">
        <w:t>ing</w:t>
      </w:r>
      <w:r w:rsidR="001771B2">
        <w:t xml:space="preserve"> a valuable leadership role</w:t>
      </w:r>
      <w:bookmarkEnd w:id="56"/>
      <w:bookmarkEnd w:id="57"/>
      <w:bookmarkEnd w:id="58"/>
    </w:p>
    <w:p w14:paraId="1228F7DC" w14:textId="6AB170D8" w:rsidR="008720CA" w:rsidRDefault="008720CA" w:rsidP="008720CA">
      <w:r>
        <w:t xml:space="preserve">Local governments play a role in </w:t>
      </w:r>
      <w:r w:rsidR="00956755">
        <w:t>precinct</w:t>
      </w:r>
      <w:r>
        <w:t xml:space="preserve"> development, through</w:t>
      </w:r>
      <w:r w:rsidRPr="00D83400">
        <w:t xml:space="preserve"> land use planning</w:t>
      </w:r>
      <w:r>
        <w:t xml:space="preserve"> </w:t>
      </w:r>
      <w:r w:rsidRPr="00D83400">
        <w:t>and economic development strategies</w:t>
      </w:r>
      <w:r>
        <w:t xml:space="preserve">. </w:t>
      </w:r>
      <w:r w:rsidR="00DC1E51">
        <w:t>For example, the City of Melbourne is working with RMIT and the University of Melbourne to develop the knowledge precinct directly to the north of the CBD</w:t>
      </w:r>
      <w:r>
        <w:t xml:space="preserve">. </w:t>
      </w:r>
      <w:r w:rsidR="00160414">
        <w:t xml:space="preserve">The City of Greater Geelong works with the Geelong Manufacturing Council and Deakin University by providing complementary services to </w:t>
      </w:r>
      <w:r w:rsidR="006D65C5">
        <w:t>firms</w:t>
      </w:r>
      <w:r w:rsidR="00160414">
        <w:t>, by co-sponsoring networking events, and by promoting the region as a</w:t>
      </w:r>
      <w:r w:rsidR="006D65C5">
        <w:t xml:space="preserve">n </w:t>
      </w:r>
      <w:r w:rsidR="00160414">
        <w:t>innovative manufacturing centre.</w:t>
      </w:r>
    </w:p>
    <w:p w14:paraId="2029E115" w14:textId="2BA0497B" w:rsidR="008B1D65" w:rsidRDefault="008B1D65" w:rsidP="008B1D65">
      <w:pPr>
        <w:pStyle w:val="Heading2"/>
        <w:rPr>
          <w:rFonts w:eastAsia="Times New Roman"/>
        </w:rPr>
      </w:pPr>
      <w:bookmarkStart w:id="60" w:name="_Toc478133378"/>
      <w:bookmarkStart w:id="61" w:name="_Toc481660841"/>
      <w:bookmarkStart w:id="62" w:name="_Toc481660974"/>
      <w:bookmarkEnd w:id="59"/>
      <w:r>
        <w:rPr>
          <w:rFonts w:eastAsia="Times New Roman"/>
        </w:rPr>
        <w:lastRenderedPageBreak/>
        <w:t>Does Australia need a national strategy</w:t>
      </w:r>
      <w:bookmarkEnd w:id="60"/>
      <w:r>
        <w:rPr>
          <w:rFonts w:eastAsia="Times New Roman"/>
        </w:rPr>
        <w:t>?</w:t>
      </w:r>
      <w:bookmarkEnd w:id="61"/>
      <w:bookmarkEnd w:id="62"/>
    </w:p>
    <w:p w14:paraId="01AC9330" w14:textId="1510DA98" w:rsidR="008B1D65" w:rsidRDefault="00167F52" w:rsidP="008B1D65">
      <w:r>
        <w:t>Greater development of, and b</w:t>
      </w:r>
      <w:r w:rsidR="008B1D65">
        <w:t>etter linkages between</w:t>
      </w:r>
      <w:r>
        <w:t>,</w:t>
      </w:r>
      <w:r w:rsidR="008B1D65">
        <w:t xml:space="preserve"> </w:t>
      </w:r>
      <w:r>
        <w:t>precincts</w:t>
      </w:r>
      <w:r w:rsidR="008B1D65">
        <w:t xml:space="preserve"> can be supported by getting the incentives right and bringing the right parties together. </w:t>
      </w:r>
      <w:r w:rsidR="00C3543E">
        <w:t>For example, t</w:t>
      </w:r>
      <w:r>
        <w:t xml:space="preserve">he Australian Government is </w:t>
      </w:r>
      <w:r w:rsidR="007F5517">
        <w:t xml:space="preserve">already </w:t>
      </w:r>
      <w:r>
        <w:t xml:space="preserve">implementing reforms </w:t>
      </w:r>
      <w:r w:rsidR="004D4A9B">
        <w:t>to better incentivise industry research collaboration</w:t>
      </w:r>
      <w:r>
        <w:t xml:space="preserve">. </w:t>
      </w:r>
    </w:p>
    <w:p w14:paraId="580D3DB9" w14:textId="1E4496C0" w:rsidR="00B55FFA" w:rsidRDefault="00534BDB" w:rsidP="008B1D65">
      <w:r>
        <w:t>The federal, state and local governments, businesses, universities and research institutions administer a</w:t>
      </w:r>
      <w:r w:rsidR="002115CF">
        <w:t xml:space="preserve"> range of innovation, collaboration, education and training and regional </w:t>
      </w:r>
      <w:r>
        <w:t>initiatives</w:t>
      </w:r>
      <w:r w:rsidR="002115CF">
        <w:t xml:space="preserve"> </w:t>
      </w:r>
      <w:r>
        <w:t xml:space="preserve">that </w:t>
      </w:r>
      <w:r w:rsidR="002115CF">
        <w:t>affect precinct development</w:t>
      </w:r>
      <w:r>
        <w:t xml:space="preserve">. </w:t>
      </w:r>
      <w:r w:rsidR="001420A6">
        <w:t xml:space="preserve">In Australia, </w:t>
      </w:r>
      <w:r w:rsidR="00DF0DA0">
        <w:t>few</w:t>
      </w:r>
      <w:r w:rsidR="001420A6">
        <w:t xml:space="preserve"> initiatives </w:t>
      </w:r>
      <w:r w:rsidR="0001358E">
        <w:t xml:space="preserve">(particularly Australian Government initiatives) </w:t>
      </w:r>
      <w:r w:rsidR="001420A6">
        <w:t xml:space="preserve">consider </w:t>
      </w:r>
      <w:r w:rsidR="00B55FFA">
        <w:t xml:space="preserve">location, with the exception of </w:t>
      </w:r>
      <w:r w:rsidR="001420A6">
        <w:t>place</w:t>
      </w:r>
      <w:r w:rsidR="00B55FFA">
        <w:noBreakHyphen/>
      </w:r>
      <w:r w:rsidR="0001358E">
        <w:t>based</w:t>
      </w:r>
      <w:r w:rsidR="001420A6">
        <w:t xml:space="preserve"> </w:t>
      </w:r>
      <w:r w:rsidR="0001358E">
        <w:t>policies</w:t>
      </w:r>
      <w:r w:rsidR="00B55FFA">
        <w:t xml:space="preserve"> such as </w:t>
      </w:r>
      <w:hyperlink r:id="rId29" w:history="1">
        <w:r w:rsidR="00B55FFA" w:rsidRPr="00C92F3F">
          <w:rPr>
            <w:rStyle w:val="Hyperlink"/>
          </w:rPr>
          <w:t>City Deals</w:t>
        </w:r>
      </w:hyperlink>
      <w:r w:rsidR="00B55FFA">
        <w:t xml:space="preserve">, regional development programs, including </w:t>
      </w:r>
      <w:hyperlink r:id="rId30" w:history="1">
        <w:r w:rsidR="00B55FFA" w:rsidRPr="00C92F3F">
          <w:rPr>
            <w:rStyle w:val="Hyperlink"/>
          </w:rPr>
          <w:t xml:space="preserve">Regional </w:t>
        </w:r>
        <w:r w:rsidR="00DF0DA0" w:rsidRPr="00C92F3F">
          <w:rPr>
            <w:rStyle w:val="Hyperlink"/>
          </w:rPr>
          <w:t>Jobs</w:t>
        </w:r>
        <w:r w:rsidR="00B55FFA" w:rsidRPr="00C92F3F">
          <w:rPr>
            <w:rStyle w:val="Hyperlink"/>
          </w:rPr>
          <w:t xml:space="preserve"> and Investment Packages</w:t>
        </w:r>
      </w:hyperlink>
      <w:r w:rsidR="00B55FFA">
        <w:t xml:space="preserve"> and the </w:t>
      </w:r>
      <w:hyperlink r:id="rId31" w:history="1">
        <w:r w:rsidR="00B55FFA" w:rsidRPr="00C92F3F">
          <w:rPr>
            <w:rStyle w:val="Hyperlink"/>
          </w:rPr>
          <w:t>Regional Growth Fund</w:t>
        </w:r>
      </w:hyperlink>
      <w:r w:rsidR="00B55FFA">
        <w:t xml:space="preserve">, structural adjustment programs such as the </w:t>
      </w:r>
      <w:r w:rsidR="00B55FFA" w:rsidRPr="000E11F0">
        <w:t>Geelong Region Innovation and Investment Fund</w:t>
      </w:r>
      <w:r w:rsidR="00163AAA">
        <w:t xml:space="preserve">, and place-based research programs such as the </w:t>
      </w:r>
      <w:hyperlink r:id="rId32" w:history="1">
        <w:r w:rsidR="00163AAA" w:rsidRPr="00C92F3F">
          <w:rPr>
            <w:rStyle w:val="Hyperlink"/>
          </w:rPr>
          <w:t>Advanced Health Research and Translation Centres</w:t>
        </w:r>
      </w:hyperlink>
      <w:r w:rsidR="001420A6">
        <w:t>.</w:t>
      </w:r>
    </w:p>
    <w:p w14:paraId="7E5761B2" w14:textId="0F05CC9C" w:rsidR="002115CF" w:rsidRDefault="006E0907" w:rsidP="008B1D65">
      <w:r>
        <w:t xml:space="preserve">There may be opportunities to </w:t>
      </w:r>
      <w:r w:rsidR="00485BAF">
        <w:t xml:space="preserve">better </w:t>
      </w:r>
      <w:r>
        <w:t>coordinate th</w:t>
      </w:r>
      <w:r w:rsidR="00161851">
        <w:t>ese</w:t>
      </w:r>
      <w:r>
        <w:t xml:space="preserve"> activit</w:t>
      </w:r>
      <w:r w:rsidR="00161851">
        <w:t>ies and precinct development</w:t>
      </w:r>
      <w:r>
        <w:t xml:space="preserve"> </w:t>
      </w:r>
      <w:r w:rsidR="00485BAF">
        <w:t>through a strategy</w:t>
      </w:r>
      <w:r>
        <w:t>.</w:t>
      </w:r>
    </w:p>
    <w:p w14:paraId="54974086" w14:textId="10B2A4B8" w:rsidR="008B1D65" w:rsidRDefault="00C3543E" w:rsidP="008B1D65">
      <w:r>
        <w:t xml:space="preserve">To facilitate </w:t>
      </w:r>
      <w:r w:rsidR="001A3B50">
        <w:t>discussions</w:t>
      </w:r>
      <w:r>
        <w:t>, it may be helpful to offer one suggestion</w:t>
      </w:r>
      <w:r w:rsidR="001A3B50">
        <w:t xml:space="preserve"> about what a national strategy may include</w:t>
      </w:r>
      <w:r>
        <w:t xml:space="preserve">. </w:t>
      </w:r>
      <w:r w:rsidR="008B1D65">
        <w:t>There may</w:t>
      </w:r>
      <w:r>
        <w:t xml:space="preserve">, for example, </w:t>
      </w:r>
      <w:r w:rsidR="008B1D65">
        <w:t xml:space="preserve">be value in </w:t>
      </w:r>
      <w:r w:rsidR="00820A81">
        <w:t xml:space="preserve">the Commonwealth </w:t>
      </w:r>
      <w:r>
        <w:t xml:space="preserve">doing more to </w:t>
      </w:r>
      <w:r w:rsidR="00820A81">
        <w:t>fram</w:t>
      </w:r>
      <w:r>
        <w:t>e</w:t>
      </w:r>
      <w:r w:rsidR="00820A81">
        <w:t xml:space="preserve"> a national narrative, and lead discussion, on </w:t>
      </w:r>
      <w:r w:rsidR="00167F52">
        <w:t>precincts</w:t>
      </w:r>
      <w:r w:rsidR="00CD7E8D">
        <w:t xml:space="preserve"> in Australia</w:t>
      </w:r>
      <w:r w:rsidR="008B1D65">
        <w:t>. This could involve:</w:t>
      </w:r>
    </w:p>
    <w:p w14:paraId="0B7A7A99" w14:textId="3065D12E" w:rsidR="007F5517" w:rsidRPr="00AE5BA7" w:rsidRDefault="007F5517" w:rsidP="007F5517">
      <w:pPr>
        <w:pStyle w:val="ListParagraph"/>
      </w:pPr>
      <w:r>
        <w:t>Using the convening authority of Government to bring relevant players together to strengthen a common agenda</w:t>
      </w:r>
    </w:p>
    <w:p w14:paraId="619FD421" w14:textId="6DD15DD2" w:rsidR="007F5517" w:rsidRDefault="007F5517" w:rsidP="007F5517">
      <w:pPr>
        <w:pStyle w:val="ListParagraph"/>
      </w:pPr>
      <w:r>
        <w:t xml:space="preserve">Leveraging complementary government programs (e.g. </w:t>
      </w:r>
      <w:r w:rsidRPr="00AE5BA7">
        <w:t>Growth Centres</w:t>
      </w:r>
      <w:r>
        <w:t>) to</w:t>
      </w:r>
      <w:r w:rsidRPr="00AE5BA7">
        <w:t xml:space="preserve"> facilitat</w:t>
      </w:r>
      <w:r>
        <w:t>e</w:t>
      </w:r>
      <w:r w:rsidRPr="00AE5BA7">
        <w:t xml:space="preserve"> collaborative partnerships and projects between precincts</w:t>
      </w:r>
      <w:r w:rsidR="00B300D8">
        <w:t>.</w:t>
      </w:r>
    </w:p>
    <w:p w14:paraId="795CEAF4" w14:textId="4F12988A" w:rsidR="0048349E" w:rsidRPr="00AE5BA7" w:rsidRDefault="0048349E" w:rsidP="0048349E">
      <w:pPr>
        <w:pStyle w:val="ListParagraph"/>
      </w:pPr>
      <w:r>
        <w:t>H</w:t>
      </w:r>
      <w:r w:rsidRPr="0048349E">
        <w:t xml:space="preserve">ighlighting the value and need of linked up government </w:t>
      </w:r>
      <w:r>
        <w:t xml:space="preserve">across federal, state and local jurisdictions, </w:t>
      </w:r>
      <w:r w:rsidRPr="0048349E">
        <w:t>and example issues</w:t>
      </w:r>
      <w:r>
        <w:t xml:space="preserve"> that could be considered </w:t>
      </w:r>
      <w:r w:rsidR="00BF3D60">
        <w:t xml:space="preserve">from the perspective of </w:t>
      </w:r>
      <w:r>
        <w:t xml:space="preserve">precinct development. </w:t>
      </w:r>
    </w:p>
    <w:p w14:paraId="49933557" w14:textId="3E035FE9" w:rsidR="008B1D65" w:rsidRDefault="008B1D65" w:rsidP="007F5517">
      <w:pPr>
        <w:pStyle w:val="ListParagraph"/>
      </w:pPr>
      <w:r>
        <w:t xml:space="preserve">Demonstrating to the public how inputs into </w:t>
      </w:r>
      <w:r w:rsidR="00C3543E">
        <w:t>university precincts</w:t>
      </w:r>
      <w:r>
        <w:t xml:space="preserve"> can benefit the economy, and the community</w:t>
      </w:r>
      <w:r w:rsidR="00B300D8">
        <w:t>.</w:t>
      </w:r>
    </w:p>
    <w:p w14:paraId="2F722139" w14:textId="6D1C8D07" w:rsidR="008B1D65" w:rsidRDefault="008B1D65" w:rsidP="008B1D65">
      <w:pPr>
        <w:pStyle w:val="ListParagraph"/>
      </w:pPr>
      <w:r w:rsidRPr="00AE5BA7">
        <w:t>Promoting an image of Australia as an innovative economy</w:t>
      </w:r>
      <w:r w:rsidR="001420A6">
        <w:t xml:space="preserve"> and encourage international networks and investment in university precincts</w:t>
      </w:r>
      <w:r w:rsidR="00B300D8">
        <w:t>.</w:t>
      </w:r>
    </w:p>
    <w:p w14:paraId="29243546" w14:textId="5F4A87A5" w:rsidR="0007008A" w:rsidRPr="00AE5BA7" w:rsidRDefault="0007008A" w:rsidP="008B1D65">
      <w:pPr>
        <w:pStyle w:val="ListParagraph"/>
      </w:pPr>
      <w:r>
        <w:t xml:space="preserve">Considering how </w:t>
      </w:r>
      <w:r w:rsidR="001A3ADF">
        <w:t>traditional and knowledge</w:t>
      </w:r>
      <w:r w:rsidR="0001358E">
        <w:t xml:space="preserve"> </w:t>
      </w:r>
      <w:r>
        <w:t>infrastructure supports effective precincts.</w:t>
      </w:r>
    </w:p>
    <w:p w14:paraId="487160A6" w14:textId="5CADFBE2" w:rsidR="008B1D65" w:rsidRPr="00AE5BA7" w:rsidRDefault="008B1D65" w:rsidP="008B1D65">
      <w:pPr>
        <w:pStyle w:val="ListParagraph"/>
      </w:pPr>
      <w:r w:rsidRPr="00AE5BA7">
        <w:t xml:space="preserve">Case studies to share good practice </w:t>
      </w:r>
      <w:r w:rsidR="006D65C5">
        <w:t>with</w:t>
      </w:r>
      <w:r w:rsidR="006D65C5" w:rsidRPr="00AE5BA7">
        <w:t xml:space="preserve"> </w:t>
      </w:r>
      <w:r w:rsidRPr="00AE5BA7">
        <w:t>universities, business and governments</w:t>
      </w:r>
      <w:r w:rsidR="00B300D8">
        <w:t>.</w:t>
      </w:r>
    </w:p>
    <w:p w14:paraId="4405891C" w14:textId="77777777" w:rsidR="008B1D65" w:rsidRPr="00AE5BA7" w:rsidRDefault="008B1D65" w:rsidP="008B1D65">
      <w:pPr>
        <w:pStyle w:val="ListParagraph"/>
      </w:pPr>
      <w:r w:rsidRPr="00AE5BA7">
        <w:t>Disseminating learnings from domestic and international precinct development (success and failures)</w:t>
      </w:r>
    </w:p>
    <w:p w14:paraId="1045CD97" w14:textId="0C6DFDA4" w:rsidR="001420A6" w:rsidRDefault="008B1D65" w:rsidP="001420A6">
      <w:r w:rsidRPr="00EA3F13">
        <w:t xml:space="preserve">A </w:t>
      </w:r>
      <w:r>
        <w:t xml:space="preserve">national </w:t>
      </w:r>
      <w:r w:rsidRPr="00EA3F13">
        <w:t xml:space="preserve">strategy could also support Government policy agendas such as the </w:t>
      </w:r>
      <w:hyperlink r:id="rId33" w:history="1">
        <w:r w:rsidR="00167F52" w:rsidRPr="003A561D">
          <w:rPr>
            <w:rStyle w:val="Hyperlink"/>
          </w:rPr>
          <w:t>National Innovation and Science Agenda</w:t>
        </w:r>
      </w:hyperlink>
      <w:r w:rsidRPr="00EA3F13">
        <w:t xml:space="preserve">, </w:t>
      </w:r>
      <w:r w:rsidR="00167F52">
        <w:t xml:space="preserve">the </w:t>
      </w:r>
      <w:hyperlink r:id="rId34" w:history="1">
        <w:r w:rsidRPr="003A561D">
          <w:rPr>
            <w:rStyle w:val="Hyperlink"/>
          </w:rPr>
          <w:t>Cities Agenda</w:t>
        </w:r>
      </w:hyperlink>
      <w:r w:rsidRPr="00EA3F13">
        <w:t xml:space="preserve">, and election commitments to develop precincts, </w:t>
      </w:r>
      <w:r>
        <w:t xml:space="preserve">and </w:t>
      </w:r>
      <w:r w:rsidRPr="00EA3F13">
        <w:t>Industry Growth Centres</w:t>
      </w:r>
      <w:r>
        <w:t xml:space="preserve"> in their role as a national </w:t>
      </w:r>
      <w:r w:rsidR="006D65C5">
        <w:t xml:space="preserve">collaboration </w:t>
      </w:r>
      <w:r>
        <w:t>network</w:t>
      </w:r>
      <w:r w:rsidRPr="00B3298E">
        <w:t>.</w:t>
      </w:r>
    </w:p>
    <w:p w14:paraId="638CD6B9" w14:textId="591E5BD6" w:rsidR="007F33E9" w:rsidRDefault="001420A6" w:rsidP="008720CA">
      <w:r>
        <w:t xml:space="preserve">Finally, </w:t>
      </w:r>
      <w:r w:rsidR="00D56641">
        <w:t>a</w:t>
      </w:r>
      <w:r>
        <w:t xml:space="preserve"> precinct’s development differs by maturity and by </w:t>
      </w:r>
      <w:r w:rsidR="00D56641">
        <w:t xml:space="preserve">whether it is in a </w:t>
      </w:r>
      <w:r>
        <w:t xml:space="preserve">regional, urban or </w:t>
      </w:r>
      <w:r w:rsidR="00F50641">
        <w:t xml:space="preserve">in an </w:t>
      </w:r>
      <w:r>
        <w:t xml:space="preserve">inner city location. Precinct development varies significantly across Australia within these segments. </w:t>
      </w:r>
      <w:r w:rsidR="00D56641">
        <w:t>A</w:t>
      </w:r>
      <w:r w:rsidR="00426197">
        <w:t>ny</w:t>
      </w:r>
      <w:r w:rsidR="00D56641">
        <w:t xml:space="preserve"> national</w:t>
      </w:r>
      <w:r>
        <w:t xml:space="preserve"> strategy</w:t>
      </w:r>
      <w:r w:rsidR="00D56641">
        <w:t xml:space="preserve"> </w:t>
      </w:r>
      <w:r w:rsidR="00B4451D">
        <w:t xml:space="preserve">may </w:t>
      </w:r>
      <w:r w:rsidR="00D56641">
        <w:t>need to be cognisant of these segments and variations.</w:t>
      </w:r>
    </w:p>
    <w:p w14:paraId="7CB5FD33" w14:textId="77777777" w:rsidR="007F33E9" w:rsidRDefault="007F33E9">
      <w:pPr>
        <w:spacing w:before="0" w:after="160" w:line="259" w:lineRule="auto"/>
      </w:pPr>
      <w:r>
        <w:br w:type="page"/>
      </w:r>
    </w:p>
    <w:p w14:paraId="55AD0396" w14:textId="696F6543" w:rsidR="007F33E9" w:rsidRDefault="007F33E9" w:rsidP="007F33E9">
      <w:pPr>
        <w:pStyle w:val="Heading2"/>
        <w:shd w:val="clear" w:color="auto" w:fill="EBF7F8" w:themeFill="accent5" w:themeFillTint="33"/>
        <w:cnfStyle w:val="001000100000" w:firstRow="0" w:lastRow="0" w:firstColumn="1" w:lastColumn="0" w:oddVBand="0" w:evenVBand="0" w:oddHBand="1" w:evenHBand="0" w:firstRowFirstColumn="0" w:firstRowLastColumn="0" w:lastRowFirstColumn="0" w:lastRowLastColumn="0"/>
        <w:rPr>
          <w:b/>
          <w:color w:val="000000" w:themeColor="text1"/>
        </w:rPr>
      </w:pPr>
      <w:bookmarkStart w:id="63" w:name="_Appendix_A_–"/>
      <w:bookmarkStart w:id="64" w:name="_ARC_Linkage_Programme"/>
      <w:bookmarkStart w:id="65" w:name="_Toc479074614"/>
      <w:bookmarkStart w:id="66" w:name="_Toc481660842"/>
      <w:bookmarkStart w:id="67" w:name="_Toc481660975"/>
      <w:bookmarkEnd w:id="63"/>
      <w:bookmarkEnd w:id="64"/>
      <w:r>
        <w:lastRenderedPageBreak/>
        <w:t>Seeking your views on the need for a strategy</w:t>
      </w:r>
      <w:bookmarkEnd w:id="65"/>
      <w:bookmarkEnd w:id="66"/>
      <w:bookmarkEnd w:id="67"/>
    </w:p>
    <w:p w14:paraId="644B6CE8" w14:textId="77777777" w:rsidR="007F33E9" w:rsidRPr="00A50061" w:rsidRDefault="007F33E9" w:rsidP="007F33E9">
      <w:pPr>
        <w:shd w:val="clear" w:color="auto" w:fill="EBF7F8" w:themeFill="accent5" w:themeFillTint="33"/>
        <w:spacing w:before="0" w:after="0" w:line="259" w:lineRule="auto"/>
        <w:cnfStyle w:val="001000100000" w:firstRow="0" w:lastRow="0" w:firstColumn="1" w:lastColumn="0" w:oddVBand="0" w:evenVBand="0" w:oddHBand="1" w:evenHBand="0" w:firstRowFirstColumn="0" w:firstRowLastColumn="0" w:lastRowFirstColumn="0" w:lastRowLastColumn="0"/>
        <w:rPr>
          <w:b/>
          <w:color w:val="000000" w:themeColor="text1"/>
        </w:rPr>
      </w:pPr>
      <w:r w:rsidRPr="00A50061">
        <w:rPr>
          <w:b/>
          <w:color w:val="000000" w:themeColor="text1"/>
        </w:rPr>
        <w:t xml:space="preserve">How do we encourage </w:t>
      </w:r>
      <w:r>
        <w:rPr>
          <w:b/>
          <w:color w:val="000000" w:themeColor="text1"/>
        </w:rPr>
        <w:t>the growth of</w:t>
      </w:r>
      <w:r w:rsidRPr="00A50061">
        <w:rPr>
          <w:b/>
          <w:color w:val="000000" w:themeColor="text1"/>
        </w:rPr>
        <w:t xml:space="preserve"> precinct</w:t>
      </w:r>
      <w:r>
        <w:rPr>
          <w:b/>
          <w:color w:val="000000" w:themeColor="text1"/>
        </w:rPr>
        <w:t>s such that they engage with wider groups of industry, entrepreneurial, start-up and community stakeholders</w:t>
      </w:r>
      <w:r w:rsidRPr="00A50061">
        <w:rPr>
          <w:b/>
          <w:color w:val="000000" w:themeColor="text1"/>
        </w:rPr>
        <w:t>?</w:t>
      </w:r>
    </w:p>
    <w:p w14:paraId="3C9DEE34" w14:textId="77777777" w:rsidR="007F33E9" w:rsidRDefault="007F33E9" w:rsidP="007F33E9">
      <w:pPr>
        <w:pStyle w:val="ListParagraph"/>
        <w:numPr>
          <w:ilvl w:val="0"/>
          <w:numId w:val="64"/>
        </w:numPr>
        <w:shd w:val="clear" w:color="auto" w:fill="EBF7F8" w:themeFill="accent5" w:themeFillTint="33"/>
        <w:spacing w:before="0" w:after="160" w:line="259" w:lineRule="auto"/>
        <w:cnfStyle w:val="001000100000" w:firstRow="0" w:lastRow="0" w:firstColumn="1" w:lastColumn="0" w:oddVBand="0" w:evenVBand="0" w:oddHBand="1" w:evenHBand="0" w:firstRowFirstColumn="0" w:firstRowLastColumn="0" w:lastRowFirstColumn="0" w:lastRowLastColumn="0"/>
        <w:rPr>
          <w:color w:val="000000" w:themeColor="text1"/>
        </w:rPr>
      </w:pPr>
      <w:r w:rsidRPr="00EB5811">
        <w:rPr>
          <w:color w:val="000000" w:themeColor="text1"/>
        </w:rPr>
        <w:t>What is already happening in this space that could be highlighted?</w:t>
      </w:r>
    </w:p>
    <w:p w14:paraId="11C80647" w14:textId="77777777" w:rsidR="007F33E9" w:rsidRDefault="007F33E9" w:rsidP="007F33E9">
      <w:pPr>
        <w:pStyle w:val="ListParagraph"/>
        <w:numPr>
          <w:ilvl w:val="0"/>
          <w:numId w:val="64"/>
        </w:numPr>
        <w:shd w:val="clear" w:color="auto" w:fill="EBF7F8" w:themeFill="accent5" w:themeFillTint="33"/>
        <w:spacing w:before="0" w:after="160" w:line="259" w:lineRule="auto"/>
        <w:cnfStyle w:val="001000100000" w:firstRow="0" w:lastRow="0" w:firstColumn="1" w:lastColumn="0" w:oddVBand="0" w:evenVBand="0" w:oddHBand="1" w:evenHBand="0" w:firstRowFirstColumn="0" w:firstRowLastColumn="0" w:lastRowFirstColumn="0" w:lastRowLastColumn="0"/>
        <w:rPr>
          <w:color w:val="000000" w:themeColor="text1"/>
        </w:rPr>
      </w:pPr>
      <w:r>
        <w:rPr>
          <w:color w:val="000000" w:themeColor="text1"/>
        </w:rPr>
        <w:t>What is good practice in business and university engagement? Does this vary for CBD, urban and regional precincts?</w:t>
      </w:r>
    </w:p>
    <w:p w14:paraId="41A58CE9" w14:textId="77777777" w:rsidR="007F33E9" w:rsidRPr="00EB5811" w:rsidRDefault="007F33E9" w:rsidP="007F33E9">
      <w:pPr>
        <w:pStyle w:val="ListParagraph"/>
        <w:numPr>
          <w:ilvl w:val="0"/>
          <w:numId w:val="64"/>
        </w:numPr>
        <w:shd w:val="clear" w:color="auto" w:fill="EBF7F8" w:themeFill="accent5" w:themeFillTint="33"/>
        <w:spacing w:before="0" w:after="160" w:line="259" w:lineRule="auto"/>
        <w:cnfStyle w:val="001000100000" w:firstRow="0" w:lastRow="0" w:firstColumn="1" w:lastColumn="0" w:oddVBand="0" w:evenVBand="0" w:oddHBand="1" w:evenHBand="0" w:firstRowFirstColumn="0" w:firstRowLastColumn="0" w:lastRowFirstColumn="0" w:lastRowLastColumn="0"/>
        <w:rPr>
          <w:color w:val="000000" w:themeColor="text1"/>
        </w:rPr>
      </w:pPr>
      <w:r>
        <w:rPr>
          <w:color w:val="000000" w:themeColor="text1"/>
        </w:rPr>
        <w:t>What are some exemplar precincts that could be highlighted as case studies?</w:t>
      </w:r>
    </w:p>
    <w:p w14:paraId="071BAC8D" w14:textId="77777777" w:rsidR="007F33E9" w:rsidRPr="00EB5811" w:rsidRDefault="007F33E9" w:rsidP="007F33E9">
      <w:pPr>
        <w:pStyle w:val="ListParagraph"/>
        <w:numPr>
          <w:ilvl w:val="0"/>
          <w:numId w:val="64"/>
        </w:numPr>
        <w:shd w:val="clear" w:color="auto" w:fill="EBF7F8" w:themeFill="accent5" w:themeFillTint="33"/>
        <w:spacing w:before="0" w:after="160" w:line="259" w:lineRule="auto"/>
        <w:cnfStyle w:val="001000100000" w:firstRow="0" w:lastRow="0" w:firstColumn="1" w:lastColumn="0" w:oddVBand="0" w:evenVBand="0" w:oddHBand="1" w:evenHBand="0" w:firstRowFirstColumn="0" w:firstRowLastColumn="0" w:lastRowFirstColumn="0" w:lastRowLastColumn="0"/>
        <w:rPr>
          <w:color w:val="000000" w:themeColor="text1"/>
        </w:rPr>
      </w:pPr>
      <w:r w:rsidRPr="00EB5811">
        <w:rPr>
          <w:color w:val="000000" w:themeColor="text1"/>
        </w:rPr>
        <w:t xml:space="preserve">If the anchor tenant is a university, how do we encourage </w:t>
      </w:r>
      <w:r>
        <w:rPr>
          <w:color w:val="000000" w:themeColor="text1"/>
        </w:rPr>
        <w:t xml:space="preserve">more </w:t>
      </w:r>
      <w:r w:rsidRPr="00EB5811">
        <w:rPr>
          <w:color w:val="000000" w:themeColor="text1"/>
        </w:rPr>
        <w:t xml:space="preserve">business </w:t>
      </w:r>
      <w:r>
        <w:rPr>
          <w:color w:val="000000" w:themeColor="text1"/>
        </w:rPr>
        <w:t xml:space="preserve">and community </w:t>
      </w:r>
      <w:r w:rsidRPr="00EB5811">
        <w:rPr>
          <w:color w:val="000000" w:themeColor="text1"/>
        </w:rPr>
        <w:t>engagement?</w:t>
      </w:r>
    </w:p>
    <w:p w14:paraId="4BB751E6" w14:textId="77777777" w:rsidR="007F33E9" w:rsidRDefault="007F33E9" w:rsidP="007F33E9">
      <w:pPr>
        <w:pStyle w:val="ListParagraph"/>
        <w:numPr>
          <w:ilvl w:val="1"/>
          <w:numId w:val="64"/>
        </w:numPr>
        <w:shd w:val="clear" w:color="auto" w:fill="EBF7F8" w:themeFill="accent5" w:themeFillTint="33"/>
        <w:spacing w:before="0" w:after="160" w:line="259" w:lineRule="auto"/>
        <w:cnfStyle w:val="001000100000" w:firstRow="0" w:lastRow="0" w:firstColumn="1" w:lastColumn="0" w:oddVBand="0" w:evenVBand="0" w:oddHBand="1" w:evenHBand="0" w:firstRowFirstColumn="0" w:firstRowLastColumn="0" w:lastRowFirstColumn="0" w:lastRowLastColumn="0"/>
        <w:rPr>
          <w:color w:val="000000" w:themeColor="text1"/>
        </w:rPr>
      </w:pPr>
      <w:r>
        <w:rPr>
          <w:color w:val="000000" w:themeColor="text1"/>
        </w:rPr>
        <w:t>What is the role for significant businesses in a precinct?</w:t>
      </w:r>
    </w:p>
    <w:p w14:paraId="52CDB2A1" w14:textId="77777777" w:rsidR="007F33E9" w:rsidRDefault="007F33E9" w:rsidP="007F33E9">
      <w:pPr>
        <w:pStyle w:val="ListParagraph"/>
        <w:numPr>
          <w:ilvl w:val="1"/>
          <w:numId w:val="64"/>
        </w:numPr>
        <w:shd w:val="clear" w:color="auto" w:fill="EBF7F8" w:themeFill="accent5" w:themeFillTint="33"/>
        <w:spacing w:before="0" w:after="160" w:line="259" w:lineRule="auto"/>
        <w:cnfStyle w:val="001000100000" w:firstRow="0" w:lastRow="0" w:firstColumn="1" w:lastColumn="0" w:oddVBand="0" w:evenVBand="0" w:oddHBand="1" w:evenHBand="0" w:firstRowFirstColumn="0" w:firstRowLastColumn="0" w:lastRowFirstColumn="0" w:lastRowLastColumn="0"/>
        <w:rPr>
          <w:color w:val="000000" w:themeColor="text1"/>
        </w:rPr>
      </w:pPr>
      <w:r>
        <w:rPr>
          <w:color w:val="000000" w:themeColor="text1"/>
        </w:rPr>
        <w:t>Is there a need for an independent facilitator?</w:t>
      </w:r>
    </w:p>
    <w:p w14:paraId="384AAEAB" w14:textId="77777777" w:rsidR="007F33E9" w:rsidRDefault="007F33E9" w:rsidP="007F33E9">
      <w:pPr>
        <w:pStyle w:val="ListParagraph"/>
        <w:numPr>
          <w:ilvl w:val="1"/>
          <w:numId w:val="64"/>
        </w:numPr>
        <w:shd w:val="clear" w:color="auto" w:fill="EBF7F8" w:themeFill="accent5" w:themeFillTint="33"/>
        <w:spacing w:before="0" w:after="160" w:line="259" w:lineRule="auto"/>
        <w:cnfStyle w:val="001000100000" w:firstRow="0" w:lastRow="0" w:firstColumn="1" w:lastColumn="0" w:oddVBand="0" w:evenVBand="0" w:oddHBand="1" w:evenHBand="0" w:firstRowFirstColumn="0" w:firstRowLastColumn="0" w:lastRowFirstColumn="0" w:lastRowLastColumn="0"/>
        <w:rPr>
          <w:color w:val="000000" w:themeColor="text1"/>
        </w:rPr>
      </w:pPr>
      <w:r>
        <w:rPr>
          <w:color w:val="000000" w:themeColor="text1"/>
        </w:rPr>
        <w:t>What are the core skills needed for facilitators?</w:t>
      </w:r>
    </w:p>
    <w:p w14:paraId="241BAA58" w14:textId="77777777" w:rsidR="007F33E9" w:rsidRPr="00A50061" w:rsidRDefault="007F33E9" w:rsidP="007F33E9">
      <w:pPr>
        <w:pStyle w:val="ListParagraph"/>
        <w:numPr>
          <w:ilvl w:val="0"/>
          <w:numId w:val="64"/>
        </w:numPr>
        <w:shd w:val="clear" w:color="auto" w:fill="EBF7F8" w:themeFill="accent5" w:themeFillTint="33"/>
        <w:spacing w:before="0" w:after="160" w:line="259" w:lineRule="auto"/>
        <w:cnfStyle w:val="001000100000" w:firstRow="0" w:lastRow="0" w:firstColumn="1" w:lastColumn="0" w:oddVBand="0" w:evenVBand="0" w:oddHBand="1" w:evenHBand="0" w:firstRowFirstColumn="0" w:firstRowLastColumn="0" w:lastRowFirstColumn="0" w:lastRowLastColumn="0"/>
        <w:rPr>
          <w:color w:val="000000" w:themeColor="text1"/>
        </w:rPr>
      </w:pPr>
      <w:r>
        <w:rPr>
          <w:color w:val="000000" w:themeColor="text1"/>
        </w:rPr>
        <w:t>What could encourage greater collaboration between precincts, both domestically and internationally?</w:t>
      </w:r>
    </w:p>
    <w:p w14:paraId="5462ABBD" w14:textId="77777777" w:rsidR="007F33E9" w:rsidRPr="00A50061" w:rsidRDefault="007F33E9" w:rsidP="007F33E9">
      <w:pPr>
        <w:shd w:val="clear" w:color="auto" w:fill="EBF7F8" w:themeFill="accent5" w:themeFillTint="33"/>
        <w:spacing w:after="0"/>
        <w:cnfStyle w:val="001000100000" w:firstRow="0" w:lastRow="0" w:firstColumn="1" w:lastColumn="0" w:oddVBand="0" w:evenVBand="0" w:oddHBand="1" w:evenHBand="0" w:firstRowFirstColumn="0" w:firstRowLastColumn="0" w:lastRowFirstColumn="0" w:lastRowLastColumn="0"/>
        <w:rPr>
          <w:b/>
          <w:color w:val="000000" w:themeColor="text1"/>
        </w:rPr>
      </w:pPr>
      <w:r>
        <w:rPr>
          <w:b/>
          <w:color w:val="000000" w:themeColor="text1"/>
        </w:rPr>
        <w:t>Q</w:t>
      </w:r>
      <w:r w:rsidRPr="00A50061">
        <w:rPr>
          <w:b/>
          <w:color w:val="000000" w:themeColor="text1"/>
        </w:rPr>
        <w:t xml:space="preserve">uestions for industry </w:t>
      </w:r>
      <w:r>
        <w:rPr>
          <w:b/>
          <w:color w:val="000000" w:themeColor="text1"/>
        </w:rPr>
        <w:t xml:space="preserve">and community </w:t>
      </w:r>
      <w:r w:rsidRPr="00A50061">
        <w:rPr>
          <w:b/>
          <w:color w:val="000000" w:themeColor="text1"/>
        </w:rPr>
        <w:t>partners</w:t>
      </w:r>
      <w:r>
        <w:rPr>
          <w:b/>
          <w:color w:val="000000" w:themeColor="text1"/>
        </w:rPr>
        <w:t xml:space="preserve"> currently involved in precincts</w:t>
      </w:r>
      <w:r w:rsidRPr="00A50061">
        <w:rPr>
          <w:b/>
          <w:color w:val="000000" w:themeColor="text1"/>
        </w:rPr>
        <w:t>:</w:t>
      </w:r>
    </w:p>
    <w:p w14:paraId="68634D38" w14:textId="77777777" w:rsidR="007F33E9" w:rsidRDefault="007F33E9" w:rsidP="007F33E9">
      <w:pPr>
        <w:numPr>
          <w:ilvl w:val="0"/>
          <w:numId w:val="64"/>
        </w:numPr>
        <w:shd w:val="clear" w:color="auto" w:fill="EBF7F8" w:themeFill="accent5" w:themeFillTint="33"/>
        <w:spacing w:before="0" w:after="0" w:line="259" w:lineRule="auto"/>
        <w:cnfStyle w:val="001000100000" w:firstRow="0" w:lastRow="0" w:firstColumn="1" w:lastColumn="0" w:oddVBand="0" w:evenVBand="0" w:oddHBand="1" w:evenHBand="0" w:firstRowFirstColumn="0" w:firstRowLastColumn="0" w:lastRowFirstColumn="0" w:lastRowLastColumn="0"/>
        <w:rPr>
          <w:color w:val="000000" w:themeColor="text1"/>
        </w:rPr>
      </w:pPr>
      <w:r>
        <w:rPr>
          <w:color w:val="000000" w:themeColor="text1"/>
        </w:rPr>
        <w:t>How did your relationship with the university develop?</w:t>
      </w:r>
    </w:p>
    <w:p w14:paraId="44965C33" w14:textId="77777777" w:rsidR="007F33E9" w:rsidRPr="00EC00B5" w:rsidRDefault="007F33E9" w:rsidP="007F33E9">
      <w:pPr>
        <w:numPr>
          <w:ilvl w:val="0"/>
          <w:numId w:val="64"/>
        </w:numPr>
        <w:shd w:val="clear" w:color="auto" w:fill="EBF7F8" w:themeFill="accent5" w:themeFillTint="33"/>
        <w:spacing w:before="0" w:after="0" w:line="259" w:lineRule="auto"/>
        <w:cnfStyle w:val="001000100000" w:firstRow="0" w:lastRow="0" w:firstColumn="1" w:lastColumn="0" w:oddVBand="0" w:evenVBand="0" w:oddHBand="1" w:evenHBand="0" w:firstRowFirstColumn="0" w:firstRowLastColumn="0" w:lastRowFirstColumn="0" w:lastRowLastColumn="0"/>
        <w:rPr>
          <w:color w:val="000000" w:themeColor="text1"/>
        </w:rPr>
      </w:pPr>
      <w:r w:rsidRPr="00EC00B5">
        <w:rPr>
          <w:color w:val="000000" w:themeColor="text1"/>
        </w:rPr>
        <w:t>Why did you locate your business</w:t>
      </w:r>
      <w:r>
        <w:rPr>
          <w:color w:val="000000" w:themeColor="text1"/>
        </w:rPr>
        <w:t xml:space="preserve"> or organisation</w:t>
      </w:r>
      <w:r w:rsidRPr="00EC00B5">
        <w:rPr>
          <w:color w:val="000000" w:themeColor="text1"/>
        </w:rPr>
        <w:t xml:space="preserve"> in a precinct?</w:t>
      </w:r>
    </w:p>
    <w:p w14:paraId="575BD7DC" w14:textId="77777777" w:rsidR="007F33E9" w:rsidRPr="00EB5811" w:rsidRDefault="007F33E9" w:rsidP="007F33E9">
      <w:pPr>
        <w:numPr>
          <w:ilvl w:val="1"/>
          <w:numId w:val="64"/>
        </w:numPr>
        <w:shd w:val="clear" w:color="auto" w:fill="EBF7F8" w:themeFill="accent5" w:themeFillTint="33"/>
        <w:spacing w:before="0" w:after="160" w:line="259" w:lineRule="auto"/>
        <w:contextualSpacing/>
        <w:cnfStyle w:val="001000100000" w:firstRow="0" w:lastRow="0" w:firstColumn="1" w:lastColumn="0" w:oddVBand="0" w:evenVBand="0" w:oddHBand="1" w:evenHBand="0" w:firstRowFirstColumn="0" w:firstRowLastColumn="0" w:lastRowFirstColumn="0" w:lastRowLastColumn="0"/>
        <w:rPr>
          <w:color w:val="000000" w:themeColor="text1"/>
        </w:rPr>
      </w:pPr>
      <w:r w:rsidRPr="00EB5811">
        <w:rPr>
          <w:color w:val="000000" w:themeColor="text1"/>
        </w:rPr>
        <w:t>Was it access to talent and capability? Or was it certain incentives?</w:t>
      </w:r>
    </w:p>
    <w:p w14:paraId="7974E9C3" w14:textId="77777777" w:rsidR="007F33E9" w:rsidRDefault="007F33E9" w:rsidP="007F33E9">
      <w:pPr>
        <w:numPr>
          <w:ilvl w:val="1"/>
          <w:numId w:val="64"/>
        </w:numPr>
        <w:shd w:val="clear" w:color="auto" w:fill="EBF7F8" w:themeFill="accent5" w:themeFillTint="33"/>
        <w:spacing w:before="0" w:after="0" w:line="259" w:lineRule="auto"/>
        <w:ind w:left="782" w:hanging="357"/>
        <w:cnfStyle w:val="001000100000" w:firstRow="0" w:lastRow="0" w:firstColumn="1" w:lastColumn="0" w:oddVBand="0" w:evenVBand="0" w:oddHBand="1" w:evenHBand="0" w:firstRowFirstColumn="0" w:firstRowLastColumn="0" w:lastRowFirstColumn="0" w:lastRowLastColumn="0"/>
        <w:rPr>
          <w:color w:val="000000" w:themeColor="text1"/>
        </w:rPr>
      </w:pPr>
      <w:r w:rsidRPr="00EB5811">
        <w:rPr>
          <w:color w:val="000000" w:themeColor="text1"/>
        </w:rPr>
        <w:t xml:space="preserve">If </w:t>
      </w:r>
      <w:r>
        <w:rPr>
          <w:color w:val="000000" w:themeColor="text1"/>
        </w:rPr>
        <w:t>your business had pre-</w:t>
      </w:r>
      <w:r w:rsidRPr="00EB5811">
        <w:rPr>
          <w:color w:val="000000" w:themeColor="text1"/>
        </w:rPr>
        <w:t>existing relationships, why was it necessary to move into the precinct?</w:t>
      </w:r>
    </w:p>
    <w:p w14:paraId="1538CBB0" w14:textId="77777777" w:rsidR="007F33E9" w:rsidRPr="00956755" w:rsidRDefault="007F33E9" w:rsidP="007F33E9">
      <w:pPr>
        <w:numPr>
          <w:ilvl w:val="0"/>
          <w:numId w:val="64"/>
        </w:numPr>
        <w:shd w:val="clear" w:color="auto" w:fill="EBF7F8" w:themeFill="accent5" w:themeFillTint="33"/>
        <w:spacing w:before="0" w:after="160" w:line="259" w:lineRule="auto"/>
        <w:cnfStyle w:val="001000100000" w:firstRow="0" w:lastRow="0" w:firstColumn="1" w:lastColumn="0" w:oddVBand="0" w:evenVBand="0" w:oddHBand="1" w:evenHBand="0" w:firstRowFirstColumn="0" w:firstRowLastColumn="0" w:lastRowFirstColumn="0" w:lastRowLastColumn="0"/>
        <w:rPr>
          <w:color w:val="000000" w:themeColor="text1"/>
        </w:rPr>
      </w:pPr>
      <w:r w:rsidRPr="00956755">
        <w:rPr>
          <w:color w:val="000000" w:themeColor="text1"/>
        </w:rPr>
        <w:t>What are the short and long term benefits of locating in a precinct?</w:t>
      </w:r>
    </w:p>
    <w:p w14:paraId="3EEADD81" w14:textId="77777777" w:rsidR="007F33E9" w:rsidRPr="00D12DE0" w:rsidRDefault="007F33E9" w:rsidP="007F33E9">
      <w:pPr>
        <w:shd w:val="clear" w:color="auto" w:fill="EBF7F8" w:themeFill="accent5" w:themeFillTint="33"/>
        <w:spacing w:before="0" w:after="0" w:line="259" w:lineRule="auto"/>
        <w:cnfStyle w:val="001000100000" w:firstRow="0" w:lastRow="0" w:firstColumn="1" w:lastColumn="0" w:oddVBand="0" w:evenVBand="0" w:oddHBand="1" w:evenHBand="0" w:firstRowFirstColumn="0" w:firstRowLastColumn="0" w:lastRowFirstColumn="0" w:lastRowLastColumn="0"/>
        <w:rPr>
          <w:b/>
          <w:color w:val="000000" w:themeColor="text1"/>
        </w:rPr>
      </w:pPr>
      <w:r>
        <w:rPr>
          <w:b/>
          <w:color w:val="000000" w:themeColor="text1"/>
        </w:rPr>
        <w:t>Would a more extensive network of precincts</w:t>
      </w:r>
      <w:r w:rsidRPr="00D12DE0">
        <w:rPr>
          <w:b/>
          <w:color w:val="000000" w:themeColor="text1"/>
        </w:rPr>
        <w:t xml:space="preserve"> increase the ease with which firms and researchers find each other?</w:t>
      </w:r>
    </w:p>
    <w:p w14:paraId="53406B0A" w14:textId="77777777" w:rsidR="007F33E9" w:rsidRPr="00EB5811" w:rsidRDefault="007F33E9" w:rsidP="007F33E9">
      <w:pPr>
        <w:pStyle w:val="ListParagraph"/>
        <w:numPr>
          <w:ilvl w:val="0"/>
          <w:numId w:val="64"/>
        </w:numPr>
        <w:shd w:val="clear" w:color="auto" w:fill="EBF7F8" w:themeFill="accent5" w:themeFillTint="33"/>
        <w:spacing w:before="0" w:after="160" w:line="259" w:lineRule="auto"/>
        <w:cnfStyle w:val="001000100000" w:firstRow="0" w:lastRow="0" w:firstColumn="1" w:lastColumn="0" w:oddVBand="0" w:evenVBand="0" w:oddHBand="1" w:evenHBand="0" w:firstRowFirstColumn="0" w:firstRowLastColumn="0" w:lastRowFirstColumn="0" w:lastRowLastColumn="0"/>
        <w:rPr>
          <w:color w:val="000000" w:themeColor="text1"/>
        </w:rPr>
      </w:pPr>
      <w:r w:rsidRPr="00EB5811">
        <w:rPr>
          <w:color w:val="000000" w:themeColor="text1"/>
        </w:rPr>
        <w:t xml:space="preserve">Often businesses and researchers are unable to find suitable partners. </w:t>
      </w:r>
    </w:p>
    <w:p w14:paraId="69573BEB" w14:textId="77777777" w:rsidR="007F33E9" w:rsidRPr="00EB5811" w:rsidRDefault="007F33E9" w:rsidP="007F33E9">
      <w:pPr>
        <w:pStyle w:val="ListParagraph"/>
        <w:numPr>
          <w:ilvl w:val="1"/>
          <w:numId w:val="64"/>
        </w:numPr>
        <w:shd w:val="clear" w:color="auto" w:fill="EBF7F8" w:themeFill="accent5" w:themeFillTint="33"/>
        <w:spacing w:before="0" w:after="160" w:line="259" w:lineRule="auto"/>
        <w:cnfStyle w:val="001000100000" w:firstRow="0" w:lastRow="0" w:firstColumn="1" w:lastColumn="0" w:oddVBand="0" w:evenVBand="0" w:oddHBand="1" w:evenHBand="0" w:firstRowFirstColumn="0" w:firstRowLastColumn="0" w:lastRowFirstColumn="0" w:lastRowLastColumn="0"/>
        <w:rPr>
          <w:color w:val="000000" w:themeColor="text1"/>
        </w:rPr>
      </w:pPr>
      <w:r w:rsidRPr="00EB5811">
        <w:rPr>
          <w:color w:val="000000" w:themeColor="text1"/>
        </w:rPr>
        <w:t xml:space="preserve">Is there a </w:t>
      </w:r>
      <w:r>
        <w:rPr>
          <w:color w:val="000000" w:themeColor="text1"/>
        </w:rPr>
        <w:t xml:space="preserve">further </w:t>
      </w:r>
      <w:r w:rsidRPr="00EB5811">
        <w:rPr>
          <w:color w:val="000000" w:themeColor="text1"/>
        </w:rPr>
        <w:t xml:space="preserve">role for the Commonwealth </w:t>
      </w:r>
      <w:r>
        <w:rPr>
          <w:color w:val="000000" w:themeColor="text1"/>
        </w:rPr>
        <w:t>in assisting businesses and researchers connecting</w:t>
      </w:r>
      <w:r w:rsidRPr="00EB5811">
        <w:rPr>
          <w:color w:val="000000" w:themeColor="text1"/>
        </w:rPr>
        <w:t>?</w:t>
      </w:r>
    </w:p>
    <w:p w14:paraId="52A285AE" w14:textId="3C95CD20" w:rsidR="007F33E9" w:rsidRPr="00EB5811" w:rsidRDefault="007F33E9" w:rsidP="007F33E9">
      <w:pPr>
        <w:pStyle w:val="ListParagraph"/>
        <w:numPr>
          <w:ilvl w:val="1"/>
          <w:numId w:val="64"/>
        </w:numPr>
        <w:shd w:val="clear" w:color="auto" w:fill="EBF7F8" w:themeFill="accent5" w:themeFillTint="33"/>
        <w:spacing w:before="0" w:after="0" w:line="259" w:lineRule="auto"/>
        <w:ind w:left="782" w:hanging="357"/>
        <w:contextualSpacing w:val="0"/>
        <w:cnfStyle w:val="001000100000" w:firstRow="0" w:lastRow="0" w:firstColumn="1" w:lastColumn="0" w:oddVBand="0" w:evenVBand="0" w:oddHBand="1" w:evenHBand="0" w:firstRowFirstColumn="0" w:firstRowLastColumn="0" w:lastRowFirstColumn="0" w:lastRowLastColumn="0"/>
        <w:rPr>
          <w:color w:val="000000" w:themeColor="text1"/>
        </w:rPr>
      </w:pPr>
      <w:r w:rsidRPr="00EB5811">
        <w:rPr>
          <w:color w:val="000000" w:themeColor="text1"/>
        </w:rPr>
        <w:t>Can this be done through existing initiatives?</w:t>
      </w:r>
      <w:r>
        <w:rPr>
          <w:color w:val="000000" w:themeColor="text1"/>
        </w:rPr>
        <w:br/>
      </w:r>
    </w:p>
    <w:p w14:paraId="3FEF3FD9" w14:textId="77777777" w:rsidR="007F33E9" w:rsidRPr="00D12DE0" w:rsidRDefault="007F33E9" w:rsidP="007F33E9">
      <w:pPr>
        <w:shd w:val="clear" w:color="auto" w:fill="EBF7F8" w:themeFill="accent5" w:themeFillTint="33"/>
        <w:spacing w:before="0" w:after="0" w:line="259" w:lineRule="auto"/>
        <w:cnfStyle w:val="001000100000" w:firstRow="0" w:lastRow="0" w:firstColumn="1" w:lastColumn="0" w:oddVBand="0" w:evenVBand="0" w:oddHBand="1" w:evenHBand="0" w:firstRowFirstColumn="0" w:firstRowLastColumn="0" w:lastRowFirstColumn="0" w:lastRowLastColumn="0"/>
        <w:rPr>
          <w:b/>
          <w:color w:val="000000" w:themeColor="text1"/>
        </w:rPr>
      </w:pPr>
      <w:r w:rsidRPr="00D12DE0">
        <w:rPr>
          <w:b/>
          <w:color w:val="000000" w:themeColor="text1"/>
        </w:rPr>
        <w:t>How</w:t>
      </w:r>
      <w:r w:rsidRPr="00D12DE0" w:rsidDel="00C77C50">
        <w:rPr>
          <w:b/>
          <w:color w:val="000000" w:themeColor="text1"/>
        </w:rPr>
        <w:t xml:space="preserve"> </w:t>
      </w:r>
      <w:r>
        <w:rPr>
          <w:b/>
          <w:color w:val="000000" w:themeColor="text1"/>
        </w:rPr>
        <w:t>could</w:t>
      </w:r>
      <w:r w:rsidRPr="00D12DE0">
        <w:rPr>
          <w:b/>
          <w:color w:val="000000" w:themeColor="text1"/>
        </w:rPr>
        <w:t xml:space="preserve"> Australia align the</w:t>
      </w:r>
      <w:r>
        <w:rPr>
          <w:b/>
          <w:color w:val="000000" w:themeColor="text1"/>
        </w:rPr>
        <w:t xml:space="preserve"> </w:t>
      </w:r>
      <w:r w:rsidRPr="00D12DE0">
        <w:rPr>
          <w:b/>
          <w:color w:val="000000" w:themeColor="text1"/>
        </w:rPr>
        <w:t>work of the three levels of government</w:t>
      </w:r>
      <w:r>
        <w:rPr>
          <w:b/>
          <w:color w:val="000000" w:themeColor="text1"/>
        </w:rPr>
        <w:t xml:space="preserve"> in fostering precincts</w:t>
      </w:r>
      <w:r w:rsidRPr="00D12DE0">
        <w:rPr>
          <w:b/>
          <w:color w:val="000000" w:themeColor="text1"/>
        </w:rPr>
        <w:t>?</w:t>
      </w:r>
    </w:p>
    <w:p w14:paraId="5871474A" w14:textId="77777777" w:rsidR="007F33E9" w:rsidRPr="00EB5811" w:rsidRDefault="007F33E9" w:rsidP="007F33E9">
      <w:pPr>
        <w:pStyle w:val="ListParagraph"/>
        <w:numPr>
          <w:ilvl w:val="0"/>
          <w:numId w:val="64"/>
        </w:numPr>
        <w:shd w:val="clear" w:color="auto" w:fill="EBF7F8" w:themeFill="accent5" w:themeFillTint="33"/>
        <w:spacing w:before="0" w:after="0" w:line="259" w:lineRule="auto"/>
        <w:ind w:left="357" w:hanging="357"/>
        <w:cnfStyle w:val="001000100000" w:firstRow="0" w:lastRow="0" w:firstColumn="1" w:lastColumn="0" w:oddVBand="0" w:evenVBand="0" w:oddHBand="1" w:evenHBand="0" w:firstRowFirstColumn="0" w:firstRowLastColumn="0" w:lastRowFirstColumn="0" w:lastRowLastColumn="0"/>
        <w:rPr>
          <w:color w:val="000000" w:themeColor="text1"/>
        </w:rPr>
      </w:pPr>
      <w:r w:rsidRPr="00EB5811">
        <w:rPr>
          <w:color w:val="000000" w:themeColor="text1"/>
        </w:rPr>
        <w:t>What can be done to</w:t>
      </w:r>
      <w:r>
        <w:rPr>
          <w:color w:val="000000" w:themeColor="text1"/>
        </w:rPr>
        <w:t xml:space="preserve"> coordinate activity and</w:t>
      </w:r>
      <w:r w:rsidRPr="00EB5811">
        <w:rPr>
          <w:color w:val="000000" w:themeColor="text1"/>
        </w:rPr>
        <w:t xml:space="preserve"> limit duplication of effort?</w:t>
      </w:r>
    </w:p>
    <w:p w14:paraId="0CC8CB76" w14:textId="77777777" w:rsidR="007F33E9" w:rsidRDefault="007F33E9" w:rsidP="007F33E9">
      <w:pPr>
        <w:pStyle w:val="ListParagraph"/>
        <w:numPr>
          <w:ilvl w:val="0"/>
          <w:numId w:val="64"/>
        </w:numPr>
        <w:shd w:val="clear" w:color="auto" w:fill="EBF7F8" w:themeFill="accent5" w:themeFillTint="33"/>
        <w:spacing w:before="0" w:after="0" w:line="259" w:lineRule="auto"/>
        <w:ind w:left="357" w:hanging="357"/>
        <w:cnfStyle w:val="001000100000" w:firstRow="0" w:lastRow="0" w:firstColumn="1" w:lastColumn="0" w:oddVBand="0" w:evenVBand="0" w:oddHBand="1" w:evenHBand="0" w:firstRowFirstColumn="0" w:firstRowLastColumn="0" w:lastRowFirstColumn="0" w:lastRowLastColumn="0"/>
        <w:rPr>
          <w:color w:val="000000" w:themeColor="text1"/>
        </w:rPr>
      </w:pPr>
      <w:r w:rsidRPr="00EB5811">
        <w:rPr>
          <w:color w:val="000000" w:themeColor="text1"/>
        </w:rPr>
        <w:t xml:space="preserve">How well aligned are the levels of government in supporting </w:t>
      </w:r>
      <w:r>
        <w:rPr>
          <w:color w:val="000000" w:themeColor="text1"/>
        </w:rPr>
        <w:t>precincts</w:t>
      </w:r>
      <w:r w:rsidRPr="00EB5811">
        <w:rPr>
          <w:color w:val="000000" w:themeColor="text1"/>
        </w:rPr>
        <w:t>?</w:t>
      </w:r>
    </w:p>
    <w:p w14:paraId="0E321EB9" w14:textId="77777777" w:rsidR="007F33E9" w:rsidRPr="00161851" w:rsidRDefault="007F33E9" w:rsidP="007F33E9">
      <w:pPr>
        <w:pStyle w:val="ListParagraph"/>
        <w:numPr>
          <w:ilvl w:val="0"/>
          <w:numId w:val="64"/>
        </w:numPr>
        <w:shd w:val="clear" w:color="auto" w:fill="EBF7F8" w:themeFill="accent5" w:themeFillTint="33"/>
        <w:spacing w:before="0" w:after="0" w:line="259" w:lineRule="auto"/>
        <w:ind w:left="357" w:hanging="357"/>
        <w:cnfStyle w:val="001000100000" w:firstRow="0" w:lastRow="0" w:firstColumn="1" w:lastColumn="0" w:oddVBand="0" w:evenVBand="0" w:oddHBand="1" w:evenHBand="0" w:firstRowFirstColumn="0" w:firstRowLastColumn="0" w:lastRowFirstColumn="0" w:lastRowLastColumn="0"/>
        <w:rPr>
          <w:color w:val="000000" w:themeColor="text1"/>
        </w:rPr>
      </w:pPr>
      <w:r w:rsidRPr="00161851">
        <w:rPr>
          <w:color w:val="000000" w:themeColor="text1"/>
        </w:rPr>
        <w:t xml:space="preserve">How does </w:t>
      </w:r>
      <w:r>
        <w:rPr>
          <w:color w:val="000000" w:themeColor="text1"/>
        </w:rPr>
        <w:t xml:space="preserve">traditional </w:t>
      </w:r>
      <w:r w:rsidRPr="00161851">
        <w:rPr>
          <w:color w:val="000000" w:themeColor="text1"/>
        </w:rPr>
        <w:t xml:space="preserve">and </w:t>
      </w:r>
      <w:r>
        <w:rPr>
          <w:color w:val="000000" w:themeColor="text1"/>
        </w:rPr>
        <w:t xml:space="preserve">knowledge </w:t>
      </w:r>
      <w:r w:rsidRPr="00161851">
        <w:rPr>
          <w:color w:val="000000" w:themeColor="text1"/>
        </w:rPr>
        <w:t>infrastructure support effective precincts?</w:t>
      </w:r>
    </w:p>
    <w:p w14:paraId="33D1632B" w14:textId="77777777" w:rsidR="007F33E9" w:rsidRPr="00161851" w:rsidRDefault="007F33E9" w:rsidP="007F33E9">
      <w:pPr>
        <w:pStyle w:val="ListParagraph"/>
        <w:numPr>
          <w:ilvl w:val="0"/>
          <w:numId w:val="64"/>
        </w:numPr>
        <w:shd w:val="clear" w:color="auto" w:fill="EBF7F8" w:themeFill="accent5" w:themeFillTint="33"/>
        <w:spacing w:before="0" w:after="160" w:line="259" w:lineRule="auto"/>
        <w:ind w:left="357" w:hanging="357"/>
        <w:cnfStyle w:val="001000100000" w:firstRow="0" w:lastRow="0" w:firstColumn="1" w:lastColumn="0" w:oddVBand="0" w:evenVBand="0" w:oddHBand="1" w:evenHBand="0" w:firstRowFirstColumn="0" w:firstRowLastColumn="0" w:lastRowFirstColumn="0" w:lastRowLastColumn="0"/>
        <w:rPr>
          <w:color w:val="000000" w:themeColor="text1"/>
        </w:rPr>
      </w:pPr>
      <w:r>
        <w:rPr>
          <w:color w:val="000000" w:themeColor="text1"/>
        </w:rPr>
        <w:t xml:space="preserve">Is there value in encouraging industry-research collaboration </w:t>
      </w:r>
      <w:r w:rsidRPr="00161851">
        <w:rPr>
          <w:color w:val="000000" w:themeColor="text1"/>
        </w:rPr>
        <w:t xml:space="preserve">in regional and urban development </w:t>
      </w:r>
      <w:r>
        <w:rPr>
          <w:color w:val="000000" w:themeColor="text1"/>
        </w:rPr>
        <w:t>initiatives</w:t>
      </w:r>
      <w:r w:rsidRPr="00161851">
        <w:rPr>
          <w:color w:val="000000" w:themeColor="text1"/>
        </w:rPr>
        <w:t>?</w:t>
      </w:r>
    </w:p>
    <w:p w14:paraId="02D638CC" w14:textId="77777777" w:rsidR="007F33E9" w:rsidRPr="00D12DE0" w:rsidRDefault="007F33E9" w:rsidP="007F33E9">
      <w:pPr>
        <w:shd w:val="clear" w:color="auto" w:fill="EBF7F8" w:themeFill="accent5" w:themeFillTint="33"/>
        <w:spacing w:before="0" w:after="0" w:line="259" w:lineRule="auto"/>
        <w:ind w:left="357" w:hanging="357"/>
        <w:cnfStyle w:val="001000100000" w:firstRow="0" w:lastRow="0" w:firstColumn="1" w:lastColumn="0" w:oddVBand="0" w:evenVBand="0" w:oddHBand="1" w:evenHBand="0" w:firstRowFirstColumn="0" w:firstRowLastColumn="0" w:lastRowFirstColumn="0" w:lastRowLastColumn="0"/>
        <w:rPr>
          <w:b/>
          <w:color w:val="000000" w:themeColor="text1"/>
        </w:rPr>
      </w:pPr>
      <w:r w:rsidRPr="00D12DE0">
        <w:rPr>
          <w:b/>
          <w:color w:val="000000" w:themeColor="text1"/>
        </w:rPr>
        <w:t>Is a national university precincts strategy necessary?</w:t>
      </w:r>
    </w:p>
    <w:p w14:paraId="6F4DAB38" w14:textId="77777777" w:rsidR="007F33E9" w:rsidRDefault="007F33E9" w:rsidP="007F33E9">
      <w:pPr>
        <w:pStyle w:val="ListParagraph"/>
        <w:numPr>
          <w:ilvl w:val="0"/>
          <w:numId w:val="64"/>
        </w:numPr>
        <w:shd w:val="clear" w:color="auto" w:fill="EBF7F8" w:themeFill="accent5" w:themeFillTint="33"/>
        <w:spacing w:before="0" w:after="160" w:line="259" w:lineRule="auto"/>
        <w:cnfStyle w:val="001000100000" w:firstRow="0" w:lastRow="0" w:firstColumn="1" w:lastColumn="0" w:oddVBand="0" w:evenVBand="0" w:oddHBand="1" w:evenHBand="0" w:firstRowFirstColumn="0" w:firstRowLastColumn="0" w:lastRowFirstColumn="0" w:lastRowLastColumn="0"/>
        <w:rPr>
          <w:color w:val="000000" w:themeColor="text1"/>
        </w:rPr>
      </w:pPr>
      <w:r w:rsidRPr="00EB5811">
        <w:rPr>
          <w:color w:val="000000" w:themeColor="text1"/>
        </w:rPr>
        <w:t xml:space="preserve">Given the current level of activity, what </w:t>
      </w:r>
      <w:r>
        <w:rPr>
          <w:color w:val="000000" w:themeColor="text1"/>
        </w:rPr>
        <w:t xml:space="preserve">additional </w:t>
      </w:r>
      <w:r w:rsidRPr="00EB5811">
        <w:rPr>
          <w:color w:val="000000" w:themeColor="text1"/>
        </w:rPr>
        <w:t>purpose would a strategy serve?</w:t>
      </w:r>
    </w:p>
    <w:p w14:paraId="11AE7DA2" w14:textId="77777777" w:rsidR="007F33E9" w:rsidRPr="00EB5811" w:rsidRDefault="007F33E9" w:rsidP="007F33E9">
      <w:pPr>
        <w:pStyle w:val="ListParagraph"/>
        <w:numPr>
          <w:ilvl w:val="0"/>
          <w:numId w:val="64"/>
        </w:numPr>
        <w:shd w:val="clear" w:color="auto" w:fill="EBF7F8" w:themeFill="accent5" w:themeFillTint="33"/>
        <w:spacing w:before="0" w:after="160" w:line="259" w:lineRule="auto"/>
        <w:cnfStyle w:val="001000100000" w:firstRow="0" w:lastRow="0" w:firstColumn="1" w:lastColumn="0" w:oddVBand="0" w:evenVBand="0" w:oddHBand="1" w:evenHBand="0" w:firstRowFirstColumn="0" w:firstRowLastColumn="0" w:lastRowFirstColumn="0" w:lastRowLastColumn="0"/>
        <w:rPr>
          <w:color w:val="000000" w:themeColor="text1"/>
        </w:rPr>
      </w:pPr>
      <w:r>
        <w:rPr>
          <w:color w:val="000000" w:themeColor="text1"/>
        </w:rPr>
        <w:t>What metrics for success would be applied?</w:t>
      </w:r>
    </w:p>
    <w:p w14:paraId="6E1664D3" w14:textId="77777777" w:rsidR="007F33E9" w:rsidRDefault="007F33E9" w:rsidP="007F33E9">
      <w:pPr>
        <w:pStyle w:val="ListParagraph"/>
        <w:numPr>
          <w:ilvl w:val="0"/>
          <w:numId w:val="64"/>
        </w:numPr>
        <w:shd w:val="clear" w:color="auto" w:fill="EBF7F8" w:themeFill="accent5" w:themeFillTint="33"/>
        <w:spacing w:before="0" w:after="160" w:line="259" w:lineRule="auto"/>
        <w:cnfStyle w:val="001000100000" w:firstRow="0" w:lastRow="0" w:firstColumn="1" w:lastColumn="0" w:oddVBand="0" w:evenVBand="0" w:oddHBand="1" w:evenHBand="0" w:firstRowFirstColumn="0" w:firstRowLastColumn="0" w:lastRowFirstColumn="0" w:lastRowLastColumn="0"/>
        <w:rPr>
          <w:color w:val="000000" w:themeColor="text1"/>
        </w:rPr>
      </w:pPr>
      <w:r w:rsidRPr="00EB5811">
        <w:rPr>
          <w:color w:val="000000" w:themeColor="text1"/>
        </w:rPr>
        <w:t xml:space="preserve">Would highlighting </w:t>
      </w:r>
      <w:r>
        <w:rPr>
          <w:color w:val="000000" w:themeColor="text1"/>
        </w:rPr>
        <w:t>and marketing current precinct</w:t>
      </w:r>
      <w:r w:rsidRPr="00EB5811">
        <w:rPr>
          <w:color w:val="000000" w:themeColor="text1"/>
        </w:rPr>
        <w:t xml:space="preserve"> </w:t>
      </w:r>
      <w:r>
        <w:rPr>
          <w:color w:val="000000" w:themeColor="text1"/>
        </w:rPr>
        <w:t xml:space="preserve">learnings and </w:t>
      </w:r>
      <w:r w:rsidRPr="00EB5811">
        <w:rPr>
          <w:color w:val="000000" w:themeColor="text1"/>
        </w:rPr>
        <w:t>activity be of benefit?</w:t>
      </w:r>
    </w:p>
    <w:p w14:paraId="6C26DC99" w14:textId="77777777" w:rsidR="007F33E9" w:rsidRPr="00EB5811" w:rsidRDefault="007F33E9" w:rsidP="007F33E9">
      <w:pPr>
        <w:pStyle w:val="ListParagraph"/>
        <w:numPr>
          <w:ilvl w:val="0"/>
          <w:numId w:val="64"/>
        </w:numPr>
        <w:shd w:val="clear" w:color="auto" w:fill="EBF7F8" w:themeFill="accent5" w:themeFillTint="33"/>
        <w:spacing w:before="0" w:after="160" w:line="259" w:lineRule="auto"/>
        <w:cnfStyle w:val="001000100000" w:firstRow="0" w:lastRow="0" w:firstColumn="1" w:lastColumn="0" w:oddVBand="0" w:evenVBand="0" w:oddHBand="1" w:evenHBand="0" w:firstRowFirstColumn="0" w:firstRowLastColumn="0" w:lastRowFirstColumn="0" w:lastRowLastColumn="0"/>
        <w:rPr>
          <w:color w:val="000000" w:themeColor="text1"/>
        </w:rPr>
      </w:pPr>
      <w:r w:rsidRPr="00161851">
        <w:rPr>
          <w:color w:val="000000" w:themeColor="text1"/>
        </w:rPr>
        <w:t>In lieu of developing a strategy, are there other, better ways for Australian precincts to learn from each other and leverage each other’s capabilities?</w:t>
      </w:r>
    </w:p>
    <w:p w14:paraId="29E9D3CB" w14:textId="77777777" w:rsidR="007F33E9" w:rsidRPr="00EB5811" w:rsidRDefault="007F33E9" w:rsidP="007F33E9">
      <w:pPr>
        <w:shd w:val="clear" w:color="auto" w:fill="EBF7F8" w:themeFill="accent5" w:themeFillTint="33"/>
        <w:spacing w:before="0" w:after="0" w:line="259" w:lineRule="auto"/>
        <w:cnfStyle w:val="001000100000" w:firstRow="0" w:lastRow="0" w:firstColumn="1" w:lastColumn="0" w:oddVBand="0" w:evenVBand="0" w:oddHBand="1" w:evenHBand="0" w:firstRowFirstColumn="0" w:firstRowLastColumn="0" w:lastRowFirstColumn="0" w:lastRowLastColumn="0"/>
        <w:rPr>
          <w:b/>
          <w:color w:val="000000" w:themeColor="text1"/>
        </w:rPr>
      </w:pPr>
      <w:r>
        <w:rPr>
          <w:b/>
          <w:color w:val="000000" w:themeColor="text1"/>
        </w:rPr>
        <w:t>Will success require new</w:t>
      </w:r>
      <w:r w:rsidRPr="00EB5811">
        <w:rPr>
          <w:b/>
          <w:color w:val="000000" w:themeColor="text1"/>
        </w:rPr>
        <w:t xml:space="preserve"> role</w:t>
      </w:r>
      <w:r>
        <w:rPr>
          <w:b/>
          <w:color w:val="000000" w:themeColor="text1"/>
        </w:rPr>
        <w:t>s</w:t>
      </w:r>
      <w:r w:rsidRPr="00EB5811">
        <w:rPr>
          <w:b/>
          <w:color w:val="000000" w:themeColor="text1"/>
        </w:rPr>
        <w:t xml:space="preserve"> f</w:t>
      </w:r>
      <w:r>
        <w:rPr>
          <w:b/>
          <w:color w:val="000000" w:themeColor="text1"/>
        </w:rPr>
        <w:t>rom</w:t>
      </w:r>
      <w:r w:rsidRPr="00EB5811">
        <w:rPr>
          <w:b/>
          <w:color w:val="000000" w:themeColor="text1"/>
        </w:rPr>
        <w:t xml:space="preserve"> the Commonwealth?</w:t>
      </w:r>
    </w:p>
    <w:p w14:paraId="1B74E353" w14:textId="77777777" w:rsidR="007F33E9" w:rsidRPr="007F33E9" w:rsidRDefault="007F33E9" w:rsidP="007F33E9">
      <w:pPr>
        <w:pStyle w:val="ListParagraph"/>
        <w:numPr>
          <w:ilvl w:val="0"/>
          <w:numId w:val="64"/>
        </w:numPr>
        <w:shd w:val="clear" w:color="auto" w:fill="EBF7F8" w:themeFill="accent5" w:themeFillTint="33"/>
        <w:spacing w:before="0" w:after="160" w:line="259" w:lineRule="auto"/>
      </w:pPr>
      <w:r w:rsidRPr="007F33E9">
        <w:rPr>
          <w:color w:val="000000" w:themeColor="text1"/>
        </w:rPr>
        <w:t>What is the appropriate role for the Australian Government in university precinct development?</w:t>
      </w:r>
    </w:p>
    <w:p w14:paraId="700AC0A4" w14:textId="6E41A81D" w:rsidR="00AE5BA7" w:rsidRPr="00BE385C" w:rsidRDefault="007F33E9" w:rsidP="007F33E9">
      <w:pPr>
        <w:pStyle w:val="ListParagraph"/>
        <w:numPr>
          <w:ilvl w:val="0"/>
          <w:numId w:val="64"/>
        </w:numPr>
        <w:shd w:val="clear" w:color="auto" w:fill="EBF7F8" w:themeFill="accent5" w:themeFillTint="33"/>
        <w:spacing w:before="0" w:after="160" w:line="259" w:lineRule="auto"/>
      </w:pPr>
      <w:r>
        <w:t>Are</w:t>
      </w:r>
      <w:r w:rsidRPr="00EB5811">
        <w:t xml:space="preserve"> there </w:t>
      </w:r>
      <w:r>
        <w:t>further ways that the Commonwealth can assist precinct development</w:t>
      </w:r>
      <w:r w:rsidRPr="00EB5811">
        <w:t>?</w:t>
      </w:r>
    </w:p>
    <w:sectPr w:rsidR="00AE5BA7" w:rsidRPr="00BE385C" w:rsidSect="0016221A">
      <w:footerReference w:type="default" r:id="rId35"/>
      <w:headerReference w:type="first" r:id="rId36"/>
      <w:type w:val="continuous"/>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F0AD1" w14:textId="77777777" w:rsidR="00C52CAD" w:rsidRDefault="00C52CAD" w:rsidP="007240FE">
      <w:pPr>
        <w:spacing w:before="0" w:after="0" w:line="240" w:lineRule="auto"/>
      </w:pPr>
      <w:r>
        <w:separator/>
      </w:r>
    </w:p>
  </w:endnote>
  <w:endnote w:type="continuationSeparator" w:id="0">
    <w:p w14:paraId="2B69983B" w14:textId="77777777" w:rsidR="00C52CAD" w:rsidRDefault="00C52CAD" w:rsidP="007240FE">
      <w:pPr>
        <w:spacing w:before="0" w:after="0" w:line="240" w:lineRule="auto"/>
      </w:pPr>
      <w:r>
        <w:continuationSeparator/>
      </w:r>
    </w:p>
  </w:endnote>
  <w:endnote w:type="continuationNotice" w:id="1">
    <w:p w14:paraId="1CDD99EC" w14:textId="77777777" w:rsidR="00C52CAD" w:rsidRDefault="00C52C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2F827" w14:textId="0530DE14" w:rsidR="00C52CAD" w:rsidRDefault="00C52CAD">
    <w:pPr>
      <w:pStyle w:val="Footer"/>
      <w:jc w:val="right"/>
    </w:pPr>
  </w:p>
  <w:p w14:paraId="4B620552" w14:textId="77777777" w:rsidR="00C52CAD" w:rsidRDefault="00C52C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778372"/>
      <w:docPartObj>
        <w:docPartGallery w:val="Page Numbers (Bottom of Page)"/>
        <w:docPartUnique/>
      </w:docPartObj>
    </w:sdtPr>
    <w:sdtEndPr>
      <w:rPr>
        <w:noProof/>
      </w:rPr>
    </w:sdtEndPr>
    <w:sdtContent>
      <w:p w14:paraId="34649216" w14:textId="2432281B" w:rsidR="00C52CAD" w:rsidRDefault="00C52CAD">
        <w:pPr>
          <w:pStyle w:val="Footer"/>
          <w:jc w:val="right"/>
        </w:pPr>
        <w:r>
          <w:fldChar w:fldCharType="begin"/>
        </w:r>
        <w:r>
          <w:instrText xml:space="preserve"> PAGE   \* MERGEFORMAT </w:instrText>
        </w:r>
        <w:r>
          <w:fldChar w:fldCharType="separate"/>
        </w:r>
        <w:r w:rsidR="00404095">
          <w:rPr>
            <w:noProof/>
          </w:rPr>
          <w:t>1</w:t>
        </w:r>
        <w:r>
          <w:rPr>
            <w:noProof/>
          </w:rPr>
          <w:fldChar w:fldCharType="end"/>
        </w:r>
      </w:p>
    </w:sdtContent>
  </w:sdt>
  <w:p w14:paraId="4E0D064D" w14:textId="77777777" w:rsidR="00C52CAD" w:rsidRDefault="00C52C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746668"/>
      <w:docPartObj>
        <w:docPartGallery w:val="Page Numbers (Bottom of Page)"/>
        <w:docPartUnique/>
      </w:docPartObj>
    </w:sdtPr>
    <w:sdtEndPr>
      <w:rPr>
        <w:noProof/>
      </w:rPr>
    </w:sdtEndPr>
    <w:sdtContent>
      <w:p w14:paraId="13133DA2" w14:textId="277A2BA9" w:rsidR="00C52CAD" w:rsidRDefault="00C52CAD">
        <w:pPr>
          <w:pStyle w:val="Footer"/>
          <w:jc w:val="right"/>
        </w:pPr>
        <w:r>
          <w:fldChar w:fldCharType="begin"/>
        </w:r>
        <w:r>
          <w:instrText xml:space="preserve"> PAGE   \* MERGEFORMAT </w:instrText>
        </w:r>
        <w:r>
          <w:fldChar w:fldCharType="separate"/>
        </w:r>
        <w:r w:rsidR="00404095">
          <w:rPr>
            <w:noProof/>
          </w:rPr>
          <w:t>4</w:t>
        </w:r>
        <w:r>
          <w:rPr>
            <w:noProof/>
          </w:rPr>
          <w:fldChar w:fldCharType="end"/>
        </w:r>
      </w:p>
    </w:sdtContent>
  </w:sdt>
  <w:p w14:paraId="4EA35EC3" w14:textId="77777777" w:rsidR="00C52CAD" w:rsidRDefault="00C52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E3BEE" w14:textId="77777777" w:rsidR="00C52CAD" w:rsidRDefault="00C52CAD" w:rsidP="007240FE">
      <w:pPr>
        <w:spacing w:before="0" w:after="0" w:line="240" w:lineRule="auto"/>
      </w:pPr>
      <w:r>
        <w:separator/>
      </w:r>
    </w:p>
  </w:footnote>
  <w:footnote w:type="continuationSeparator" w:id="0">
    <w:p w14:paraId="5CB4D997" w14:textId="77777777" w:rsidR="00C52CAD" w:rsidRDefault="00C52CAD" w:rsidP="007240FE">
      <w:pPr>
        <w:spacing w:before="0" w:after="0" w:line="240" w:lineRule="auto"/>
      </w:pPr>
      <w:r>
        <w:continuationSeparator/>
      </w:r>
    </w:p>
  </w:footnote>
  <w:footnote w:type="continuationNotice" w:id="1">
    <w:p w14:paraId="730C124B" w14:textId="77777777" w:rsidR="00C52CAD" w:rsidRDefault="00C52CAD">
      <w:pPr>
        <w:spacing w:before="0" w:after="0" w:line="240" w:lineRule="auto"/>
      </w:pPr>
    </w:p>
  </w:footnote>
  <w:footnote w:id="2">
    <w:p w14:paraId="44980036" w14:textId="069FEB68" w:rsidR="00C52CAD" w:rsidRDefault="00C52CAD">
      <w:pPr>
        <w:pStyle w:val="FootnoteText"/>
      </w:pPr>
      <w:r>
        <w:rPr>
          <w:rStyle w:val="FootnoteReference"/>
        </w:rPr>
        <w:footnoteRef/>
      </w:r>
      <w:r>
        <w:t xml:space="preserve"> </w:t>
      </w:r>
      <w:r>
        <w:rPr>
          <w:color w:val="000000"/>
          <w:sz w:val="16"/>
          <w:szCs w:val="16"/>
        </w:rPr>
        <w:t xml:space="preserve">OECD (2015) </w:t>
      </w:r>
      <w:r>
        <w:rPr>
          <w:i/>
          <w:iCs/>
          <w:color w:val="000000"/>
          <w:sz w:val="16"/>
          <w:szCs w:val="16"/>
        </w:rPr>
        <w:t>The OECD Innovation Strategy 2015</w:t>
      </w:r>
      <w:r>
        <w:rPr>
          <w:color w:val="000000"/>
          <w:sz w:val="16"/>
          <w:szCs w:val="16"/>
        </w:rPr>
        <w:t>, OECD Publishing</w:t>
      </w:r>
    </w:p>
  </w:footnote>
  <w:footnote w:id="3">
    <w:p w14:paraId="77C99500" w14:textId="5ABA2D8D" w:rsidR="00C52CAD" w:rsidRPr="00B34CAC" w:rsidRDefault="00C52CAD">
      <w:pPr>
        <w:pStyle w:val="FootnoteText"/>
        <w:rPr>
          <w:rFonts w:ascii="Arial" w:hAnsi="Arial" w:cs="Arial"/>
          <w:sz w:val="18"/>
        </w:rPr>
      </w:pPr>
      <w:r w:rsidRPr="00B34CAC">
        <w:rPr>
          <w:rStyle w:val="FootnoteReference"/>
          <w:rFonts w:ascii="Arial" w:hAnsi="Arial" w:cs="Arial"/>
          <w:sz w:val="18"/>
        </w:rPr>
        <w:footnoteRef/>
      </w:r>
      <w:r w:rsidRPr="00B34CAC">
        <w:rPr>
          <w:rFonts w:ascii="Arial" w:hAnsi="Arial" w:cs="Arial"/>
          <w:sz w:val="18"/>
        </w:rPr>
        <w:t xml:space="preserve"> </w:t>
      </w:r>
      <w:r w:rsidRPr="00B34CAC">
        <w:rPr>
          <w:rFonts w:ascii="Arial" w:hAnsi="Arial" w:cs="Arial"/>
          <w:sz w:val="16"/>
        </w:rPr>
        <w:t xml:space="preserve">Bruce Katz and Julie Wagner (2014), </w:t>
      </w:r>
      <w:hyperlink r:id="rId1" w:history="1">
        <w:r w:rsidRPr="00B34CAC">
          <w:rPr>
            <w:rStyle w:val="Hyperlink"/>
            <w:rFonts w:ascii="Arial" w:hAnsi="Arial" w:cs="Arial"/>
            <w:sz w:val="16"/>
          </w:rPr>
          <w:t>The rise of Innovation Districts: A New Geography of Innovation in America</w:t>
        </w:r>
      </w:hyperlink>
      <w:r w:rsidRPr="00B34CAC">
        <w:rPr>
          <w:rFonts w:ascii="Arial" w:hAnsi="Arial" w:cs="Arial"/>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679E2" w14:textId="77777777" w:rsidR="00C52CAD" w:rsidRDefault="00C52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19615" w14:textId="31C6F769" w:rsidR="00C52CAD" w:rsidRDefault="00C52CAD" w:rsidP="007240FE">
    <w:pPr>
      <w:pStyle w:val="Header"/>
      <w:spacing w:after="240"/>
    </w:pPr>
    <w:r>
      <w:rPr>
        <w:noProof/>
        <w:lang w:eastAsia="en-AU"/>
      </w:rPr>
      <w:drawing>
        <wp:anchor distT="0" distB="0" distL="114300" distR="114300" simplePos="0" relativeHeight="251657216" behindDoc="1" locked="0" layoutInCell="1" allowOverlap="1" wp14:anchorId="6E814088" wp14:editId="610D15FB">
          <wp:simplePos x="0" y="0"/>
          <wp:positionH relativeFrom="margin">
            <wp:posOffset>-782213</wp:posOffset>
          </wp:positionH>
          <wp:positionV relativeFrom="page">
            <wp:posOffset>2370476</wp:posOffset>
          </wp:positionV>
          <wp:extent cx="7270887" cy="8080744"/>
          <wp:effectExtent l="0" t="0" r="6350" b="0"/>
          <wp:wrapNone/>
          <wp:docPr id="3" name="Picture 3" descr="Background graphic - decorative element only"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master_nologo.jpg"/>
                  <pic:cNvPicPr/>
                </pic:nvPicPr>
                <pic:blipFill rotWithShape="1">
                  <a:blip r:embed="rId1" cstate="print">
                    <a:extLst>
                      <a:ext uri="{28A0092B-C50C-407E-A947-70E740481C1C}">
                        <a14:useLocalDpi xmlns:a14="http://schemas.microsoft.com/office/drawing/2010/main" val="0"/>
                      </a:ext>
                    </a:extLst>
                  </a:blip>
                  <a:srcRect t="28341"/>
                  <a:stretch/>
                </pic:blipFill>
                <pic:spPr bwMode="auto">
                  <a:xfrm>
                    <a:off x="0" y="0"/>
                    <a:ext cx="7270887" cy="80807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A7EF5" w14:textId="009A39B0" w:rsidR="00C52CAD" w:rsidRDefault="00C52CAD" w:rsidP="007240F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F8EF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E821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644D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BAA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BA9D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05C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5C52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803066"/>
    <w:lvl w:ilvl="0">
      <w:start w:val="1"/>
      <w:numFmt w:val="bullet"/>
      <w:pStyle w:val="ListBullet2"/>
      <w:lvlText w:val="-"/>
      <w:lvlJc w:val="left"/>
      <w:pPr>
        <w:ind w:left="643" w:hanging="360"/>
      </w:pPr>
      <w:rPr>
        <w:rFonts w:ascii="Courier New" w:hAnsi="Courier New" w:hint="default"/>
        <w:color w:val="005677" w:themeColor="accent1"/>
      </w:rPr>
    </w:lvl>
  </w:abstractNum>
  <w:abstractNum w:abstractNumId="8" w15:restartNumberingAfterBreak="0">
    <w:nsid w:val="FFFFFF88"/>
    <w:multiLevelType w:val="singleLevel"/>
    <w:tmpl w:val="85082DC6"/>
    <w:lvl w:ilvl="0">
      <w:start w:val="1"/>
      <w:numFmt w:val="decimal"/>
      <w:lvlText w:val="%1."/>
      <w:lvlJc w:val="left"/>
      <w:pPr>
        <w:ind w:left="360" w:hanging="360"/>
      </w:pPr>
    </w:lvl>
  </w:abstractNum>
  <w:abstractNum w:abstractNumId="9" w15:restartNumberingAfterBreak="0">
    <w:nsid w:val="FFFFFF89"/>
    <w:multiLevelType w:val="singleLevel"/>
    <w:tmpl w:val="F2D2F078"/>
    <w:lvl w:ilvl="0">
      <w:start w:val="1"/>
      <w:numFmt w:val="bullet"/>
      <w:lvlText w:val=""/>
      <w:lvlJc w:val="left"/>
      <w:pPr>
        <w:ind w:left="360" w:hanging="360"/>
      </w:pPr>
      <w:rPr>
        <w:rFonts w:ascii="Symbol" w:hAnsi="Symbol" w:hint="default"/>
        <w:color w:val="005677" w:themeColor="accent1"/>
      </w:rPr>
    </w:lvl>
  </w:abstractNum>
  <w:abstractNum w:abstractNumId="10" w15:restartNumberingAfterBreak="0">
    <w:nsid w:val="0127641A"/>
    <w:multiLevelType w:val="hybridMultilevel"/>
    <w:tmpl w:val="11C03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327260F"/>
    <w:multiLevelType w:val="hybridMultilevel"/>
    <w:tmpl w:val="77822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12459F"/>
    <w:multiLevelType w:val="hybridMultilevel"/>
    <w:tmpl w:val="70C00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95538E"/>
    <w:multiLevelType w:val="hybridMultilevel"/>
    <w:tmpl w:val="FDEAB7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B86C6B"/>
    <w:multiLevelType w:val="hybridMultilevel"/>
    <w:tmpl w:val="0E564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022063"/>
    <w:multiLevelType w:val="hybridMultilevel"/>
    <w:tmpl w:val="3B84B9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771ABE"/>
    <w:multiLevelType w:val="hybridMultilevel"/>
    <w:tmpl w:val="185A8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C71329"/>
    <w:multiLevelType w:val="hybridMultilevel"/>
    <w:tmpl w:val="6CDCA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5B36B3"/>
    <w:multiLevelType w:val="hybridMultilevel"/>
    <w:tmpl w:val="6AA01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144332"/>
    <w:multiLevelType w:val="hybridMultilevel"/>
    <w:tmpl w:val="39BE8A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4E2756"/>
    <w:multiLevelType w:val="hybridMultilevel"/>
    <w:tmpl w:val="4EFEFDD4"/>
    <w:lvl w:ilvl="0" w:tplc="5CCA4DB8">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FB05283"/>
    <w:multiLevelType w:val="hybridMultilevel"/>
    <w:tmpl w:val="8AD20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F82ACD"/>
    <w:multiLevelType w:val="hybridMultilevel"/>
    <w:tmpl w:val="848A2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0842AC6"/>
    <w:multiLevelType w:val="hybridMultilevel"/>
    <w:tmpl w:val="A32C7362"/>
    <w:lvl w:ilvl="0" w:tplc="CD5CFCA4">
      <w:start w:val="1"/>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3AE7DEE"/>
    <w:multiLevelType w:val="hybridMultilevel"/>
    <w:tmpl w:val="D976F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BA2DAB"/>
    <w:multiLevelType w:val="hybridMultilevel"/>
    <w:tmpl w:val="630C32AA"/>
    <w:lvl w:ilvl="0" w:tplc="68E6D72C">
      <w:start w:val="1"/>
      <w:numFmt w:val="bullet"/>
      <w:pStyle w:val="ListBullet"/>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5DE65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D746938"/>
    <w:multiLevelType w:val="hybridMultilevel"/>
    <w:tmpl w:val="8F82E3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0A078B"/>
    <w:multiLevelType w:val="hybridMultilevel"/>
    <w:tmpl w:val="3C088F16"/>
    <w:lvl w:ilvl="0" w:tplc="B094D0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441BF9"/>
    <w:multiLevelType w:val="hybridMultilevel"/>
    <w:tmpl w:val="4A5E7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647157"/>
    <w:multiLevelType w:val="hybridMultilevel"/>
    <w:tmpl w:val="6896A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6924673"/>
    <w:multiLevelType w:val="hybridMultilevel"/>
    <w:tmpl w:val="C12415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1C09E7"/>
    <w:multiLevelType w:val="hybridMultilevel"/>
    <w:tmpl w:val="38989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E35CA6"/>
    <w:multiLevelType w:val="hybridMultilevel"/>
    <w:tmpl w:val="7382C7F0"/>
    <w:lvl w:ilvl="0" w:tplc="B64055F8">
      <w:start w:val="1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4DA266D"/>
    <w:multiLevelType w:val="hybridMultilevel"/>
    <w:tmpl w:val="EF181BA6"/>
    <w:lvl w:ilvl="0" w:tplc="35426FE0">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6766411"/>
    <w:multiLevelType w:val="hybridMultilevel"/>
    <w:tmpl w:val="52B69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8220E8C"/>
    <w:multiLevelType w:val="hybridMultilevel"/>
    <w:tmpl w:val="2F1492DA"/>
    <w:lvl w:ilvl="0" w:tplc="3DBE0CA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EF01660"/>
    <w:multiLevelType w:val="hybridMultilevel"/>
    <w:tmpl w:val="217CD726"/>
    <w:lvl w:ilvl="0" w:tplc="169A81D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4F1D4080"/>
    <w:multiLevelType w:val="hybridMultilevel"/>
    <w:tmpl w:val="43C8C06C"/>
    <w:lvl w:ilvl="0" w:tplc="A2484986">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04772A0"/>
    <w:multiLevelType w:val="hybridMultilevel"/>
    <w:tmpl w:val="7FE883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0F16F48"/>
    <w:multiLevelType w:val="hybridMultilevel"/>
    <w:tmpl w:val="BA9A4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003F08"/>
    <w:multiLevelType w:val="hybridMultilevel"/>
    <w:tmpl w:val="B44E9144"/>
    <w:lvl w:ilvl="0" w:tplc="F0325170">
      <w:start w:val="1"/>
      <w:numFmt w:val="bullet"/>
      <w:lvlText w:val=""/>
      <w:lvlJc w:val="left"/>
      <w:pPr>
        <w:ind w:left="36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3231BA1"/>
    <w:multiLevelType w:val="hybridMultilevel"/>
    <w:tmpl w:val="6DD2A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6DF6B4A"/>
    <w:multiLevelType w:val="hybridMultilevel"/>
    <w:tmpl w:val="91701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82308D6"/>
    <w:multiLevelType w:val="hybridMultilevel"/>
    <w:tmpl w:val="50EA8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DE245B"/>
    <w:multiLevelType w:val="hybridMultilevel"/>
    <w:tmpl w:val="1DC42D14"/>
    <w:lvl w:ilvl="0" w:tplc="CB9C992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5F5B00AB"/>
    <w:multiLevelType w:val="hybridMultilevel"/>
    <w:tmpl w:val="B5CE4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1B472DB"/>
    <w:multiLevelType w:val="hybridMultilevel"/>
    <w:tmpl w:val="64F8EE8C"/>
    <w:lvl w:ilvl="0" w:tplc="5EE27900">
      <w:start w:val="1"/>
      <w:numFmt w:val="bullet"/>
      <w:pStyle w:val="Questions"/>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F72639"/>
    <w:multiLevelType w:val="hybridMultilevel"/>
    <w:tmpl w:val="11F8C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9617A4"/>
    <w:multiLevelType w:val="hybridMultilevel"/>
    <w:tmpl w:val="31AC1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98E3D69"/>
    <w:multiLevelType w:val="hybridMultilevel"/>
    <w:tmpl w:val="A8D475F8"/>
    <w:lvl w:ilvl="0" w:tplc="3C969938">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99C49BA"/>
    <w:multiLevelType w:val="hybridMultilevel"/>
    <w:tmpl w:val="55CE2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A465544"/>
    <w:multiLevelType w:val="hybridMultilevel"/>
    <w:tmpl w:val="9CFCEFC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54" w15:restartNumberingAfterBreak="0">
    <w:nsid w:val="6B056481"/>
    <w:multiLevelType w:val="hybridMultilevel"/>
    <w:tmpl w:val="E6C46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B2C3F17"/>
    <w:multiLevelType w:val="hybridMultilevel"/>
    <w:tmpl w:val="34D8C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B2C4E1B"/>
    <w:multiLevelType w:val="hybridMultilevel"/>
    <w:tmpl w:val="FD24F3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B597B7F"/>
    <w:multiLevelType w:val="hybridMultilevel"/>
    <w:tmpl w:val="4B72E7A6"/>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8" w15:restartNumberingAfterBreak="0">
    <w:nsid w:val="6DB34C9A"/>
    <w:multiLevelType w:val="hybridMultilevel"/>
    <w:tmpl w:val="D9E83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F2D6856"/>
    <w:multiLevelType w:val="hybridMultilevel"/>
    <w:tmpl w:val="FD265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34D13F6"/>
    <w:multiLevelType w:val="hybridMultilevel"/>
    <w:tmpl w:val="E0BE6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4D44B09"/>
    <w:multiLevelType w:val="hybridMultilevel"/>
    <w:tmpl w:val="A58C73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9260B4A"/>
    <w:multiLevelType w:val="hybridMultilevel"/>
    <w:tmpl w:val="83ACF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BA23BE2"/>
    <w:multiLevelType w:val="hybridMultilevel"/>
    <w:tmpl w:val="75B8A3A4"/>
    <w:lvl w:ilvl="0" w:tplc="3B9AFCF2">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7BCB7C12"/>
    <w:multiLevelType w:val="hybridMultilevel"/>
    <w:tmpl w:val="296C6AC4"/>
    <w:lvl w:ilvl="0" w:tplc="FC5843E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D991EF1"/>
    <w:multiLevelType w:val="hybridMultilevel"/>
    <w:tmpl w:val="6BCCD5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E9C68D1"/>
    <w:multiLevelType w:val="hybridMultilevel"/>
    <w:tmpl w:val="3FBC7C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2"/>
  </w:num>
  <w:num w:numId="2">
    <w:abstractNumId w:val="5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5"/>
  </w:num>
  <w:num w:numId="15">
    <w:abstractNumId w:val="20"/>
  </w:num>
  <w:num w:numId="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51"/>
  </w:num>
  <w:num w:numId="19">
    <w:abstractNumId w:val="66"/>
  </w:num>
  <w:num w:numId="20">
    <w:abstractNumId w:val="56"/>
  </w:num>
  <w:num w:numId="21">
    <w:abstractNumId w:val="10"/>
  </w:num>
  <w:num w:numId="22">
    <w:abstractNumId w:val="14"/>
  </w:num>
  <w:num w:numId="23">
    <w:abstractNumId w:val="30"/>
  </w:num>
  <w:num w:numId="24">
    <w:abstractNumId w:val="31"/>
  </w:num>
  <w:num w:numId="25">
    <w:abstractNumId w:val="59"/>
  </w:num>
  <w:num w:numId="26">
    <w:abstractNumId w:val="44"/>
  </w:num>
  <w:num w:numId="27">
    <w:abstractNumId w:val="41"/>
  </w:num>
  <w:num w:numId="28">
    <w:abstractNumId w:val="10"/>
  </w:num>
  <w:num w:numId="29">
    <w:abstractNumId w:val="57"/>
  </w:num>
  <w:num w:numId="30">
    <w:abstractNumId w:val="34"/>
  </w:num>
  <w:num w:numId="31">
    <w:abstractNumId w:val="18"/>
  </w:num>
  <w:num w:numId="32">
    <w:abstractNumId w:val="60"/>
  </w:num>
  <w:num w:numId="33">
    <w:abstractNumId w:val="29"/>
  </w:num>
  <w:num w:numId="34">
    <w:abstractNumId w:val="58"/>
  </w:num>
  <w:num w:numId="35">
    <w:abstractNumId w:val="62"/>
  </w:num>
  <w:num w:numId="36">
    <w:abstractNumId w:val="15"/>
  </w:num>
  <w:num w:numId="37">
    <w:abstractNumId w:val="64"/>
  </w:num>
  <w:num w:numId="38">
    <w:abstractNumId w:val="16"/>
  </w:num>
  <w:num w:numId="39">
    <w:abstractNumId w:val="21"/>
  </w:num>
  <w:num w:numId="40">
    <w:abstractNumId w:val="38"/>
  </w:num>
  <w:num w:numId="41">
    <w:abstractNumId w:val="36"/>
  </w:num>
  <w:num w:numId="42">
    <w:abstractNumId w:val="11"/>
  </w:num>
  <w:num w:numId="43">
    <w:abstractNumId w:val="27"/>
  </w:num>
  <w:num w:numId="44">
    <w:abstractNumId w:val="37"/>
  </w:num>
  <w:num w:numId="45">
    <w:abstractNumId w:val="27"/>
  </w:num>
  <w:num w:numId="46">
    <w:abstractNumId w:val="24"/>
  </w:num>
  <w:num w:numId="47">
    <w:abstractNumId w:val="45"/>
  </w:num>
  <w:num w:numId="48">
    <w:abstractNumId w:val="39"/>
  </w:num>
  <w:num w:numId="49">
    <w:abstractNumId w:val="23"/>
  </w:num>
  <w:num w:numId="50">
    <w:abstractNumId w:val="13"/>
  </w:num>
  <w:num w:numId="51">
    <w:abstractNumId w:val="19"/>
  </w:num>
  <w:num w:numId="52">
    <w:abstractNumId w:val="28"/>
  </w:num>
  <w:num w:numId="53">
    <w:abstractNumId w:val="50"/>
  </w:num>
  <w:num w:numId="54">
    <w:abstractNumId w:val="40"/>
  </w:num>
  <w:num w:numId="55">
    <w:abstractNumId w:val="12"/>
  </w:num>
  <w:num w:numId="56">
    <w:abstractNumId w:val="63"/>
  </w:num>
  <w:num w:numId="57">
    <w:abstractNumId w:val="33"/>
  </w:num>
  <w:num w:numId="58">
    <w:abstractNumId w:val="32"/>
  </w:num>
  <w:num w:numId="59">
    <w:abstractNumId w:val="55"/>
  </w:num>
  <w:num w:numId="60">
    <w:abstractNumId w:val="48"/>
  </w:num>
  <w:num w:numId="61">
    <w:abstractNumId w:val="35"/>
  </w:num>
  <w:num w:numId="62">
    <w:abstractNumId w:val="22"/>
  </w:num>
  <w:num w:numId="63">
    <w:abstractNumId w:val="17"/>
  </w:num>
  <w:num w:numId="64">
    <w:abstractNumId w:val="65"/>
  </w:num>
  <w:num w:numId="65">
    <w:abstractNumId w:val="49"/>
  </w:num>
  <w:num w:numId="66">
    <w:abstractNumId w:val="54"/>
  </w:num>
  <w:num w:numId="67">
    <w:abstractNumId w:val="46"/>
  </w:num>
  <w:num w:numId="68">
    <w:abstractNumId w:val="61"/>
  </w:num>
  <w:num w:numId="69">
    <w:abstractNumId w:val="47"/>
  </w:num>
  <w:num w:numId="70">
    <w:abstractNumId w:val="37"/>
  </w:num>
  <w:num w:numId="71">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5C"/>
    <w:rsid w:val="000037EF"/>
    <w:rsid w:val="00010B2A"/>
    <w:rsid w:val="000119A2"/>
    <w:rsid w:val="0001358E"/>
    <w:rsid w:val="00013E69"/>
    <w:rsid w:val="000151C9"/>
    <w:rsid w:val="00017BCB"/>
    <w:rsid w:val="00026E28"/>
    <w:rsid w:val="00027770"/>
    <w:rsid w:val="00033DC7"/>
    <w:rsid w:val="000341EB"/>
    <w:rsid w:val="00035CE6"/>
    <w:rsid w:val="00037C2B"/>
    <w:rsid w:val="00040232"/>
    <w:rsid w:val="00040F85"/>
    <w:rsid w:val="000439D2"/>
    <w:rsid w:val="000448A1"/>
    <w:rsid w:val="00047610"/>
    <w:rsid w:val="00057C31"/>
    <w:rsid w:val="00060851"/>
    <w:rsid w:val="00061C7B"/>
    <w:rsid w:val="00062664"/>
    <w:rsid w:val="0006347B"/>
    <w:rsid w:val="00065637"/>
    <w:rsid w:val="00067A9F"/>
    <w:rsid w:val="00067BA5"/>
    <w:rsid w:val="0007008A"/>
    <w:rsid w:val="000716D3"/>
    <w:rsid w:val="000726F3"/>
    <w:rsid w:val="000774F5"/>
    <w:rsid w:val="00080C14"/>
    <w:rsid w:val="00082F77"/>
    <w:rsid w:val="000860B6"/>
    <w:rsid w:val="00086CEC"/>
    <w:rsid w:val="00093B70"/>
    <w:rsid w:val="0009526F"/>
    <w:rsid w:val="00097F69"/>
    <w:rsid w:val="000A07F1"/>
    <w:rsid w:val="000A2EFF"/>
    <w:rsid w:val="000A688B"/>
    <w:rsid w:val="000B0440"/>
    <w:rsid w:val="000B1CE5"/>
    <w:rsid w:val="000B5F62"/>
    <w:rsid w:val="000B6FBD"/>
    <w:rsid w:val="000B73B4"/>
    <w:rsid w:val="000C7FC0"/>
    <w:rsid w:val="000D0A18"/>
    <w:rsid w:val="000D268B"/>
    <w:rsid w:val="000D36AB"/>
    <w:rsid w:val="000D50F7"/>
    <w:rsid w:val="000D7FB8"/>
    <w:rsid w:val="000E029D"/>
    <w:rsid w:val="000E0E46"/>
    <w:rsid w:val="000E0FE4"/>
    <w:rsid w:val="000E11F0"/>
    <w:rsid w:val="000E7EAD"/>
    <w:rsid w:val="000F4F4E"/>
    <w:rsid w:val="00100223"/>
    <w:rsid w:val="001015A8"/>
    <w:rsid w:val="00103445"/>
    <w:rsid w:val="00106312"/>
    <w:rsid w:val="00114C65"/>
    <w:rsid w:val="00115674"/>
    <w:rsid w:val="001174BA"/>
    <w:rsid w:val="00117723"/>
    <w:rsid w:val="00120A58"/>
    <w:rsid w:val="00121E0D"/>
    <w:rsid w:val="001223BB"/>
    <w:rsid w:val="00122552"/>
    <w:rsid w:val="00122F35"/>
    <w:rsid w:val="00126C8E"/>
    <w:rsid w:val="001420A6"/>
    <w:rsid w:val="00143A77"/>
    <w:rsid w:val="00144E48"/>
    <w:rsid w:val="001460E7"/>
    <w:rsid w:val="001505F4"/>
    <w:rsid w:val="001518AE"/>
    <w:rsid w:val="00152CED"/>
    <w:rsid w:val="00155507"/>
    <w:rsid w:val="00157609"/>
    <w:rsid w:val="00160414"/>
    <w:rsid w:val="0016141B"/>
    <w:rsid w:val="00161851"/>
    <w:rsid w:val="0016221A"/>
    <w:rsid w:val="001623CD"/>
    <w:rsid w:val="00163AAA"/>
    <w:rsid w:val="00167F52"/>
    <w:rsid w:val="00167F90"/>
    <w:rsid w:val="00170C88"/>
    <w:rsid w:val="00174D6D"/>
    <w:rsid w:val="00175393"/>
    <w:rsid w:val="001757B8"/>
    <w:rsid w:val="001768A9"/>
    <w:rsid w:val="001770E4"/>
    <w:rsid w:val="001771B2"/>
    <w:rsid w:val="00180426"/>
    <w:rsid w:val="001813A6"/>
    <w:rsid w:val="001833FA"/>
    <w:rsid w:val="0018554D"/>
    <w:rsid w:val="00186654"/>
    <w:rsid w:val="0018722C"/>
    <w:rsid w:val="00187492"/>
    <w:rsid w:val="001875C6"/>
    <w:rsid w:val="00187D7C"/>
    <w:rsid w:val="00192003"/>
    <w:rsid w:val="0019571C"/>
    <w:rsid w:val="0019695E"/>
    <w:rsid w:val="001A09CA"/>
    <w:rsid w:val="001A1E79"/>
    <w:rsid w:val="001A3ADF"/>
    <w:rsid w:val="001A3B50"/>
    <w:rsid w:val="001A5E29"/>
    <w:rsid w:val="001B095B"/>
    <w:rsid w:val="001B1771"/>
    <w:rsid w:val="001B32D5"/>
    <w:rsid w:val="001C39C0"/>
    <w:rsid w:val="001C4DF0"/>
    <w:rsid w:val="001C6FCC"/>
    <w:rsid w:val="001D0B39"/>
    <w:rsid w:val="001D3563"/>
    <w:rsid w:val="001D5BF0"/>
    <w:rsid w:val="001E011A"/>
    <w:rsid w:val="001E10AE"/>
    <w:rsid w:val="001E62A2"/>
    <w:rsid w:val="001F09D0"/>
    <w:rsid w:val="001F45A1"/>
    <w:rsid w:val="002000F0"/>
    <w:rsid w:val="0020196E"/>
    <w:rsid w:val="00205040"/>
    <w:rsid w:val="002059FF"/>
    <w:rsid w:val="00206DC8"/>
    <w:rsid w:val="002115CF"/>
    <w:rsid w:val="00211930"/>
    <w:rsid w:val="002134E6"/>
    <w:rsid w:val="00214F5E"/>
    <w:rsid w:val="00215FD8"/>
    <w:rsid w:val="0022020F"/>
    <w:rsid w:val="00221083"/>
    <w:rsid w:val="0022149C"/>
    <w:rsid w:val="0022654D"/>
    <w:rsid w:val="00226BE1"/>
    <w:rsid w:val="00234418"/>
    <w:rsid w:val="00235028"/>
    <w:rsid w:val="00246207"/>
    <w:rsid w:val="00246B9D"/>
    <w:rsid w:val="00247E01"/>
    <w:rsid w:val="002516D6"/>
    <w:rsid w:val="002556A9"/>
    <w:rsid w:val="00257149"/>
    <w:rsid w:val="002577DC"/>
    <w:rsid w:val="00257E43"/>
    <w:rsid w:val="00260A41"/>
    <w:rsid w:val="00262B7C"/>
    <w:rsid w:val="00262FD6"/>
    <w:rsid w:val="002650C0"/>
    <w:rsid w:val="00270C95"/>
    <w:rsid w:val="00274396"/>
    <w:rsid w:val="002802DB"/>
    <w:rsid w:val="00280E17"/>
    <w:rsid w:val="00281681"/>
    <w:rsid w:val="00286E89"/>
    <w:rsid w:val="0028796F"/>
    <w:rsid w:val="00287E90"/>
    <w:rsid w:val="002917E4"/>
    <w:rsid w:val="00294972"/>
    <w:rsid w:val="00295816"/>
    <w:rsid w:val="002A1ECD"/>
    <w:rsid w:val="002A259B"/>
    <w:rsid w:val="002B1FA4"/>
    <w:rsid w:val="002B61E4"/>
    <w:rsid w:val="002B6B43"/>
    <w:rsid w:val="002B6CA9"/>
    <w:rsid w:val="002C143E"/>
    <w:rsid w:val="002C1733"/>
    <w:rsid w:val="002C32D2"/>
    <w:rsid w:val="002C5FF6"/>
    <w:rsid w:val="002D6366"/>
    <w:rsid w:val="002E06E9"/>
    <w:rsid w:val="002E4866"/>
    <w:rsid w:val="002E5960"/>
    <w:rsid w:val="002F0D5D"/>
    <w:rsid w:val="002F0E7A"/>
    <w:rsid w:val="002F56C6"/>
    <w:rsid w:val="002F57ED"/>
    <w:rsid w:val="002F5C46"/>
    <w:rsid w:val="002F7A03"/>
    <w:rsid w:val="00306E82"/>
    <w:rsid w:val="00306F56"/>
    <w:rsid w:val="00310071"/>
    <w:rsid w:val="00310638"/>
    <w:rsid w:val="00311691"/>
    <w:rsid w:val="00313DEA"/>
    <w:rsid w:val="00316D9E"/>
    <w:rsid w:val="00321ACE"/>
    <w:rsid w:val="00332145"/>
    <w:rsid w:val="00333D76"/>
    <w:rsid w:val="00340258"/>
    <w:rsid w:val="00340548"/>
    <w:rsid w:val="00345A5D"/>
    <w:rsid w:val="00345DA8"/>
    <w:rsid w:val="0034780E"/>
    <w:rsid w:val="00350721"/>
    <w:rsid w:val="003609AF"/>
    <w:rsid w:val="00363F91"/>
    <w:rsid w:val="003673F3"/>
    <w:rsid w:val="00371D6C"/>
    <w:rsid w:val="00371DBC"/>
    <w:rsid w:val="003754B8"/>
    <w:rsid w:val="00381F84"/>
    <w:rsid w:val="00383FE6"/>
    <w:rsid w:val="00384A5C"/>
    <w:rsid w:val="00387BF2"/>
    <w:rsid w:val="00387E6A"/>
    <w:rsid w:val="00390826"/>
    <w:rsid w:val="00391B1C"/>
    <w:rsid w:val="00394329"/>
    <w:rsid w:val="003A2C3D"/>
    <w:rsid w:val="003A4379"/>
    <w:rsid w:val="003A561D"/>
    <w:rsid w:val="003A5E6F"/>
    <w:rsid w:val="003B40A3"/>
    <w:rsid w:val="003B42C2"/>
    <w:rsid w:val="003B4F90"/>
    <w:rsid w:val="003B5E82"/>
    <w:rsid w:val="003B61C8"/>
    <w:rsid w:val="003C3A89"/>
    <w:rsid w:val="003C3F98"/>
    <w:rsid w:val="003C5C37"/>
    <w:rsid w:val="003C5E31"/>
    <w:rsid w:val="003D58BF"/>
    <w:rsid w:val="003D6D0C"/>
    <w:rsid w:val="003D788F"/>
    <w:rsid w:val="003E09B0"/>
    <w:rsid w:val="003E214A"/>
    <w:rsid w:val="003E221E"/>
    <w:rsid w:val="003E333C"/>
    <w:rsid w:val="003E406A"/>
    <w:rsid w:val="003E6377"/>
    <w:rsid w:val="003E769C"/>
    <w:rsid w:val="003F2001"/>
    <w:rsid w:val="003F3013"/>
    <w:rsid w:val="003F6AD9"/>
    <w:rsid w:val="00400C02"/>
    <w:rsid w:val="00401000"/>
    <w:rsid w:val="0040109F"/>
    <w:rsid w:val="00402239"/>
    <w:rsid w:val="00402309"/>
    <w:rsid w:val="00402B47"/>
    <w:rsid w:val="00404095"/>
    <w:rsid w:val="00407FF2"/>
    <w:rsid w:val="004157C0"/>
    <w:rsid w:val="00415A22"/>
    <w:rsid w:val="00415B52"/>
    <w:rsid w:val="00417156"/>
    <w:rsid w:val="00422D87"/>
    <w:rsid w:val="0042329D"/>
    <w:rsid w:val="004254E1"/>
    <w:rsid w:val="00426197"/>
    <w:rsid w:val="00427EEB"/>
    <w:rsid w:val="00430508"/>
    <w:rsid w:val="00430C24"/>
    <w:rsid w:val="00430D3C"/>
    <w:rsid w:val="00435885"/>
    <w:rsid w:val="004373D6"/>
    <w:rsid w:val="00443FBE"/>
    <w:rsid w:val="00445C69"/>
    <w:rsid w:val="00450D88"/>
    <w:rsid w:val="00453C54"/>
    <w:rsid w:val="004576A8"/>
    <w:rsid w:val="00457B77"/>
    <w:rsid w:val="00460F44"/>
    <w:rsid w:val="004615AF"/>
    <w:rsid w:val="00461DED"/>
    <w:rsid w:val="004668A1"/>
    <w:rsid w:val="0047493B"/>
    <w:rsid w:val="00474B33"/>
    <w:rsid w:val="00477EA9"/>
    <w:rsid w:val="004807C3"/>
    <w:rsid w:val="0048349E"/>
    <w:rsid w:val="004837D8"/>
    <w:rsid w:val="00485BAF"/>
    <w:rsid w:val="00486791"/>
    <w:rsid w:val="00486E04"/>
    <w:rsid w:val="00492854"/>
    <w:rsid w:val="004935EF"/>
    <w:rsid w:val="004943D9"/>
    <w:rsid w:val="00496555"/>
    <w:rsid w:val="00496646"/>
    <w:rsid w:val="004A15A3"/>
    <w:rsid w:val="004A1DED"/>
    <w:rsid w:val="004A2F36"/>
    <w:rsid w:val="004A354D"/>
    <w:rsid w:val="004A3AED"/>
    <w:rsid w:val="004A3DBB"/>
    <w:rsid w:val="004A434D"/>
    <w:rsid w:val="004B1861"/>
    <w:rsid w:val="004B3F35"/>
    <w:rsid w:val="004B482D"/>
    <w:rsid w:val="004B5823"/>
    <w:rsid w:val="004C3712"/>
    <w:rsid w:val="004C55D4"/>
    <w:rsid w:val="004C6042"/>
    <w:rsid w:val="004D0705"/>
    <w:rsid w:val="004D2F50"/>
    <w:rsid w:val="004D3D52"/>
    <w:rsid w:val="004D4A9B"/>
    <w:rsid w:val="004D4CE7"/>
    <w:rsid w:val="004D5CAC"/>
    <w:rsid w:val="004D638D"/>
    <w:rsid w:val="004D778F"/>
    <w:rsid w:val="004E0EB6"/>
    <w:rsid w:val="004E13B2"/>
    <w:rsid w:val="004E5B23"/>
    <w:rsid w:val="004E6A9A"/>
    <w:rsid w:val="004F6343"/>
    <w:rsid w:val="004F70AC"/>
    <w:rsid w:val="0050073C"/>
    <w:rsid w:val="00510208"/>
    <w:rsid w:val="00510670"/>
    <w:rsid w:val="00516994"/>
    <w:rsid w:val="00517B79"/>
    <w:rsid w:val="00526F0C"/>
    <w:rsid w:val="00527E00"/>
    <w:rsid w:val="00534BDB"/>
    <w:rsid w:val="005377DD"/>
    <w:rsid w:val="005420E0"/>
    <w:rsid w:val="00542222"/>
    <w:rsid w:val="00543806"/>
    <w:rsid w:val="00544F2F"/>
    <w:rsid w:val="0055035C"/>
    <w:rsid w:val="005535EA"/>
    <w:rsid w:val="00553C65"/>
    <w:rsid w:val="005546BC"/>
    <w:rsid w:val="00555F85"/>
    <w:rsid w:val="00557A51"/>
    <w:rsid w:val="00557C96"/>
    <w:rsid w:val="00560843"/>
    <w:rsid w:val="005626BE"/>
    <w:rsid w:val="00563C77"/>
    <w:rsid w:val="00571812"/>
    <w:rsid w:val="00571F06"/>
    <w:rsid w:val="005819BF"/>
    <w:rsid w:val="00583B59"/>
    <w:rsid w:val="00584DBC"/>
    <w:rsid w:val="00590C50"/>
    <w:rsid w:val="00590FD2"/>
    <w:rsid w:val="00594BE7"/>
    <w:rsid w:val="00595DC7"/>
    <w:rsid w:val="005A0227"/>
    <w:rsid w:val="005A5DFD"/>
    <w:rsid w:val="005A63B8"/>
    <w:rsid w:val="005A77C0"/>
    <w:rsid w:val="005B26FB"/>
    <w:rsid w:val="005B6216"/>
    <w:rsid w:val="005C2356"/>
    <w:rsid w:val="005C695A"/>
    <w:rsid w:val="005D146D"/>
    <w:rsid w:val="005D18E8"/>
    <w:rsid w:val="005D3981"/>
    <w:rsid w:val="005D3C0C"/>
    <w:rsid w:val="005D5AFF"/>
    <w:rsid w:val="005E1677"/>
    <w:rsid w:val="005E2B58"/>
    <w:rsid w:val="005E5406"/>
    <w:rsid w:val="005F1A27"/>
    <w:rsid w:val="005F1E17"/>
    <w:rsid w:val="005F3F2B"/>
    <w:rsid w:val="005F4917"/>
    <w:rsid w:val="005F5E25"/>
    <w:rsid w:val="005F689C"/>
    <w:rsid w:val="00613FE0"/>
    <w:rsid w:val="00616F44"/>
    <w:rsid w:val="006178DA"/>
    <w:rsid w:val="00621BDC"/>
    <w:rsid w:val="00622379"/>
    <w:rsid w:val="0062617F"/>
    <w:rsid w:val="006302E4"/>
    <w:rsid w:val="00632870"/>
    <w:rsid w:val="0063641E"/>
    <w:rsid w:val="00640670"/>
    <w:rsid w:val="00643D49"/>
    <w:rsid w:val="00643D92"/>
    <w:rsid w:val="0064410C"/>
    <w:rsid w:val="00645076"/>
    <w:rsid w:val="00652FC3"/>
    <w:rsid w:val="006537FF"/>
    <w:rsid w:val="00654255"/>
    <w:rsid w:val="00654790"/>
    <w:rsid w:val="006557CC"/>
    <w:rsid w:val="00656A39"/>
    <w:rsid w:val="006571C9"/>
    <w:rsid w:val="00670F8B"/>
    <w:rsid w:val="006747AC"/>
    <w:rsid w:val="00676FF1"/>
    <w:rsid w:val="006801B7"/>
    <w:rsid w:val="0068021F"/>
    <w:rsid w:val="00685B2F"/>
    <w:rsid w:val="006914D3"/>
    <w:rsid w:val="00693B4A"/>
    <w:rsid w:val="006A1548"/>
    <w:rsid w:val="006A7505"/>
    <w:rsid w:val="006B4163"/>
    <w:rsid w:val="006B6F67"/>
    <w:rsid w:val="006B730C"/>
    <w:rsid w:val="006C45EA"/>
    <w:rsid w:val="006C4D35"/>
    <w:rsid w:val="006C739C"/>
    <w:rsid w:val="006D1426"/>
    <w:rsid w:val="006D34B7"/>
    <w:rsid w:val="006D6033"/>
    <w:rsid w:val="006D65C5"/>
    <w:rsid w:val="006E02CB"/>
    <w:rsid w:val="006E0907"/>
    <w:rsid w:val="006E47D0"/>
    <w:rsid w:val="006E5218"/>
    <w:rsid w:val="006E6DD1"/>
    <w:rsid w:val="006F15F9"/>
    <w:rsid w:val="006F64CE"/>
    <w:rsid w:val="007026DB"/>
    <w:rsid w:val="0070670D"/>
    <w:rsid w:val="0071300D"/>
    <w:rsid w:val="00716678"/>
    <w:rsid w:val="007204E1"/>
    <w:rsid w:val="00720DF9"/>
    <w:rsid w:val="00723A98"/>
    <w:rsid w:val="007240FE"/>
    <w:rsid w:val="00725CE0"/>
    <w:rsid w:val="00726AEE"/>
    <w:rsid w:val="00731891"/>
    <w:rsid w:val="007334B1"/>
    <w:rsid w:val="00734FB8"/>
    <w:rsid w:val="0073752A"/>
    <w:rsid w:val="00741CCB"/>
    <w:rsid w:val="00745D6F"/>
    <w:rsid w:val="007607AD"/>
    <w:rsid w:val="007610DD"/>
    <w:rsid w:val="00761147"/>
    <w:rsid w:val="00761252"/>
    <w:rsid w:val="00765ACA"/>
    <w:rsid w:val="007735FC"/>
    <w:rsid w:val="00775563"/>
    <w:rsid w:val="00776543"/>
    <w:rsid w:val="00776B59"/>
    <w:rsid w:val="00787CE7"/>
    <w:rsid w:val="00793715"/>
    <w:rsid w:val="00793795"/>
    <w:rsid w:val="00795E36"/>
    <w:rsid w:val="007964EF"/>
    <w:rsid w:val="00797C98"/>
    <w:rsid w:val="007A04C6"/>
    <w:rsid w:val="007A3571"/>
    <w:rsid w:val="007A71A1"/>
    <w:rsid w:val="007B0972"/>
    <w:rsid w:val="007B1D10"/>
    <w:rsid w:val="007B4BD6"/>
    <w:rsid w:val="007C190E"/>
    <w:rsid w:val="007C2A12"/>
    <w:rsid w:val="007C663A"/>
    <w:rsid w:val="007C69EA"/>
    <w:rsid w:val="007D3416"/>
    <w:rsid w:val="007D3654"/>
    <w:rsid w:val="007D4DCE"/>
    <w:rsid w:val="007E0F99"/>
    <w:rsid w:val="007E35D6"/>
    <w:rsid w:val="007E6BB0"/>
    <w:rsid w:val="007E74A0"/>
    <w:rsid w:val="007F33E9"/>
    <w:rsid w:val="007F3571"/>
    <w:rsid w:val="007F5517"/>
    <w:rsid w:val="00801268"/>
    <w:rsid w:val="00802998"/>
    <w:rsid w:val="00802E1B"/>
    <w:rsid w:val="00805DE4"/>
    <w:rsid w:val="008079E8"/>
    <w:rsid w:val="00814DA3"/>
    <w:rsid w:val="00816B6F"/>
    <w:rsid w:val="00820A81"/>
    <w:rsid w:val="00826216"/>
    <w:rsid w:val="00830966"/>
    <w:rsid w:val="00830FA3"/>
    <w:rsid w:val="00832214"/>
    <w:rsid w:val="008338D1"/>
    <w:rsid w:val="008338FB"/>
    <w:rsid w:val="00833DDB"/>
    <w:rsid w:val="008347BA"/>
    <w:rsid w:val="008421C8"/>
    <w:rsid w:val="008448B2"/>
    <w:rsid w:val="00847292"/>
    <w:rsid w:val="00850DA8"/>
    <w:rsid w:val="00855C4B"/>
    <w:rsid w:val="00857767"/>
    <w:rsid w:val="0086153B"/>
    <w:rsid w:val="00861DD8"/>
    <w:rsid w:val="00862B78"/>
    <w:rsid w:val="00863761"/>
    <w:rsid w:val="008650B2"/>
    <w:rsid w:val="008659AA"/>
    <w:rsid w:val="0086617A"/>
    <w:rsid w:val="008670CE"/>
    <w:rsid w:val="0087017B"/>
    <w:rsid w:val="0087018C"/>
    <w:rsid w:val="008707EA"/>
    <w:rsid w:val="008720CA"/>
    <w:rsid w:val="00872794"/>
    <w:rsid w:val="008747DC"/>
    <w:rsid w:val="00875D7F"/>
    <w:rsid w:val="008820E7"/>
    <w:rsid w:val="00886031"/>
    <w:rsid w:val="00890897"/>
    <w:rsid w:val="00895160"/>
    <w:rsid w:val="008A0134"/>
    <w:rsid w:val="008A0C4C"/>
    <w:rsid w:val="008B037A"/>
    <w:rsid w:val="008B1D65"/>
    <w:rsid w:val="008B6AA9"/>
    <w:rsid w:val="008C1DE4"/>
    <w:rsid w:val="008C64C5"/>
    <w:rsid w:val="008C6EC7"/>
    <w:rsid w:val="008C77E9"/>
    <w:rsid w:val="008E04F1"/>
    <w:rsid w:val="008E20BF"/>
    <w:rsid w:val="008E5FC4"/>
    <w:rsid w:val="008E68CF"/>
    <w:rsid w:val="008E764E"/>
    <w:rsid w:val="008F1E97"/>
    <w:rsid w:val="008F2E4F"/>
    <w:rsid w:val="008F418D"/>
    <w:rsid w:val="00900C7E"/>
    <w:rsid w:val="00905A4A"/>
    <w:rsid w:val="0090637B"/>
    <w:rsid w:val="009111F8"/>
    <w:rsid w:val="00914C47"/>
    <w:rsid w:val="009153DE"/>
    <w:rsid w:val="00916204"/>
    <w:rsid w:val="00917358"/>
    <w:rsid w:val="0092130A"/>
    <w:rsid w:val="009229CB"/>
    <w:rsid w:val="0092334B"/>
    <w:rsid w:val="00924130"/>
    <w:rsid w:val="009251FD"/>
    <w:rsid w:val="009253D4"/>
    <w:rsid w:val="0092774D"/>
    <w:rsid w:val="00933BCB"/>
    <w:rsid w:val="0094174C"/>
    <w:rsid w:val="009427FE"/>
    <w:rsid w:val="009439BE"/>
    <w:rsid w:val="00944D1F"/>
    <w:rsid w:val="00953AAA"/>
    <w:rsid w:val="00954A67"/>
    <w:rsid w:val="00956755"/>
    <w:rsid w:val="00956A67"/>
    <w:rsid w:val="009603D9"/>
    <w:rsid w:val="00965627"/>
    <w:rsid w:val="009657E8"/>
    <w:rsid w:val="00966BF3"/>
    <w:rsid w:val="00967CB3"/>
    <w:rsid w:val="0097435E"/>
    <w:rsid w:val="0098177A"/>
    <w:rsid w:val="00981B04"/>
    <w:rsid w:val="00983257"/>
    <w:rsid w:val="009849EF"/>
    <w:rsid w:val="00984ADC"/>
    <w:rsid w:val="0098741D"/>
    <w:rsid w:val="00992F40"/>
    <w:rsid w:val="00993DBB"/>
    <w:rsid w:val="009A1D10"/>
    <w:rsid w:val="009A3D21"/>
    <w:rsid w:val="009A7537"/>
    <w:rsid w:val="009B36B0"/>
    <w:rsid w:val="009C4B20"/>
    <w:rsid w:val="009C4DF6"/>
    <w:rsid w:val="009C671B"/>
    <w:rsid w:val="009C7867"/>
    <w:rsid w:val="009D125E"/>
    <w:rsid w:val="009D442E"/>
    <w:rsid w:val="009D5AA0"/>
    <w:rsid w:val="009D69A4"/>
    <w:rsid w:val="009E2692"/>
    <w:rsid w:val="009E282A"/>
    <w:rsid w:val="009E309F"/>
    <w:rsid w:val="009E4B3B"/>
    <w:rsid w:val="009E519D"/>
    <w:rsid w:val="009E5377"/>
    <w:rsid w:val="009E6B2D"/>
    <w:rsid w:val="009F489A"/>
    <w:rsid w:val="009F4FBC"/>
    <w:rsid w:val="00A00FBF"/>
    <w:rsid w:val="00A05990"/>
    <w:rsid w:val="00A10467"/>
    <w:rsid w:val="00A10A31"/>
    <w:rsid w:val="00A16A3C"/>
    <w:rsid w:val="00A16CEA"/>
    <w:rsid w:val="00A21152"/>
    <w:rsid w:val="00A21386"/>
    <w:rsid w:val="00A23A37"/>
    <w:rsid w:val="00A250F1"/>
    <w:rsid w:val="00A27B02"/>
    <w:rsid w:val="00A30D77"/>
    <w:rsid w:val="00A31E8E"/>
    <w:rsid w:val="00A347E5"/>
    <w:rsid w:val="00A360EE"/>
    <w:rsid w:val="00A464E0"/>
    <w:rsid w:val="00A46946"/>
    <w:rsid w:val="00A50061"/>
    <w:rsid w:val="00A52BCC"/>
    <w:rsid w:val="00A5432B"/>
    <w:rsid w:val="00A555B9"/>
    <w:rsid w:val="00A56F04"/>
    <w:rsid w:val="00A625C4"/>
    <w:rsid w:val="00A65D3C"/>
    <w:rsid w:val="00A708D5"/>
    <w:rsid w:val="00A71061"/>
    <w:rsid w:val="00A72572"/>
    <w:rsid w:val="00A72FD1"/>
    <w:rsid w:val="00A742F9"/>
    <w:rsid w:val="00A76EC9"/>
    <w:rsid w:val="00A8053F"/>
    <w:rsid w:val="00A81874"/>
    <w:rsid w:val="00A91F78"/>
    <w:rsid w:val="00A94628"/>
    <w:rsid w:val="00A95531"/>
    <w:rsid w:val="00A96741"/>
    <w:rsid w:val="00AA672B"/>
    <w:rsid w:val="00AA6A43"/>
    <w:rsid w:val="00AB6297"/>
    <w:rsid w:val="00AC75F5"/>
    <w:rsid w:val="00AD3690"/>
    <w:rsid w:val="00AD6F9A"/>
    <w:rsid w:val="00AE035A"/>
    <w:rsid w:val="00AE0E24"/>
    <w:rsid w:val="00AE4CAE"/>
    <w:rsid w:val="00AE4DE5"/>
    <w:rsid w:val="00AE5BA7"/>
    <w:rsid w:val="00AE5FE9"/>
    <w:rsid w:val="00AF178B"/>
    <w:rsid w:val="00AF2CD5"/>
    <w:rsid w:val="00AF3169"/>
    <w:rsid w:val="00AF398C"/>
    <w:rsid w:val="00AF6187"/>
    <w:rsid w:val="00AF6199"/>
    <w:rsid w:val="00AF7271"/>
    <w:rsid w:val="00B01960"/>
    <w:rsid w:val="00B05F6C"/>
    <w:rsid w:val="00B067C7"/>
    <w:rsid w:val="00B0716D"/>
    <w:rsid w:val="00B07610"/>
    <w:rsid w:val="00B117E6"/>
    <w:rsid w:val="00B12F16"/>
    <w:rsid w:val="00B154BA"/>
    <w:rsid w:val="00B17865"/>
    <w:rsid w:val="00B207E2"/>
    <w:rsid w:val="00B2322A"/>
    <w:rsid w:val="00B242D2"/>
    <w:rsid w:val="00B300D8"/>
    <w:rsid w:val="00B31EE8"/>
    <w:rsid w:val="00B32E71"/>
    <w:rsid w:val="00B34CAC"/>
    <w:rsid w:val="00B35FF9"/>
    <w:rsid w:val="00B3686C"/>
    <w:rsid w:val="00B4451D"/>
    <w:rsid w:val="00B46DBD"/>
    <w:rsid w:val="00B50489"/>
    <w:rsid w:val="00B5131D"/>
    <w:rsid w:val="00B513F7"/>
    <w:rsid w:val="00B536AF"/>
    <w:rsid w:val="00B54605"/>
    <w:rsid w:val="00B55A43"/>
    <w:rsid w:val="00B55A81"/>
    <w:rsid w:val="00B55FFA"/>
    <w:rsid w:val="00B56ECF"/>
    <w:rsid w:val="00B66C7F"/>
    <w:rsid w:val="00B6785B"/>
    <w:rsid w:val="00B71EF6"/>
    <w:rsid w:val="00B735B9"/>
    <w:rsid w:val="00B74A15"/>
    <w:rsid w:val="00B8217A"/>
    <w:rsid w:val="00B8285F"/>
    <w:rsid w:val="00B861A6"/>
    <w:rsid w:val="00B87D33"/>
    <w:rsid w:val="00B90113"/>
    <w:rsid w:val="00B92340"/>
    <w:rsid w:val="00B92A5F"/>
    <w:rsid w:val="00B95870"/>
    <w:rsid w:val="00BA775F"/>
    <w:rsid w:val="00BB3174"/>
    <w:rsid w:val="00BB5B63"/>
    <w:rsid w:val="00BB6718"/>
    <w:rsid w:val="00BB7E79"/>
    <w:rsid w:val="00BB7FE3"/>
    <w:rsid w:val="00BC2628"/>
    <w:rsid w:val="00BC2706"/>
    <w:rsid w:val="00BC28F7"/>
    <w:rsid w:val="00BC2D34"/>
    <w:rsid w:val="00BC384B"/>
    <w:rsid w:val="00BD2802"/>
    <w:rsid w:val="00BD2887"/>
    <w:rsid w:val="00BD3538"/>
    <w:rsid w:val="00BD3840"/>
    <w:rsid w:val="00BD5CA2"/>
    <w:rsid w:val="00BE0B75"/>
    <w:rsid w:val="00BE0ED4"/>
    <w:rsid w:val="00BE385C"/>
    <w:rsid w:val="00BE68DC"/>
    <w:rsid w:val="00BE6B49"/>
    <w:rsid w:val="00BE7BFF"/>
    <w:rsid w:val="00BF078C"/>
    <w:rsid w:val="00BF2B33"/>
    <w:rsid w:val="00BF3D60"/>
    <w:rsid w:val="00BF48F7"/>
    <w:rsid w:val="00BF78CF"/>
    <w:rsid w:val="00C0156F"/>
    <w:rsid w:val="00C02218"/>
    <w:rsid w:val="00C053A7"/>
    <w:rsid w:val="00C1041B"/>
    <w:rsid w:val="00C15C4B"/>
    <w:rsid w:val="00C1629C"/>
    <w:rsid w:val="00C22B42"/>
    <w:rsid w:val="00C25910"/>
    <w:rsid w:val="00C268AA"/>
    <w:rsid w:val="00C26C5B"/>
    <w:rsid w:val="00C2728A"/>
    <w:rsid w:val="00C33AC6"/>
    <w:rsid w:val="00C34EBB"/>
    <w:rsid w:val="00C3543E"/>
    <w:rsid w:val="00C36718"/>
    <w:rsid w:val="00C404E1"/>
    <w:rsid w:val="00C4086B"/>
    <w:rsid w:val="00C41719"/>
    <w:rsid w:val="00C41DD8"/>
    <w:rsid w:val="00C43A5C"/>
    <w:rsid w:val="00C50F2D"/>
    <w:rsid w:val="00C5100D"/>
    <w:rsid w:val="00C52CAD"/>
    <w:rsid w:val="00C53098"/>
    <w:rsid w:val="00C538A1"/>
    <w:rsid w:val="00C60F0E"/>
    <w:rsid w:val="00C65C5A"/>
    <w:rsid w:val="00C65D51"/>
    <w:rsid w:val="00C66C6F"/>
    <w:rsid w:val="00C66F3B"/>
    <w:rsid w:val="00C7162D"/>
    <w:rsid w:val="00C74B15"/>
    <w:rsid w:val="00C768BA"/>
    <w:rsid w:val="00C77903"/>
    <w:rsid w:val="00C77C50"/>
    <w:rsid w:val="00C83537"/>
    <w:rsid w:val="00C865C9"/>
    <w:rsid w:val="00C87719"/>
    <w:rsid w:val="00C91F68"/>
    <w:rsid w:val="00C92F3F"/>
    <w:rsid w:val="00C93ACE"/>
    <w:rsid w:val="00C95AE9"/>
    <w:rsid w:val="00CA0534"/>
    <w:rsid w:val="00CA3592"/>
    <w:rsid w:val="00CA56E6"/>
    <w:rsid w:val="00CA6119"/>
    <w:rsid w:val="00CB047D"/>
    <w:rsid w:val="00CB1A7B"/>
    <w:rsid w:val="00CB5A87"/>
    <w:rsid w:val="00CC292B"/>
    <w:rsid w:val="00CC3822"/>
    <w:rsid w:val="00CD3901"/>
    <w:rsid w:val="00CD7E8D"/>
    <w:rsid w:val="00CE1883"/>
    <w:rsid w:val="00CE1C29"/>
    <w:rsid w:val="00CE1DE3"/>
    <w:rsid w:val="00CE3C8D"/>
    <w:rsid w:val="00CE477C"/>
    <w:rsid w:val="00CE4C36"/>
    <w:rsid w:val="00CE5BC4"/>
    <w:rsid w:val="00CE7632"/>
    <w:rsid w:val="00CF2CC6"/>
    <w:rsid w:val="00CF40E5"/>
    <w:rsid w:val="00D02735"/>
    <w:rsid w:val="00D04D7F"/>
    <w:rsid w:val="00D05D1B"/>
    <w:rsid w:val="00D102A6"/>
    <w:rsid w:val="00D10CFF"/>
    <w:rsid w:val="00D12DE0"/>
    <w:rsid w:val="00D17882"/>
    <w:rsid w:val="00D20EE2"/>
    <w:rsid w:val="00D217E4"/>
    <w:rsid w:val="00D312FB"/>
    <w:rsid w:val="00D32987"/>
    <w:rsid w:val="00D33E93"/>
    <w:rsid w:val="00D46570"/>
    <w:rsid w:val="00D467DF"/>
    <w:rsid w:val="00D5015F"/>
    <w:rsid w:val="00D50D6B"/>
    <w:rsid w:val="00D51DB2"/>
    <w:rsid w:val="00D5550C"/>
    <w:rsid w:val="00D56641"/>
    <w:rsid w:val="00D56C23"/>
    <w:rsid w:val="00D60AF0"/>
    <w:rsid w:val="00D61F25"/>
    <w:rsid w:val="00D6780D"/>
    <w:rsid w:val="00D679B0"/>
    <w:rsid w:val="00D67DB3"/>
    <w:rsid w:val="00D75E43"/>
    <w:rsid w:val="00D81CFD"/>
    <w:rsid w:val="00D824F4"/>
    <w:rsid w:val="00D8568C"/>
    <w:rsid w:val="00D8621B"/>
    <w:rsid w:val="00D87A64"/>
    <w:rsid w:val="00D932F6"/>
    <w:rsid w:val="00D93E1E"/>
    <w:rsid w:val="00D96965"/>
    <w:rsid w:val="00DA23F6"/>
    <w:rsid w:val="00DA246F"/>
    <w:rsid w:val="00DA6408"/>
    <w:rsid w:val="00DB2233"/>
    <w:rsid w:val="00DB49AD"/>
    <w:rsid w:val="00DB5850"/>
    <w:rsid w:val="00DC1E51"/>
    <w:rsid w:val="00DC2944"/>
    <w:rsid w:val="00DC5EF6"/>
    <w:rsid w:val="00DD293B"/>
    <w:rsid w:val="00DD316B"/>
    <w:rsid w:val="00DE0AA2"/>
    <w:rsid w:val="00DE164C"/>
    <w:rsid w:val="00DE3D00"/>
    <w:rsid w:val="00DE4C94"/>
    <w:rsid w:val="00DF0068"/>
    <w:rsid w:val="00DF0DA0"/>
    <w:rsid w:val="00DF170B"/>
    <w:rsid w:val="00DF650A"/>
    <w:rsid w:val="00E03503"/>
    <w:rsid w:val="00E128BE"/>
    <w:rsid w:val="00E13584"/>
    <w:rsid w:val="00E151D5"/>
    <w:rsid w:val="00E15246"/>
    <w:rsid w:val="00E2610A"/>
    <w:rsid w:val="00E3184B"/>
    <w:rsid w:val="00E32002"/>
    <w:rsid w:val="00E3433B"/>
    <w:rsid w:val="00E35375"/>
    <w:rsid w:val="00E37DD6"/>
    <w:rsid w:val="00E40236"/>
    <w:rsid w:val="00E41C15"/>
    <w:rsid w:val="00E43A7B"/>
    <w:rsid w:val="00E502B9"/>
    <w:rsid w:val="00E51966"/>
    <w:rsid w:val="00E51D1A"/>
    <w:rsid w:val="00E53360"/>
    <w:rsid w:val="00E536B7"/>
    <w:rsid w:val="00E5453F"/>
    <w:rsid w:val="00E65CF0"/>
    <w:rsid w:val="00E67173"/>
    <w:rsid w:val="00E70A29"/>
    <w:rsid w:val="00E72E93"/>
    <w:rsid w:val="00E73AF9"/>
    <w:rsid w:val="00E73F8E"/>
    <w:rsid w:val="00E74353"/>
    <w:rsid w:val="00E74505"/>
    <w:rsid w:val="00E76A18"/>
    <w:rsid w:val="00E80A37"/>
    <w:rsid w:val="00E902D6"/>
    <w:rsid w:val="00E92124"/>
    <w:rsid w:val="00E9363A"/>
    <w:rsid w:val="00E965CD"/>
    <w:rsid w:val="00EA056C"/>
    <w:rsid w:val="00EA0E54"/>
    <w:rsid w:val="00EA46CA"/>
    <w:rsid w:val="00EA6084"/>
    <w:rsid w:val="00EB1FDE"/>
    <w:rsid w:val="00EB5811"/>
    <w:rsid w:val="00EC00B5"/>
    <w:rsid w:val="00EC0CE9"/>
    <w:rsid w:val="00EC0DD1"/>
    <w:rsid w:val="00EC1700"/>
    <w:rsid w:val="00EC3758"/>
    <w:rsid w:val="00EC44AE"/>
    <w:rsid w:val="00ED02A0"/>
    <w:rsid w:val="00ED2132"/>
    <w:rsid w:val="00ED7F27"/>
    <w:rsid w:val="00EE0F73"/>
    <w:rsid w:val="00EF038C"/>
    <w:rsid w:val="00EF0A48"/>
    <w:rsid w:val="00EF3422"/>
    <w:rsid w:val="00EF40A0"/>
    <w:rsid w:val="00EF4A2A"/>
    <w:rsid w:val="00EF51F8"/>
    <w:rsid w:val="00EF6B94"/>
    <w:rsid w:val="00F10072"/>
    <w:rsid w:val="00F15D03"/>
    <w:rsid w:val="00F2188F"/>
    <w:rsid w:val="00F23E13"/>
    <w:rsid w:val="00F23F70"/>
    <w:rsid w:val="00F270C1"/>
    <w:rsid w:val="00F35C1D"/>
    <w:rsid w:val="00F36ADE"/>
    <w:rsid w:val="00F469F7"/>
    <w:rsid w:val="00F4791A"/>
    <w:rsid w:val="00F50641"/>
    <w:rsid w:val="00F512BF"/>
    <w:rsid w:val="00F55399"/>
    <w:rsid w:val="00F55B8A"/>
    <w:rsid w:val="00F616B9"/>
    <w:rsid w:val="00F617CE"/>
    <w:rsid w:val="00F625EE"/>
    <w:rsid w:val="00F64EBD"/>
    <w:rsid w:val="00F65F73"/>
    <w:rsid w:val="00F7487E"/>
    <w:rsid w:val="00F8076F"/>
    <w:rsid w:val="00F80990"/>
    <w:rsid w:val="00F80996"/>
    <w:rsid w:val="00F80AE6"/>
    <w:rsid w:val="00F80BFF"/>
    <w:rsid w:val="00F85938"/>
    <w:rsid w:val="00F94B8C"/>
    <w:rsid w:val="00F94C49"/>
    <w:rsid w:val="00F969CA"/>
    <w:rsid w:val="00FA4CB2"/>
    <w:rsid w:val="00FB64A7"/>
    <w:rsid w:val="00FC2452"/>
    <w:rsid w:val="00FC30DA"/>
    <w:rsid w:val="00FC37CF"/>
    <w:rsid w:val="00FD03E2"/>
    <w:rsid w:val="00FD3217"/>
    <w:rsid w:val="00FD59F2"/>
    <w:rsid w:val="00FD6048"/>
    <w:rsid w:val="00FD6AEA"/>
    <w:rsid w:val="00FE286D"/>
    <w:rsid w:val="00FE2F3F"/>
    <w:rsid w:val="00FE7196"/>
    <w:rsid w:val="00FE7CB5"/>
    <w:rsid w:val="00FF02AF"/>
    <w:rsid w:val="00FF17D3"/>
    <w:rsid w:val="00FF454B"/>
    <w:rsid w:val="00FF47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E3679BF"/>
  <w15:chartTrackingRefBased/>
  <w15:docId w15:val="{7D4510D2-A10F-4F7B-B00A-E6DD6472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1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AF"/>
    <w:pPr>
      <w:spacing w:before="120" w:after="120" w:line="288" w:lineRule="auto"/>
    </w:pPr>
    <w:rPr>
      <w:rFonts w:ascii="Arial" w:hAnsi="Arial"/>
    </w:rPr>
  </w:style>
  <w:style w:type="paragraph" w:styleId="Heading1">
    <w:name w:val="heading 1"/>
    <w:basedOn w:val="Title"/>
    <w:next w:val="NoSpacing"/>
    <w:link w:val="Heading1Char"/>
    <w:autoRedefine/>
    <w:uiPriority w:val="9"/>
    <w:qFormat/>
    <w:rsid w:val="00404095"/>
    <w:pPr>
      <w:spacing w:before="2400"/>
      <w:outlineLvl w:val="0"/>
    </w:pPr>
    <w:rPr>
      <w:rFonts w:eastAsia="Times New Roman"/>
    </w:rPr>
  </w:style>
  <w:style w:type="paragraph" w:styleId="Heading2">
    <w:name w:val="heading 2"/>
    <w:basedOn w:val="Normal"/>
    <w:next w:val="Normal"/>
    <w:link w:val="Heading2Char"/>
    <w:uiPriority w:val="9"/>
    <w:unhideWhenUsed/>
    <w:qFormat/>
    <w:rsid w:val="00917358"/>
    <w:pPr>
      <w:keepNext/>
      <w:keepLines/>
      <w:spacing w:before="40" w:after="0"/>
      <w:outlineLvl w:val="1"/>
    </w:pPr>
    <w:rPr>
      <w:rFonts w:eastAsiaTheme="majorEastAsia" w:cstheme="majorBidi"/>
      <w:color w:val="005677" w:themeColor="accent1"/>
      <w:sz w:val="28"/>
      <w:szCs w:val="26"/>
    </w:rPr>
  </w:style>
  <w:style w:type="paragraph" w:styleId="Heading3">
    <w:name w:val="heading 3"/>
    <w:basedOn w:val="Normal"/>
    <w:next w:val="Normal"/>
    <w:link w:val="Heading3Char"/>
    <w:uiPriority w:val="9"/>
    <w:unhideWhenUsed/>
    <w:qFormat/>
    <w:rsid w:val="00776B59"/>
    <w:pPr>
      <w:keepNext/>
      <w:keepLines/>
      <w:spacing w:before="40" w:after="0"/>
      <w:outlineLvl w:val="2"/>
    </w:pPr>
    <w:rPr>
      <w:rFonts w:eastAsiaTheme="majorEastAsia" w:cstheme="majorBidi"/>
      <w:b/>
      <w:color w:val="00283E"/>
      <w:sz w:val="24"/>
      <w:szCs w:val="24"/>
    </w:rPr>
  </w:style>
  <w:style w:type="paragraph" w:styleId="Heading4">
    <w:name w:val="heading 4"/>
    <w:basedOn w:val="Normal"/>
    <w:next w:val="Normal"/>
    <w:link w:val="Heading4Char"/>
    <w:uiPriority w:val="9"/>
    <w:unhideWhenUsed/>
    <w:qFormat/>
    <w:rsid w:val="00E73F8E"/>
    <w:pPr>
      <w:keepNext/>
      <w:keepLines/>
      <w:spacing w:before="0" w:after="0" w:line="240" w:lineRule="auto"/>
      <w:outlineLvl w:val="3"/>
    </w:pPr>
    <w:rPr>
      <w:rFonts w:eastAsiaTheme="majorEastAsia" w:cstheme="majorBidi"/>
      <w:iCs/>
      <w:color w:val="00283E"/>
      <w:sz w:val="26"/>
    </w:rPr>
  </w:style>
  <w:style w:type="paragraph" w:styleId="Heading5">
    <w:name w:val="heading 5"/>
    <w:basedOn w:val="Normal"/>
    <w:next w:val="Normal"/>
    <w:link w:val="Heading5Char"/>
    <w:uiPriority w:val="9"/>
    <w:unhideWhenUsed/>
    <w:qFormat/>
    <w:rsid w:val="001768A9"/>
    <w:pPr>
      <w:keepNext/>
      <w:keepLines/>
      <w:spacing w:before="40" w:after="0"/>
      <w:outlineLvl w:val="4"/>
    </w:pPr>
    <w:rPr>
      <w:rFonts w:eastAsiaTheme="majorEastAsia" w:cstheme="majorBidi"/>
      <w:b/>
      <w:color w:val="00283E"/>
    </w:rPr>
  </w:style>
  <w:style w:type="paragraph" w:styleId="Heading6">
    <w:name w:val="heading 6"/>
    <w:basedOn w:val="Normal"/>
    <w:next w:val="Normal"/>
    <w:link w:val="Heading6Char"/>
    <w:uiPriority w:val="9"/>
    <w:unhideWhenUsed/>
    <w:qFormat/>
    <w:rsid w:val="002917E4"/>
    <w:pPr>
      <w:keepNext/>
      <w:keepLines/>
      <w:spacing w:before="40" w:after="0" w:line="259" w:lineRule="auto"/>
      <w:outlineLvl w:val="5"/>
    </w:pPr>
    <w:rPr>
      <w:rFonts w:asciiTheme="majorHAnsi" w:eastAsiaTheme="majorEastAsia" w:hAnsiTheme="majorHAnsi" w:cstheme="majorBidi"/>
      <w:color w:val="002A3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5C2356"/>
    <w:pPr>
      <w:tabs>
        <w:tab w:val="center" w:pos="4513"/>
        <w:tab w:val="right" w:pos="9026"/>
      </w:tabs>
      <w:spacing w:after="0" w:line="240" w:lineRule="auto"/>
    </w:pPr>
    <w:rPr>
      <w:color w:val="58595B" w:themeColor="text2"/>
      <w:sz w:val="18"/>
    </w:rPr>
  </w:style>
  <w:style w:type="character" w:customStyle="1" w:styleId="FooterChar">
    <w:name w:val="Footer Char"/>
    <w:basedOn w:val="DefaultParagraphFont"/>
    <w:link w:val="Footer"/>
    <w:uiPriority w:val="99"/>
    <w:rsid w:val="005C2356"/>
    <w:rPr>
      <w:rFonts w:ascii="Arial" w:hAnsi="Arial"/>
      <w:color w:val="58595B" w:themeColor="text2"/>
      <w:sz w:val="18"/>
    </w:rPr>
  </w:style>
  <w:style w:type="paragraph" w:styleId="Title">
    <w:name w:val="Title"/>
    <w:basedOn w:val="Normal"/>
    <w:next w:val="Normal"/>
    <w:link w:val="TitleChar"/>
    <w:uiPriority w:val="10"/>
    <w:qFormat/>
    <w:rsid w:val="001768A9"/>
    <w:pPr>
      <w:spacing w:after="0" w:line="240" w:lineRule="auto"/>
      <w:contextualSpacing/>
    </w:pPr>
    <w:rPr>
      <w:rFonts w:eastAsiaTheme="majorEastAsia" w:cstheme="majorBidi"/>
      <w:color w:val="005677"/>
      <w:spacing w:val="-10"/>
      <w:kern w:val="28"/>
      <w:sz w:val="72"/>
      <w:szCs w:val="56"/>
    </w:rPr>
  </w:style>
  <w:style w:type="character" w:customStyle="1" w:styleId="TitleChar">
    <w:name w:val="Title Char"/>
    <w:basedOn w:val="DefaultParagraphFont"/>
    <w:link w:val="Title"/>
    <w:uiPriority w:val="10"/>
    <w:rsid w:val="001768A9"/>
    <w:rPr>
      <w:rFonts w:ascii="Arial" w:eastAsiaTheme="majorEastAsia" w:hAnsi="Arial" w:cstheme="majorBidi"/>
      <w:color w:val="005677"/>
      <w:spacing w:val="-10"/>
      <w:kern w:val="28"/>
      <w:sz w:val="72"/>
      <w:szCs w:val="56"/>
    </w:rPr>
  </w:style>
  <w:style w:type="character" w:customStyle="1" w:styleId="Heading1Char">
    <w:name w:val="Heading 1 Char"/>
    <w:basedOn w:val="DefaultParagraphFont"/>
    <w:link w:val="Heading1"/>
    <w:uiPriority w:val="9"/>
    <w:rsid w:val="00404095"/>
    <w:rPr>
      <w:rFonts w:ascii="Arial" w:eastAsia="Times New Roman" w:hAnsi="Arial" w:cstheme="majorBidi"/>
      <w:color w:val="005677"/>
      <w:spacing w:val="-10"/>
      <w:kern w:val="28"/>
      <w:sz w:val="72"/>
      <w:szCs w:val="56"/>
    </w:rPr>
  </w:style>
  <w:style w:type="character" w:customStyle="1" w:styleId="Heading2Char">
    <w:name w:val="Heading 2 Char"/>
    <w:basedOn w:val="DefaultParagraphFont"/>
    <w:link w:val="Heading2"/>
    <w:uiPriority w:val="9"/>
    <w:rsid w:val="00917358"/>
    <w:rPr>
      <w:rFonts w:ascii="Arial" w:eastAsiaTheme="majorEastAsia" w:hAnsi="Arial" w:cstheme="majorBidi"/>
      <w:color w:val="005677" w:themeColor="accent1"/>
      <w:sz w:val="28"/>
      <w:szCs w:val="26"/>
    </w:rPr>
  </w:style>
  <w:style w:type="character" w:customStyle="1" w:styleId="Heading3Char">
    <w:name w:val="Heading 3 Char"/>
    <w:basedOn w:val="DefaultParagraphFont"/>
    <w:link w:val="Heading3"/>
    <w:uiPriority w:val="9"/>
    <w:rsid w:val="00776B59"/>
    <w:rPr>
      <w:rFonts w:ascii="Arial" w:eastAsiaTheme="majorEastAsia" w:hAnsi="Arial" w:cstheme="majorBidi"/>
      <w:b/>
      <w:color w:val="00283E"/>
      <w:sz w:val="24"/>
      <w:szCs w:val="24"/>
    </w:rPr>
  </w:style>
  <w:style w:type="character" w:customStyle="1" w:styleId="Heading4Char">
    <w:name w:val="Heading 4 Char"/>
    <w:basedOn w:val="DefaultParagraphFont"/>
    <w:link w:val="Heading4"/>
    <w:uiPriority w:val="9"/>
    <w:rsid w:val="00E73F8E"/>
    <w:rPr>
      <w:rFonts w:ascii="Arial" w:eastAsiaTheme="majorEastAsia" w:hAnsi="Arial" w:cstheme="majorBidi"/>
      <w:iCs/>
      <w:color w:val="00283E"/>
      <w:sz w:val="26"/>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aliases w:val="Bullet 1,CV text,Dot pt,F5 List Paragraph,Indicator Text,L,List Paragraph Char Char Char,List Paragraph1,List Paragraph11,List Paragraph111,List Paragraph2,MAIN CONTENT,Normal numbered,Numbered Para 1,Recommendation,bullet point list,列出段落"/>
    <w:basedOn w:val="Normal"/>
    <w:link w:val="ListParagraphChar"/>
    <w:uiPriority w:val="34"/>
    <w:qFormat/>
    <w:rsid w:val="00443FBE"/>
    <w:pPr>
      <w:numPr>
        <w:numId w:val="44"/>
      </w:numPr>
      <w:contextualSpacing/>
    </w:pPr>
  </w:style>
  <w:style w:type="paragraph" w:styleId="ListBullet">
    <w:name w:val="List Bullet"/>
    <w:basedOn w:val="ListParagraph"/>
    <w:uiPriority w:val="99"/>
    <w:unhideWhenUsed/>
    <w:rsid w:val="00DE3D00"/>
    <w:pPr>
      <w:numPr>
        <w:numId w:val="14"/>
      </w:numPr>
    </w:pPr>
  </w:style>
  <w:style w:type="paragraph" w:styleId="ListBullet2">
    <w:name w:val="List Bullet 2"/>
    <w:basedOn w:val="Normal"/>
    <w:uiPriority w:val="99"/>
    <w:unhideWhenUsed/>
    <w:rsid w:val="00040232"/>
    <w:pPr>
      <w:numPr>
        <w:numId w:val="4"/>
      </w:numPr>
      <w:ind w:left="641" w:hanging="357"/>
      <w:contextualSpacing/>
    </w:pPr>
  </w:style>
  <w:style w:type="paragraph" w:styleId="ListNumber">
    <w:name w:val="List Number"/>
    <w:basedOn w:val="ListParagraph"/>
    <w:uiPriority w:val="99"/>
    <w:unhideWhenUsed/>
    <w:rsid w:val="00DE3D00"/>
    <w:pPr>
      <w:numPr>
        <w:numId w:val="15"/>
      </w:numPr>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uiPriority w:val="39"/>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833DDB"/>
    <w:pPr>
      <w:spacing w:after="0" w:line="240" w:lineRule="auto"/>
    </w:pPr>
    <w:rPr>
      <w:rFonts w:ascii="Arial" w:hAnsi="Arial"/>
      <w:color w:val="000000"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before="0"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uiPriority w:val="22"/>
    <w:qFormat/>
    <w:rsid w:val="00DE3D00"/>
    <w:rPr>
      <w:b/>
      <w:bCs/>
    </w:rPr>
  </w:style>
  <w:style w:type="character" w:customStyle="1" w:styleId="ListParagraphChar">
    <w:name w:val="List Paragraph Char"/>
    <w:aliases w:val="Bullet 1 Char,CV text Char,Dot pt Char,F5 List Paragraph Char,Indicator Text Char,L Char,List Paragraph Char Char Char Char,List Paragraph1 Char,List Paragraph11 Char,List Paragraph111 Char,List Paragraph2 Char,MAIN CONTENT Char"/>
    <w:link w:val="ListParagraph"/>
    <w:uiPriority w:val="34"/>
    <w:qFormat/>
    <w:locked/>
    <w:rsid w:val="00443FBE"/>
    <w:rPr>
      <w:rFonts w:ascii="Arial" w:hAnsi="Arial"/>
    </w:rPr>
  </w:style>
  <w:style w:type="paragraph" w:styleId="BalloonText">
    <w:name w:val="Balloon Text"/>
    <w:basedOn w:val="Normal"/>
    <w:link w:val="BalloonTextChar"/>
    <w:uiPriority w:val="99"/>
    <w:semiHidden/>
    <w:unhideWhenUsed/>
    <w:rsid w:val="00BE385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85C"/>
    <w:rPr>
      <w:rFonts w:ascii="Segoe UI" w:hAnsi="Segoe UI" w:cs="Segoe UI"/>
      <w:sz w:val="18"/>
      <w:szCs w:val="18"/>
    </w:rPr>
  </w:style>
  <w:style w:type="paragraph" w:styleId="NoSpacing">
    <w:name w:val="No Spacing"/>
    <w:uiPriority w:val="1"/>
    <w:qFormat/>
    <w:rsid w:val="00F617CE"/>
    <w:pPr>
      <w:spacing w:after="0" w:line="240" w:lineRule="auto"/>
    </w:pPr>
    <w:rPr>
      <w:rFonts w:ascii="Arial" w:hAnsi="Arial"/>
    </w:rPr>
  </w:style>
  <w:style w:type="paragraph" w:styleId="FootnoteText">
    <w:name w:val="footnote text"/>
    <w:aliases w:val="ACMA Footnote Text,ALTS FOOTNOTE,(NECG) Footnote Text,Footnote text,AR Footnote Text,AR Footnote Text Char Char Char Char Char,Footnote Text Char2,Footnote Text Char1 Char Char,Footnote Text Char Char Char Char,Footnote Text Char1 Char"/>
    <w:basedOn w:val="Normal"/>
    <w:link w:val="FootnoteTextChar"/>
    <w:uiPriority w:val="99"/>
    <w:unhideWhenUsed/>
    <w:rsid w:val="00543806"/>
    <w:pPr>
      <w:spacing w:before="0" w:after="0" w:line="240" w:lineRule="auto"/>
    </w:pPr>
    <w:rPr>
      <w:rFonts w:asciiTheme="minorHAnsi" w:hAnsiTheme="minorHAnsi"/>
      <w:sz w:val="20"/>
      <w:szCs w:val="20"/>
    </w:rPr>
  </w:style>
  <w:style w:type="character" w:customStyle="1" w:styleId="FootnoteTextChar">
    <w:name w:val="Footnote Text Char"/>
    <w:aliases w:val="ACMA Footnote Text Char,ALTS FOOTNOTE Char,(NECG) Footnote Text Char,Footnote text Char,AR Footnote Text Char,AR Footnote Text Char Char Char Char Char Char,Footnote Text Char2 Char,Footnote Text Char1 Char Char Char"/>
    <w:basedOn w:val="DefaultParagraphFont"/>
    <w:link w:val="FootnoteText"/>
    <w:uiPriority w:val="99"/>
    <w:rsid w:val="00543806"/>
    <w:rPr>
      <w:sz w:val="20"/>
      <w:szCs w:val="20"/>
    </w:rPr>
  </w:style>
  <w:style w:type="character" w:styleId="FootnoteReference">
    <w:name w:val="footnote reference"/>
    <w:aliases w:val="(NECG) Footnote Reference,(NECG) Footnote Reference1,(NECG) Footnote Reference2,o,Footnote Reference 1,Appel note de bas de p,Appel note de bas de p + 11 pt,Italic,Footnote,Footnote symbol,Appel note de bas de p1"/>
    <w:basedOn w:val="DefaultParagraphFont"/>
    <w:uiPriority w:val="99"/>
    <w:unhideWhenUsed/>
    <w:rsid w:val="00543806"/>
    <w:rPr>
      <w:vertAlign w:val="superscript"/>
    </w:rPr>
  </w:style>
  <w:style w:type="paragraph" w:customStyle="1" w:styleId="dotpoints">
    <w:name w:val="dot points"/>
    <w:basedOn w:val="ListParagraph"/>
    <w:link w:val="dotpointsChar"/>
    <w:qFormat/>
    <w:rsid w:val="00543806"/>
    <w:pPr>
      <w:numPr>
        <w:numId w:val="18"/>
      </w:numPr>
      <w:spacing w:before="0" w:after="0" w:line="276" w:lineRule="auto"/>
      <w:ind w:left="360"/>
    </w:pPr>
    <w:rPr>
      <w:rFonts w:asciiTheme="majorHAnsi" w:hAnsiTheme="majorHAnsi" w:cs="Microsoft New Tai Lue"/>
    </w:rPr>
  </w:style>
  <w:style w:type="character" w:customStyle="1" w:styleId="dotpointsChar">
    <w:name w:val="dot points Char"/>
    <w:basedOn w:val="ListParagraphChar"/>
    <w:link w:val="dotpoints"/>
    <w:rsid w:val="00543806"/>
    <w:rPr>
      <w:rFonts w:asciiTheme="majorHAnsi" w:hAnsiTheme="majorHAnsi" w:cs="Microsoft New Tai Lue"/>
    </w:rPr>
  </w:style>
  <w:style w:type="character" w:styleId="CommentReference">
    <w:name w:val="annotation reference"/>
    <w:basedOn w:val="DefaultParagraphFont"/>
    <w:uiPriority w:val="99"/>
    <w:semiHidden/>
    <w:unhideWhenUsed/>
    <w:rsid w:val="0050073C"/>
    <w:rPr>
      <w:sz w:val="16"/>
      <w:szCs w:val="16"/>
    </w:rPr>
  </w:style>
  <w:style w:type="paragraph" w:styleId="CommentText">
    <w:name w:val="annotation text"/>
    <w:basedOn w:val="Normal"/>
    <w:link w:val="CommentTextChar"/>
    <w:uiPriority w:val="99"/>
    <w:unhideWhenUsed/>
    <w:rsid w:val="0050073C"/>
    <w:pPr>
      <w:spacing w:line="240" w:lineRule="auto"/>
    </w:pPr>
    <w:rPr>
      <w:sz w:val="20"/>
      <w:szCs w:val="20"/>
    </w:rPr>
  </w:style>
  <w:style w:type="character" w:customStyle="1" w:styleId="CommentTextChar">
    <w:name w:val="Comment Text Char"/>
    <w:basedOn w:val="DefaultParagraphFont"/>
    <w:link w:val="CommentText"/>
    <w:uiPriority w:val="99"/>
    <w:rsid w:val="0050073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0073C"/>
    <w:rPr>
      <w:b/>
      <w:bCs/>
    </w:rPr>
  </w:style>
  <w:style w:type="character" w:customStyle="1" w:styleId="CommentSubjectChar">
    <w:name w:val="Comment Subject Char"/>
    <w:basedOn w:val="CommentTextChar"/>
    <w:link w:val="CommentSubject"/>
    <w:uiPriority w:val="99"/>
    <w:semiHidden/>
    <w:rsid w:val="0050073C"/>
    <w:rPr>
      <w:rFonts w:ascii="Arial" w:hAnsi="Arial"/>
      <w:b/>
      <w:bCs/>
      <w:sz w:val="20"/>
      <w:szCs w:val="20"/>
    </w:rPr>
  </w:style>
  <w:style w:type="character" w:customStyle="1" w:styleId="Heading6Char">
    <w:name w:val="Heading 6 Char"/>
    <w:basedOn w:val="DefaultParagraphFont"/>
    <w:link w:val="Heading6"/>
    <w:uiPriority w:val="9"/>
    <w:rsid w:val="002917E4"/>
    <w:rPr>
      <w:rFonts w:asciiTheme="majorHAnsi" w:eastAsiaTheme="majorEastAsia" w:hAnsiTheme="majorHAnsi" w:cstheme="majorBidi"/>
      <w:color w:val="002A3B" w:themeColor="accent1" w:themeShade="7F"/>
    </w:rPr>
  </w:style>
  <w:style w:type="character" w:styleId="IntenseEmphasis">
    <w:name w:val="Intense Emphasis"/>
    <w:basedOn w:val="DefaultParagraphFont"/>
    <w:uiPriority w:val="21"/>
    <w:qFormat/>
    <w:rsid w:val="00895160"/>
    <w:rPr>
      <w:i/>
      <w:iCs/>
      <w:color w:val="005677" w:themeColor="accent1"/>
    </w:rPr>
  </w:style>
  <w:style w:type="character" w:styleId="FollowedHyperlink">
    <w:name w:val="FollowedHyperlink"/>
    <w:basedOn w:val="DefaultParagraphFont"/>
    <w:uiPriority w:val="99"/>
    <w:semiHidden/>
    <w:unhideWhenUsed/>
    <w:rsid w:val="00A81874"/>
    <w:rPr>
      <w:color w:val="7030A0" w:themeColor="followedHyperlink"/>
      <w:u w:val="single"/>
    </w:rPr>
  </w:style>
  <w:style w:type="paragraph" w:styleId="IntenseQuote">
    <w:name w:val="Intense Quote"/>
    <w:basedOn w:val="Normal"/>
    <w:next w:val="Normal"/>
    <w:link w:val="IntenseQuoteChar"/>
    <w:uiPriority w:val="30"/>
    <w:qFormat/>
    <w:rsid w:val="00390826"/>
    <w:pPr>
      <w:pBdr>
        <w:top w:val="single" w:sz="4" w:space="10" w:color="005677" w:themeColor="accent1"/>
        <w:bottom w:val="single" w:sz="4" w:space="10" w:color="005677" w:themeColor="accent1"/>
      </w:pBdr>
      <w:spacing w:before="360" w:after="360"/>
      <w:ind w:left="864" w:right="864"/>
      <w:jc w:val="center"/>
    </w:pPr>
    <w:rPr>
      <w:i/>
      <w:iCs/>
      <w:color w:val="005677" w:themeColor="accent1"/>
    </w:rPr>
  </w:style>
  <w:style w:type="character" w:customStyle="1" w:styleId="IntenseQuoteChar">
    <w:name w:val="Intense Quote Char"/>
    <w:basedOn w:val="DefaultParagraphFont"/>
    <w:link w:val="IntenseQuote"/>
    <w:uiPriority w:val="30"/>
    <w:rsid w:val="00390826"/>
    <w:rPr>
      <w:rFonts w:ascii="Arial" w:hAnsi="Arial"/>
      <w:i/>
      <w:iCs/>
      <w:color w:val="005677" w:themeColor="accent1"/>
    </w:rPr>
  </w:style>
  <w:style w:type="paragraph" w:styleId="Revision">
    <w:name w:val="Revision"/>
    <w:hidden/>
    <w:uiPriority w:val="99"/>
    <w:semiHidden/>
    <w:rsid w:val="005A77C0"/>
    <w:pPr>
      <w:spacing w:after="0" w:line="240" w:lineRule="auto"/>
    </w:pPr>
    <w:rPr>
      <w:rFonts w:ascii="Arial" w:hAnsi="Arial"/>
    </w:rPr>
  </w:style>
  <w:style w:type="paragraph" w:styleId="EndnoteText">
    <w:name w:val="endnote text"/>
    <w:basedOn w:val="Normal"/>
    <w:link w:val="EndnoteTextChar"/>
    <w:uiPriority w:val="99"/>
    <w:semiHidden/>
    <w:unhideWhenUsed/>
    <w:rsid w:val="0071300D"/>
    <w:pPr>
      <w:spacing w:before="0" w:after="0" w:line="252" w:lineRule="auto"/>
    </w:pPr>
    <w:rPr>
      <w:rFonts w:cs="Arial"/>
      <w:color w:val="595A5B"/>
      <w:sz w:val="16"/>
      <w:szCs w:val="16"/>
    </w:rPr>
  </w:style>
  <w:style w:type="character" w:customStyle="1" w:styleId="EndnoteTextChar">
    <w:name w:val="Endnote Text Char"/>
    <w:basedOn w:val="DefaultParagraphFont"/>
    <w:link w:val="EndnoteText"/>
    <w:uiPriority w:val="99"/>
    <w:semiHidden/>
    <w:rsid w:val="0071300D"/>
    <w:rPr>
      <w:rFonts w:ascii="Arial" w:hAnsi="Arial" w:cs="Arial"/>
      <w:color w:val="595A5B"/>
      <w:sz w:val="16"/>
      <w:szCs w:val="16"/>
    </w:rPr>
  </w:style>
  <w:style w:type="paragraph" w:styleId="BodyText">
    <w:name w:val="Body Text"/>
    <w:basedOn w:val="Normal"/>
    <w:link w:val="BodyTextChar"/>
    <w:uiPriority w:val="99"/>
    <w:unhideWhenUsed/>
    <w:rsid w:val="0071300D"/>
    <w:pPr>
      <w:spacing w:before="113" w:after="0" w:line="240" w:lineRule="auto"/>
      <w:jc w:val="both"/>
    </w:pPr>
    <w:rPr>
      <w:rFonts w:cs="Arial"/>
      <w:color w:val="595A5B"/>
      <w:sz w:val="20"/>
      <w:szCs w:val="20"/>
    </w:rPr>
  </w:style>
  <w:style w:type="character" w:customStyle="1" w:styleId="BodyTextChar">
    <w:name w:val="Body Text Char"/>
    <w:basedOn w:val="DefaultParagraphFont"/>
    <w:link w:val="BodyText"/>
    <w:uiPriority w:val="99"/>
    <w:rsid w:val="0071300D"/>
    <w:rPr>
      <w:rFonts w:ascii="Arial" w:hAnsi="Arial" w:cs="Arial"/>
      <w:color w:val="595A5B"/>
      <w:sz w:val="20"/>
      <w:szCs w:val="20"/>
    </w:rPr>
  </w:style>
  <w:style w:type="character" w:styleId="EndnoteReference">
    <w:name w:val="endnote reference"/>
    <w:basedOn w:val="DefaultParagraphFont"/>
    <w:uiPriority w:val="19"/>
    <w:semiHidden/>
    <w:unhideWhenUsed/>
    <w:rsid w:val="0071300D"/>
    <w:rPr>
      <w:vertAlign w:val="superscript"/>
    </w:rPr>
  </w:style>
  <w:style w:type="paragraph" w:customStyle="1" w:styleId="Questions">
    <w:name w:val="Questions"/>
    <w:basedOn w:val="dotpoints"/>
    <w:next w:val="dotpoints"/>
    <w:link w:val="QuestionsChar"/>
    <w:qFormat/>
    <w:rsid w:val="00430D3C"/>
    <w:pPr>
      <w:numPr>
        <w:numId w:val="60"/>
      </w:numPr>
      <w:ind w:left="360"/>
      <w:jc w:val="both"/>
    </w:pPr>
    <w:rPr>
      <w:rFonts w:ascii="Arial" w:hAnsi="Arial"/>
      <w:bCs/>
      <w:color w:val="FFFFFF" w:themeColor="background1"/>
    </w:rPr>
  </w:style>
  <w:style w:type="paragraph" w:styleId="TOCHeading">
    <w:name w:val="TOC Heading"/>
    <w:basedOn w:val="Heading1"/>
    <w:next w:val="Normal"/>
    <w:uiPriority w:val="39"/>
    <w:unhideWhenUsed/>
    <w:qFormat/>
    <w:rsid w:val="00234418"/>
    <w:pPr>
      <w:spacing w:before="240" w:line="259" w:lineRule="auto"/>
      <w:contextualSpacing w:val="0"/>
      <w:outlineLvl w:val="9"/>
    </w:pPr>
    <w:rPr>
      <w:rFonts w:asciiTheme="majorHAnsi" w:hAnsiTheme="majorHAnsi"/>
      <w:color w:val="004059" w:themeColor="accent1" w:themeShade="BF"/>
      <w:sz w:val="32"/>
      <w:lang w:val="en-US"/>
    </w:rPr>
  </w:style>
  <w:style w:type="character" w:customStyle="1" w:styleId="QuestionsChar">
    <w:name w:val="Questions Char"/>
    <w:basedOn w:val="ListParagraphChar"/>
    <w:link w:val="Questions"/>
    <w:rsid w:val="00430D3C"/>
    <w:rPr>
      <w:rFonts w:ascii="Arial" w:hAnsi="Arial" w:cs="Microsoft New Tai Lue"/>
      <w:bCs/>
      <w:color w:val="FFFFFF" w:themeColor="background1"/>
    </w:rPr>
  </w:style>
  <w:style w:type="paragraph" w:styleId="TOC1">
    <w:name w:val="toc 1"/>
    <w:basedOn w:val="Normal"/>
    <w:next w:val="Normal"/>
    <w:autoRedefine/>
    <w:uiPriority w:val="39"/>
    <w:unhideWhenUsed/>
    <w:rsid w:val="003E406A"/>
    <w:pPr>
      <w:tabs>
        <w:tab w:val="right" w:leader="dot" w:pos="9016"/>
      </w:tabs>
      <w:spacing w:after="100"/>
    </w:pPr>
  </w:style>
  <w:style w:type="paragraph" w:styleId="TOC2">
    <w:name w:val="toc 2"/>
    <w:basedOn w:val="Normal"/>
    <w:next w:val="Normal"/>
    <w:autoRedefine/>
    <w:uiPriority w:val="39"/>
    <w:unhideWhenUsed/>
    <w:rsid w:val="00234418"/>
    <w:pPr>
      <w:spacing w:after="100"/>
      <w:ind w:left="220"/>
    </w:pPr>
  </w:style>
  <w:style w:type="paragraph" w:styleId="TOC3">
    <w:name w:val="toc 3"/>
    <w:basedOn w:val="Normal"/>
    <w:next w:val="Normal"/>
    <w:autoRedefine/>
    <w:uiPriority w:val="39"/>
    <w:unhideWhenUsed/>
    <w:rsid w:val="00234418"/>
    <w:pPr>
      <w:spacing w:after="100"/>
      <w:ind w:left="440"/>
    </w:pPr>
  </w:style>
  <w:style w:type="paragraph" w:styleId="NormalWeb">
    <w:name w:val="Normal (Web)"/>
    <w:basedOn w:val="Normal"/>
    <w:uiPriority w:val="99"/>
    <w:semiHidden/>
    <w:unhideWhenUsed/>
    <w:rsid w:val="005D146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LineNumber">
    <w:name w:val="line number"/>
    <w:basedOn w:val="DefaultParagraphFont"/>
    <w:uiPriority w:val="99"/>
    <w:semiHidden/>
    <w:unhideWhenUsed/>
    <w:rsid w:val="00EA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0524">
      <w:bodyDiv w:val="1"/>
      <w:marLeft w:val="0"/>
      <w:marRight w:val="0"/>
      <w:marTop w:val="0"/>
      <w:marBottom w:val="0"/>
      <w:divBdr>
        <w:top w:val="none" w:sz="0" w:space="0" w:color="auto"/>
        <w:left w:val="none" w:sz="0" w:space="0" w:color="auto"/>
        <w:bottom w:val="none" w:sz="0" w:space="0" w:color="auto"/>
        <w:right w:val="none" w:sz="0" w:space="0" w:color="auto"/>
      </w:divBdr>
    </w:div>
    <w:div w:id="79910327">
      <w:bodyDiv w:val="1"/>
      <w:marLeft w:val="0"/>
      <w:marRight w:val="0"/>
      <w:marTop w:val="0"/>
      <w:marBottom w:val="0"/>
      <w:divBdr>
        <w:top w:val="none" w:sz="0" w:space="0" w:color="auto"/>
        <w:left w:val="none" w:sz="0" w:space="0" w:color="auto"/>
        <w:bottom w:val="none" w:sz="0" w:space="0" w:color="auto"/>
        <w:right w:val="none" w:sz="0" w:space="0" w:color="auto"/>
      </w:divBdr>
    </w:div>
    <w:div w:id="430127127">
      <w:bodyDiv w:val="1"/>
      <w:marLeft w:val="0"/>
      <w:marRight w:val="0"/>
      <w:marTop w:val="0"/>
      <w:marBottom w:val="0"/>
      <w:divBdr>
        <w:top w:val="none" w:sz="0" w:space="0" w:color="auto"/>
        <w:left w:val="none" w:sz="0" w:space="0" w:color="auto"/>
        <w:bottom w:val="none" w:sz="0" w:space="0" w:color="auto"/>
        <w:right w:val="none" w:sz="0" w:space="0" w:color="auto"/>
      </w:divBdr>
    </w:div>
    <w:div w:id="708451550">
      <w:bodyDiv w:val="1"/>
      <w:marLeft w:val="0"/>
      <w:marRight w:val="0"/>
      <w:marTop w:val="0"/>
      <w:marBottom w:val="0"/>
      <w:divBdr>
        <w:top w:val="none" w:sz="0" w:space="0" w:color="auto"/>
        <w:left w:val="none" w:sz="0" w:space="0" w:color="auto"/>
        <w:bottom w:val="none" w:sz="0" w:space="0" w:color="auto"/>
        <w:right w:val="none" w:sz="0" w:space="0" w:color="auto"/>
      </w:divBdr>
    </w:div>
    <w:div w:id="807749945">
      <w:bodyDiv w:val="1"/>
      <w:marLeft w:val="0"/>
      <w:marRight w:val="0"/>
      <w:marTop w:val="0"/>
      <w:marBottom w:val="0"/>
      <w:divBdr>
        <w:top w:val="none" w:sz="0" w:space="0" w:color="auto"/>
        <w:left w:val="none" w:sz="0" w:space="0" w:color="auto"/>
        <w:bottom w:val="none" w:sz="0" w:space="0" w:color="auto"/>
        <w:right w:val="none" w:sz="0" w:space="0" w:color="auto"/>
      </w:divBdr>
    </w:div>
    <w:div w:id="926816077">
      <w:bodyDiv w:val="1"/>
      <w:marLeft w:val="0"/>
      <w:marRight w:val="0"/>
      <w:marTop w:val="0"/>
      <w:marBottom w:val="0"/>
      <w:divBdr>
        <w:top w:val="none" w:sz="0" w:space="0" w:color="auto"/>
        <w:left w:val="none" w:sz="0" w:space="0" w:color="auto"/>
        <w:bottom w:val="none" w:sz="0" w:space="0" w:color="auto"/>
        <w:right w:val="none" w:sz="0" w:space="0" w:color="auto"/>
      </w:divBdr>
    </w:div>
    <w:div w:id="992837304">
      <w:bodyDiv w:val="1"/>
      <w:marLeft w:val="0"/>
      <w:marRight w:val="0"/>
      <w:marTop w:val="0"/>
      <w:marBottom w:val="0"/>
      <w:divBdr>
        <w:top w:val="none" w:sz="0" w:space="0" w:color="auto"/>
        <w:left w:val="none" w:sz="0" w:space="0" w:color="auto"/>
        <w:bottom w:val="none" w:sz="0" w:space="0" w:color="auto"/>
        <w:right w:val="none" w:sz="0" w:space="0" w:color="auto"/>
      </w:divBdr>
    </w:div>
    <w:div w:id="1265964497">
      <w:bodyDiv w:val="1"/>
      <w:marLeft w:val="0"/>
      <w:marRight w:val="0"/>
      <w:marTop w:val="0"/>
      <w:marBottom w:val="0"/>
      <w:divBdr>
        <w:top w:val="none" w:sz="0" w:space="0" w:color="auto"/>
        <w:left w:val="none" w:sz="0" w:space="0" w:color="auto"/>
        <w:bottom w:val="none" w:sz="0" w:space="0" w:color="auto"/>
        <w:right w:val="none" w:sz="0" w:space="0" w:color="auto"/>
      </w:divBdr>
    </w:div>
    <w:div w:id="176549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industry.gov.au/sites/g/files/net3906/f/performance-review-of-the-australian-innovation-science-and-research-system-isa.pdf" TargetMode="External"/><Relationship Id="rId26" Type="http://schemas.openxmlformats.org/officeDocument/2006/relationships/hyperlink" Target="http://enterprisezones.communities.gov.uk/" TargetMode="External"/><Relationship Id="rId3" Type="http://schemas.openxmlformats.org/officeDocument/2006/relationships/customXml" Target="../customXml/item3.xml"/><Relationship Id="rId21" Type="http://schemas.openxmlformats.org/officeDocument/2006/relationships/hyperlink" Target="http://www.arc.gov.au/industrial-transformation-research-program" TargetMode="External"/><Relationship Id="rId34" Type="http://schemas.openxmlformats.org/officeDocument/2006/relationships/hyperlink" Target="https://cities.infrastructure.gov.au/city-deal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ndustry.gov.au/strategies-for-the-future/innovation-and-science-australia" TargetMode="External"/><Relationship Id="rId25" Type="http://schemas.openxmlformats.org/officeDocument/2006/relationships/hyperlink" Target="https://www.research-in-germany.org/en/research-landscape/research-organisations/networks-and-clusters/the-leading-edge-cluster-competition.html" TargetMode="External"/><Relationship Id="rId33" Type="http://schemas.openxmlformats.org/officeDocument/2006/relationships/hyperlink" Target="https://www.industry.gov.au/strategies-for-the-future/boosting-innovation-and-scien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business.gov.au/assistance/entrepreneurs-programme-summary" TargetMode="External"/><Relationship Id="rId29" Type="http://schemas.openxmlformats.org/officeDocument/2006/relationships/hyperlink" Target="https://cities.dpmc.gov.au/city-dea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nstituts-carnot.eu/en" TargetMode="External"/><Relationship Id="rId32" Type="http://schemas.openxmlformats.org/officeDocument/2006/relationships/hyperlink" Target="https://www.nhmrc.gov.au/research/advanced-health-research-and-translation-centre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ndustry.gov.au/strategies-for-the-future/innovation-and-science-australia" TargetMode="External"/><Relationship Id="rId28" Type="http://schemas.openxmlformats.org/officeDocument/2006/relationships/hyperlink" Target="https://cities.infrastructure.gov.au/city-deals"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industry.gov.au/strategies-for-the-future/growth-centres" TargetMode="External"/><Relationship Id="rId31" Type="http://schemas.openxmlformats.org/officeDocument/2006/relationships/hyperlink" Target="http://regional.gov.au/regional/programs/regional-growth-fund.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business.gov.au/assistance/cooperative-research-centres-programme" TargetMode="External"/><Relationship Id="rId27" Type="http://schemas.openxmlformats.org/officeDocument/2006/relationships/hyperlink" Target="https://www.gov.uk/government/policies/city-deals-and-growth-deals" TargetMode="External"/><Relationship Id="rId30" Type="http://schemas.openxmlformats.org/officeDocument/2006/relationships/hyperlink" Target="https://www.business.gov.au/assistance/regional-jobs-and-investment-packages" TargetMode="Externa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brookings.edu/essay/rise-of-innovation-distric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Document.dotx" TargetMode="External"/></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990499AC4543A1851E92F8A8172E" ma:contentTypeVersion="17" ma:contentTypeDescription="Create a new document." ma:contentTypeScope="" ma:versionID="49c499c4420c74cea46e88d8e885228a">
  <xsd:schema xmlns:xsd="http://www.w3.org/2001/XMLSchema" xmlns:xs="http://www.w3.org/2001/XMLSchema" xmlns:p="http://schemas.microsoft.com/office/2006/metadata/properties" xmlns:ns1="http://schemas.microsoft.com/sharepoint/v3" xmlns:ns2="498945f5-0448-4b4c-97d9-fcd4d7a5a1b1" targetNamespace="http://schemas.microsoft.com/office/2006/metadata/properties" ma:root="true" ma:fieldsID="a1397b5f237a7163e91159aae2d6dc07" ns1:_="" ns2:_="">
    <xsd:import namespace="http://schemas.microsoft.com/sharepoint/v3"/>
    <xsd:import namespace="498945f5-0448-4b4c-97d9-fcd4d7a5a1b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h562caa41cd8435eb8b6f0bdc23e20a9"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dexed="true" ma:internalName="DocHub_PDMSNumber">
      <xsd:simpleType>
        <xsd:restriction base="dms:Text"/>
      </xsd:simpleType>
    </xsd:element>
    <xsd:element name="h562caa41cd8435eb8b6f0bdc23e20a9" ma:index="25"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4fd73e9f-ceb6-4d3f-8d1d-e6ca9b922532</TermId>
        </TermInfo>
      </Terms>
    </pe2555c81638466f9eb614edb9ecde52>
    <TaxCatchAll xmlns="498945f5-0448-4b4c-97d9-fcd4d7a5a1b1">
      <Value>238</Value>
      <Value>360</Value>
      <Value>3</Value>
      <Value>8</Value>
      <Value>203</Value>
    </TaxCatchAll>
    <g7bcb40ba23249a78edca7d43a67c1c9 xmlns="498945f5-0448-4b4c-97d9-fcd4d7a5a1b1">
      <Terms xmlns="http://schemas.microsoft.com/office/infopath/2007/PartnerControls">
        <TermInfo xmlns="http://schemas.microsoft.com/office/infopath/2007/PartnerControls">
          <TermName xmlns="http://schemas.microsoft.com/office/infopath/2007/PartnerControls">Policy Consultation</TermName>
          <TermId xmlns="http://schemas.microsoft.com/office/infopath/2007/PartnerControls">2c1b3c96-ddbe-43b6-afb9-5596fa993eac</TermId>
        </TermInfo>
      </Terms>
    </g7bcb40ba23249a78edca7d43a67c1c9>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adb9bed2e36e4a93af574aeb444da63e xmlns="498945f5-0448-4b4c-97d9-fcd4d7a5a1b1">
      <Terms xmlns="http://schemas.microsoft.com/office/infopath/2007/PartnerControls">
        <TermInfo xmlns="http://schemas.microsoft.com/office/infopath/2007/PartnerControls">
          <TermName xmlns="http://schemas.microsoft.com/office/infopath/2007/PartnerControls">Precincts</TermName>
          <TermId xmlns="http://schemas.microsoft.com/office/infopath/2007/PartnerControls">c7fe4d94-3407-47bc-8fe2-fa632e65a167</TermId>
        </TermInfo>
      </Term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498945f5-0448-4b4c-97d9-fcd4d7a5a1b1">A3PSR54DD4M5-48945680-375</_dlc_DocId>
    <_dlc_DocIdUrl xmlns="498945f5-0448-4b4c-97d9-fcd4d7a5a1b1">
      <Url>https://dochub/div/sectoralgrowthpolicy/programmesprojectstaskforces/universityprecinctspolicy/_layouts/15/DocIdRedir.aspx?ID=A3PSR54DD4M5-48945680-375</Url>
      <Description>A3PSR54DD4M5-48945680-375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F4DD-1275-4164-8B6B-F2889EDA0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2FC4D-F035-4B57-A495-E3A1632F9721}">
  <ds:schemaRefs>
    <ds:schemaRef ds:uri="http://schemas.microsoft.com/sharepoint/v3/contenttype/forms"/>
  </ds:schemaRefs>
</ds:datastoreItem>
</file>

<file path=customXml/itemProps3.xml><?xml version="1.0" encoding="utf-8"?>
<ds:datastoreItem xmlns:ds="http://schemas.openxmlformats.org/officeDocument/2006/customXml" ds:itemID="{783E1339-4704-46E7-8A32-6FAA9C2516C5}">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498945f5-0448-4b4c-97d9-fcd4d7a5a1b1"/>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214666B-7930-4782-966C-0C935009D7C4}">
  <ds:schemaRefs>
    <ds:schemaRef ds:uri="http://schemas.microsoft.com/sharepoint/events"/>
  </ds:schemaRefs>
</ds:datastoreItem>
</file>

<file path=customXml/itemProps5.xml><?xml version="1.0" encoding="utf-8"?>
<ds:datastoreItem xmlns:ds="http://schemas.openxmlformats.org/officeDocument/2006/customXml" ds:itemID="{8E280861-E48F-4318-983D-145BE6B3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79</TotalTime>
  <Pages>9</Pages>
  <Words>3618</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University Precincts - Issues Paper</vt:lpstr>
    </vt:vector>
  </TitlesOfParts>
  <Company>Department of Industry, Innovation and Science</Company>
  <LinksUpToDate>false</LinksUpToDate>
  <CharactersWithSpaces>24196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Precincts - Issues Paper</dc:title>
  <dc:subject/>
  <dc:creator>Rolph, Angus</dc:creator>
  <cp:keywords/>
  <dc:description/>
  <cp:lastModifiedBy>Southall, Ben</cp:lastModifiedBy>
  <cp:revision>10</cp:revision>
  <cp:lastPrinted>2017-06-14T02:49:00Z</cp:lastPrinted>
  <dcterms:created xsi:type="dcterms:W3CDTF">2017-06-16T06:17:00Z</dcterms:created>
  <dcterms:modified xsi:type="dcterms:W3CDTF">2018-09-27T23:14:00Z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0x0101002995990499AC4543A1851E92F8A8172E</vt:lpwstr>
  </property>
  <property fmtid="{D5CDD505-2E9C-101B-9397-08002B2CF9AE}" pid="3" name="_dlc_DocIdItemGuid">
    <vt:lpwstr>3178f3a0-a3fd-4707-95c1-e4cb2c1bfbcf</vt:lpwstr>
  </property>
  <property fmtid="{D5CDD505-2E9C-101B-9397-08002B2CF9AE}" pid="4" name="DocHub_Year">
    <vt:lpwstr>360;#2017|5f6de30b-6e1e-4c09-9e51-982258231536</vt:lpwstr>
  </property>
  <property fmtid="{D5CDD505-2E9C-101B-9397-08002B2CF9AE}" pid="5" name="DocHub_DocumentType">
    <vt:lpwstr>8;#Paper|4fd73e9f-ceb6-4d3f-8d1d-e6ca9b922532</vt:lpwstr>
  </property>
  <property fmtid="{D5CDD505-2E9C-101B-9397-08002B2CF9AE}" pid="6" name="DocHub_SecurityClassification">
    <vt:lpwstr>3;#UNCLASSIFIED|6106d03b-a1a0-4e30-9d91-d5e9fb4314f9</vt:lpwstr>
  </property>
  <property fmtid="{D5CDD505-2E9C-101B-9397-08002B2CF9AE}" pid="7" name="DocHub_Keywords">
    <vt:lpwstr>238;#Precincts|c7fe4d94-3407-47bc-8fe2-fa632e65a167</vt:lpwstr>
  </property>
  <property fmtid="{D5CDD505-2E9C-101B-9397-08002B2CF9AE}" pid="8" name="DocHub_BriefingCorrespondenceType">
    <vt:lpwstr/>
  </property>
  <property fmtid="{D5CDD505-2E9C-101B-9397-08002B2CF9AE}" pid="9" name="DocHub_WorkActivity">
    <vt:lpwstr>203;#Policy Consultation|2c1b3c96-ddbe-43b6-afb9-5596fa993eac</vt:lpwstr>
  </property>
</Properties>
</file>